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10, 2021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122555</wp:posOffset>
            </wp:positionV>
            <wp:extent cx="19202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2080" w:type="dxa"/>
        <w:tblCellMar>
          <w:top w:w="0" w:type="dxa"/>
          <w:left w:w="0" w:type="dxa"/>
          <w:bottom w:w="0" w:type="dxa"/>
          <w:right w:w="0" w:type="dxa"/>
        </w:tblCellMar>
      </w:tblPr>
      <w:tr>
        <w:trPr>
          <w:trHeight w:val="280"/>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2"/>
          </w:tcPr>
          <w:p>
            <w:pPr>
              <w:jc w:val="center"/>
              <w:ind w:right="1848"/>
              <w:spacing w:after="0"/>
              <w:rPr>
                <w:sz w:val="20"/>
                <w:szCs w:val="20"/>
                <w:color w:val="auto"/>
              </w:rPr>
            </w:pPr>
            <w:r>
              <w:rPr>
                <w:rFonts w:ascii="Arial" w:cs="Arial" w:eastAsia="Arial" w:hAnsi="Arial"/>
                <w:sz w:val="22"/>
                <w:szCs w:val="22"/>
                <w:b w:val="1"/>
                <w:bCs w:val="1"/>
                <w:color w:val="auto"/>
                <w:w w:val="96"/>
              </w:rPr>
              <w:t>FORM S-3</w:t>
            </w:r>
          </w:p>
        </w:tc>
      </w:tr>
      <w:tr>
        <w:trPr>
          <w:trHeight w:val="297"/>
        </w:trPr>
        <w:tc>
          <w:tcPr>
            <w:tcW w:w="1920" w:type="dxa"/>
            <w:vAlign w:val="bottom"/>
          </w:tcPr>
          <w:p>
            <w:pPr>
              <w:spacing w:after="0"/>
              <w:rPr>
                <w:sz w:val="24"/>
                <w:szCs w:val="24"/>
                <w:color w:val="auto"/>
              </w:rPr>
            </w:pPr>
          </w:p>
        </w:tc>
        <w:tc>
          <w:tcPr>
            <w:tcW w:w="5060" w:type="dxa"/>
            <w:vAlign w:val="bottom"/>
            <w:gridSpan w:val="3"/>
          </w:tcPr>
          <w:p>
            <w:pPr>
              <w:jc w:val="center"/>
              <w:ind w:right="1748"/>
              <w:spacing w:after="0"/>
              <w:rPr>
                <w:sz w:val="20"/>
                <w:szCs w:val="20"/>
                <w:color w:val="auto"/>
              </w:rPr>
            </w:pPr>
            <w:r>
              <w:rPr>
                <w:rFonts w:ascii="Arial" w:cs="Arial" w:eastAsia="Arial" w:hAnsi="Arial"/>
                <w:sz w:val="22"/>
                <w:szCs w:val="22"/>
                <w:b w:val="1"/>
                <w:bCs w:val="1"/>
                <w:color w:val="auto"/>
                <w:w w:val="99"/>
              </w:rPr>
              <w:t>REGISTRATION STATEMENT</w:t>
            </w:r>
          </w:p>
        </w:tc>
      </w:tr>
      <w:tr>
        <w:trPr>
          <w:trHeight w:val="297"/>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2"/>
          </w:tcPr>
          <w:p>
            <w:pPr>
              <w:jc w:val="center"/>
              <w:ind w:right="1868"/>
              <w:spacing w:after="0"/>
              <w:rPr>
                <w:sz w:val="20"/>
                <w:szCs w:val="20"/>
                <w:color w:val="auto"/>
              </w:rPr>
            </w:pPr>
            <w:r>
              <w:rPr>
                <w:rFonts w:ascii="Arial" w:cs="Arial" w:eastAsia="Arial" w:hAnsi="Arial"/>
                <w:sz w:val="22"/>
                <w:szCs w:val="22"/>
                <w:b w:val="1"/>
                <w:bCs w:val="1"/>
                <w:i w:val="1"/>
                <w:iCs w:val="1"/>
                <w:color w:val="auto"/>
                <w:w w:val="97"/>
              </w:rPr>
              <w:t>UNDER</w:t>
            </w:r>
          </w:p>
        </w:tc>
      </w:tr>
      <w:tr>
        <w:trPr>
          <w:trHeight w:val="297"/>
        </w:trPr>
        <w:tc>
          <w:tcPr>
            <w:tcW w:w="1920" w:type="dxa"/>
            <w:vAlign w:val="bottom"/>
          </w:tcPr>
          <w:p>
            <w:pPr>
              <w:spacing w:after="0"/>
              <w:rPr>
                <w:sz w:val="24"/>
                <w:szCs w:val="24"/>
                <w:color w:val="auto"/>
              </w:rPr>
            </w:pPr>
          </w:p>
        </w:tc>
        <w:tc>
          <w:tcPr>
            <w:tcW w:w="5060" w:type="dxa"/>
            <w:vAlign w:val="bottom"/>
            <w:gridSpan w:val="3"/>
          </w:tcPr>
          <w:p>
            <w:pPr>
              <w:jc w:val="center"/>
              <w:ind w:right="1748"/>
              <w:spacing w:after="0"/>
              <w:rPr>
                <w:sz w:val="20"/>
                <w:szCs w:val="20"/>
                <w:color w:val="auto"/>
              </w:rPr>
            </w:pPr>
            <w:r>
              <w:rPr>
                <w:rFonts w:ascii="Arial" w:cs="Arial" w:eastAsia="Arial" w:hAnsi="Arial"/>
                <w:sz w:val="22"/>
                <w:szCs w:val="22"/>
                <w:b w:val="1"/>
                <w:bCs w:val="1"/>
                <w:i w:val="1"/>
                <w:iCs w:val="1"/>
                <w:color w:val="auto"/>
                <w:w w:val="94"/>
              </w:rPr>
              <w:t>THE SECURITIES ACT OF 1933</w:t>
            </w:r>
          </w:p>
        </w:tc>
      </w:tr>
      <w:tr>
        <w:trPr>
          <w:trHeight w:val="186"/>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Borders>
              <w:bottom w:val="single" w:sz="8" w:color="auto"/>
            </w:tcBorders>
          </w:tcPr>
          <w:p>
            <w:pPr>
              <w:spacing w:after="0"/>
              <w:rPr>
                <w:sz w:val="16"/>
                <w:szCs w:val="16"/>
                <w:color w:val="auto"/>
              </w:rPr>
            </w:pPr>
          </w:p>
        </w:tc>
        <w:tc>
          <w:tcPr>
            <w:tcW w:w="1920" w:type="dxa"/>
            <w:vAlign w:val="bottom"/>
          </w:tcPr>
          <w:p>
            <w:pPr>
              <w:spacing w:after="0"/>
              <w:rPr>
                <w:sz w:val="16"/>
                <w:szCs w:val="16"/>
                <w:color w:val="auto"/>
              </w:rPr>
            </w:pPr>
          </w:p>
        </w:tc>
      </w:tr>
      <w:tr>
        <w:trPr>
          <w:trHeight w:val="451"/>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2"/>
          </w:tcPr>
          <w:p>
            <w:pPr>
              <w:jc w:val="center"/>
              <w:ind w:right="1868"/>
              <w:spacing w:after="0"/>
              <w:rPr>
                <w:sz w:val="20"/>
                <w:szCs w:val="20"/>
                <w:color w:val="auto"/>
              </w:rPr>
            </w:pPr>
            <w:r>
              <w:rPr>
                <w:rFonts w:ascii="Arial" w:cs="Arial" w:eastAsia="Arial" w:hAnsi="Arial"/>
                <w:sz w:val="29"/>
                <w:szCs w:val="29"/>
                <w:b w:val="1"/>
                <w:bCs w:val="1"/>
                <w:color w:val="auto"/>
                <w:w w:val="96"/>
              </w:rPr>
              <w:t>SI-BONE, Inc.</w:t>
            </w:r>
          </w:p>
        </w:tc>
      </w:tr>
      <w:tr>
        <w:trPr>
          <w:trHeight w:val="199"/>
        </w:trPr>
        <w:tc>
          <w:tcPr>
            <w:tcW w:w="1920" w:type="dxa"/>
            <w:vAlign w:val="bottom"/>
          </w:tcPr>
          <w:p>
            <w:pPr>
              <w:spacing w:after="0"/>
              <w:rPr>
                <w:sz w:val="17"/>
                <w:szCs w:val="17"/>
                <w:color w:val="auto"/>
              </w:rPr>
            </w:pPr>
          </w:p>
        </w:tc>
        <w:tc>
          <w:tcPr>
            <w:tcW w:w="5060" w:type="dxa"/>
            <w:vAlign w:val="bottom"/>
            <w:gridSpan w:val="3"/>
          </w:tcPr>
          <w:p>
            <w:pPr>
              <w:jc w:val="center"/>
              <w:ind w:right="17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344"/>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5060" w:type="dxa"/>
            <w:vAlign w:val="bottom"/>
            <w:gridSpan w:val="3"/>
          </w:tcPr>
          <w:p>
            <w:pPr>
              <w:jc w:val="center"/>
              <w:ind w:left="3548"/>
              <w:spacing w:after="0"/>
              <w:rPr>
                <w:sz w:val="20"/>
                <w:szCs w:val="20"/>
                <w:color w:val="auto"/>
              </w:rPr>
            </w:pPr>
            <w:r>
              <w:rPr>
                <w:rFonts w:ascii="Arial" w:cs="Arial" w:eastAsia="Arial" w:hAnsi="Arial"/>
                <w:sz w:val="16"/>
                <w:szCs w:val="16"/>
                <w:b w:val="1"/>
                <w:bCs w:val="1"/>
                <w:color w:val="auto"/>
                <w:w w:val="91"/>
              </w:rPr>
              <w:t>26-2216351</w:t>
            </w:r>
          </w:p>
        </w:tc>
      </w:tr>
      <w:tr>
        <w:trPr>
          <w:trHeight w:val="210"/>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920" w:type="dxa"/>
            <w:vAlign w:val="bottom"/>
          </w:tcPr>
          <w:p>
            <w:pPr>
              <w:jc w:val="center"/>
              <w:ind w:left="40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1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920" w:type="dxa"/>
            <w:vAlign w:val="bottom"/>
          </w:tcPr>
          <w:p>
            <w:pPr>
              <w:jc w:val="center"/>
              <w:ind w:left="42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127635</wp:posOffset>
            </wp:positionV>
            <wp:extent cx="19202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83" w:lineRule="exact"/>
        <w:rPr>
          <w:sz w:val="24"/>
          <w:szCs w:val="24"/>
          <w:color w:val="auto"/>
        </w:rPr>
      </w:pPr>
    </w:p>
    <w:p>
      <w:pPr>
        <w:ind w:left="4580"/>
        <w:spacing w:after="0"/>
        <w:rPr>
          <w:sz w:val="20"/>
          <w:szCs w:val="20"/>
          <w:color w:val="auto"/>
        </w:rPr>
      </w:pPr>
      <w:r>
        <w:rPr>
          <w:rFonts w:ascii="Arial" w:cs="Arial" w:eastAsia="Arial" w:hAnsi="Arial"/>
          <w:sz w:val="16"/>
          <w:szCs w:val="16"/>
          <w:b w:val="1"/>
          <w:bCs w:val="1"/>
          <w:color w:val="auto"/>
        </w:rPr>
        <w:t>471 El Camino Real, Suite 101</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6"/>
          <w:szCs w:val="16"/>
          <w:b w:val="1"/>
          <w:bCs w:val="1"/>
          <w:color w:val="auto"/>
        </w:rPr>
        <w:t>Santa Clara, California 95050</w:t>
      </w:r>
    </w:p>
    <w:p>
      <w:pPr>
        <w:spacing w:after="0" w:line="8"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b w:val="1"/>
          <w:bCs w:val="1"/>
          <w:color w:val="auto"/>
        </w:rPr>
        <w:t>(408) 207</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0700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124460</wp:posOffset>
            </wp:positionV>
            <wp:extent cx="19202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5020"/>
        <w:spacing w:after="0"/>
        <w:rPr>
          <w:sz w:val="20"/>
          <w:szCs w:val="20"/>
          <w:color w:val="auto"/>
        </w:rPr>
      </w:pPr>
      <w:r>
        <w:rPr>
          <w:rFonts w:ascii="Arial" w:cs="Arial" w:eastAsia="Arial" w:hAnsi="Arial"/>
          <w:sz w:val="16"/>
          <w:szCs w:val="16"/>
          <w:b w:val="1"/>
          <w:bCs w:val="1"/>
          <w:color w:val="auto"/>
        </w:rPr>
        <w:t>Laura A. Francis</w:t>
      </w:r>
    </w:p>
    <w:p>
      <w:pPr>
        <w:spacing w:after="0" w:line="26"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Chief Financial Officer and Chief Operating Officer</w:t>
      </w:r>
    </w:p>
    <w:p>
      <w:pPr>
        <w:spacing w:after="0" w:line="15" w:lineRule="exact"/>
        <w:rPr>
          <w:sz w:val="24"/>
          <w:szCs w:val="24"/>
          <w:color w:val="auto"/>
        </w:rPr>
      </w:pPr>
    </w:p>
    <w:p>
      <w:pPr>
        <w:ind w:left="4580"/>
        <w:spacing w:after="0"/>
        <w:rPr>
          <w:sz w:val="20"/>
          <w:szCs w:val="20"/>
          <w:color w:val="auto"/>
        </w:rPr>
      </w:pPr>
      <w:r>
        <w:rPr>
          <w:rFonts w:ascii="Arial" w:cs="Arial" w:eastAsia="Arial" w:hAnsi="Arial"/>
          <w:sz w:val="16"/>
          <w:szCs w:val="16"/>
          <w:b w:val="1"/>
          <w:bCs w:val="1"/>
          <w:color w:val="auto"/>
        </w:rPr>
        <w:t>471 El Camino Real, Suite 101</w:t>
      </w:r>
    </w:p>
    <w:p>
      <w:pPr>
        <w:spacing w:after="0" w:line="5" w:lineRule="exact"/>
        <w:rPr>
          <w:sz w:val="24"/>
          <w:szCs w:val="24"/>
          <w:color w:val="auto"/>
        </w:rPr>
      </w:pPr>
    </w:p>
    <w:p>
      <w:pPr>
        <w:ind w:left="4580"/>
        <w:spacing w:after="0"/>
        <w:rPr>
          <w:sz w:val="20"/>
          <w:szCs w:val="20"/>
          <w:color w:val="auto"/>
        </w:rPr>
      </w:pPr>
      <w:r>
        <w:rPr>
          <w:rFonts w:ascii="Arial" w:cs="Arial" w:eastAsia="Arial" w:hAnsi="Arial"/>
          <w:sz w:val="16"/>
          <w:szCs w:val="16"/>
          <w:b w:val="1"/>
          <w:bCs w:val="1"/>
          <w:color w:val="auto"/>
        </w:rPr>
        <w:t>Santa Clara, California 95050</w:t>
      </w:r>
    </w:p>
    <w:p>
      <w:pPr>
        <w:spacing w:after="0" w:line="8"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(408) 207</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0700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116205</wp:posOffset>
            </wp:positionV>
            <wp:extent cx="1920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96" w:lineRule="exact"/>
        <w:rPr>
          <w:sz w:val="24"/>
          <w:szCs w:val="24"/>
          <w:color w:val="auto"/>
        </w:rPr>
      </w:pPr>
    </w:p>
    <w:tbl>
      <w:tblPr>
        <w:tblLayout w:type="fixed"/>
        <w:tblInd w:w="1160" w:type="dxa"/>
        <w:tblCellMar>
          <w:top w:w="0" w:type="dxa"/>
          <w:left w:w="0" w:type="dxa"/>
          <w:bottom w:w="0" w:type="dxa"/>
          <w:right w:w="0" w:type="dxa"/>
        </w:tblCellMar>
      </w:tblPr>
      <w:tr>
        <w:trPr>
          <w:trHeight w:val="206"/>
        </w:trPr>
        <w:tc>
          <w:tcPr>
            <w:tcW w:w="2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360" w:type="dxa"/>
            <w:vAlign w:val="bottom"/>
            <w:gridSpan w:val="2"/>
          </w:tcPr>
          <w:p>
            <w:pPr>
              <w:ind w:left="420"/>
              <w:spacing w:after="0"/>
              <w:rPr>
                <w:sz w:val="20"/>
                <w:szCs w:val="20"/>
                <w:color w:val="auto"/>
              </w:rPr>
            </w:pPr>
            <w:r>
              <w:rPr>
                <w:rFonts w:ascii="Arial" w:cs="Arial" w:eastAsia="Arial" w:hAnsi="Arial"/>
                <w:sz w:val="16"/>
                <w:szCs w:val="16"/>
                <w:b w:val="1"/>
                <w:bCs w:val="1"/>
                <w:i w:val="1"/>
                <w:iCs w:val="1"/>
                <w:color w:val="auto"/>
              </w:rPr>
              <w:t>Copies to:</w:t>
            </w:r>
          </w:p>
        </w:tc>
      </w:tr>
      <w:tr>
        <w:trPr>
          <w:trHeight w:val="208"/>
        </w:trPr>
        <w:tc>
          <w:tcPr>
            <w:tcW w:w="37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Michael A. Pisetsky</w:t>
            </w:r>
          </w:p>
        </w:tc>
        <w:tc>
          <w:tcPr>
            <w:tcW w:w="2280" w:type="dxa"/>
            <w:vAlign w:val="bottom"/>
          </w:tcPr>
          <w:p>
            <w:pPr>
              <w:spacing w:after="0"/>
              <w:rPr>
                <w:sz w:val="18"/>
                <w:szCs w:val="18"/>
                <w:color w:val="auto"/>
              </w:rPr>
            </w:pPr>
          </w:p>
        </w:tc>
        <w:tc>
          <w:tcPr>
            <w:tcW w:w="2080" w:type="dxa"/>
            <w:vAlign w:val="bottom"/>
          </w:tcPr>
          <w:p>
            <w:pPr>
              <w:jc w:val="center"/>
              <w:ind w:left="359"/>
              <w:spacing w:after="0"/>
              <w:rPr>
                <w:sz w:val="20"/>
                <w:szCs w:val="20"/>
                <w:color w:val="auto"/>
              </w:rPr>
            </w:pPr>
            <w:r>
              <w:rPr>
                <w:rFonts w:ascii="Arial" w:cs="Arial" w:eastAsia="Arial" w:hAnsi="Arial"/>
                <w:sz w:val="16"/>
                <w:szCs w:val="16"/>
                <w:b w:val="1"/>
                <w:bCs w:val="1"/>
                <w:color w:val="auto"/>
                <w:w w:val="95"/>
              </w:rPr>
              <w:t>Matthew B. Hemington</w:t>
            </w:r>
          </w:p>
        </w:tc>
      </w:tr>
      <w:tr>
        <w:trPr>
          <w:trHeight w:val="175"/>
        </w:trPr>
        <w:tc>
          <w:tcPr>
            <w:tcW w:w="370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2"/>
              </w:rPr>
              <w:t>General Counsel and Chief Compliance Officer</w:t>
            </w:r>
          </w:p>
        </w:tc>
        <w:tc>
          <w:tcPr>
            <w:tcW w:w="2280" w:type="dxa"/>
            <w:vAlign w:val="bottom"/>
          </w:tcPr>
          <w:p>
            <w:pPr>
              <w:spacing w:after="0"/>
              <w:rPr>
                <w:sz w:val="15"/>
                <w:szCs w:val="15"/>
                <w:color w:val="auto"/>
              </w:rPr>
            </w:pPr>
          </w:p>
        </w:tc>
        <w:tc>
          <w:tcPr>
            <w:tcW w:w="2080" w:type="dxa"/>
            <w:vAlign w:val="bottom"/>
          </w:tcPr>
          <w:p>
            <w:pPr>
              <w:jc w:val="center"/>
              <w:ind w:left="339"/>
              <w:spacing w:after="0" w:line="175" w:lineRule="exact"/>
              <w:rPr>
                <w:sz w:val="20"/>
                <w:szCs w:val="20"/>
                <w:color w:val="auto"/>
              </w:rPr>
            </w:pPr>
            <w:r>
              <w:rPr>
                <w:rFonts w:ascii="Arial" w:cs="Arial" w:eastAsia="Arial" w:hAnsi="Arial"/>
                <w:sz w:val="16"/>
                <w:szCs w:val="16"/>
                <w:b w:val="1"/>
                <w:bCs w:val="1"/>
                <w:color w:val="auto"/>
                <w:w w:val="96"/>
              </w:rPr>
              <w:t>Brett D. White</w:t>
            </w:r>
          </w:p>
        </w:tc>
      </w:tr>
      <w:tr>
        <w:trPr>
          <w:trHeight w:val="175"/>
        </w:trPr>
        <w:tc>
          <w:tcPr>
            <w:tcW w:w="370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92"/>
              </w:rPr>
              <w:t>471 El Camino Real, Suite 101</w:t>
            </w:r>
          </w:p>
        </w:tc>
        <w:tc>
          <w:tcPr>
            <w:tcW w:w="2280" w:type="dxa"/>
            <w:vAlign w:val="bottom"/>
          </w:tcPr>
          <w:p>
            <w:pPr>
              <w:spacing w:after="0"/>
              <w:rPr>
                <w:sz w:val="15"/>
                <w:szCs w:val="15"/>
                <w:color w:val="auto"/>
              </w:rPr>
            </w:pPr>
          </w:p>
        </w:tc>
        <w:tc>
          <w:tcPr>
            <w:tcW w:w="2080" w:type="dxa"/>
            <w:vAlign w:val="bottom"/>
          </w:tcPr>
          <w:p>
            <w:pPr>
              <w:jc w:val="center"/>
              <w:ind w:left="359"/>
              <w:spacing w:after="0" w:line="175" w:lineRule="exact"/>
              <w:rPr>
                <w:sz w:val="20"/>
                <w:szCs w:val="20"/>
                <w:color w:val="auto"/>
              </w:rPr>
            </w:pPr>
            <w:r>
              <w:rPr>
                <w:rFonts w:ascii="Arial" w:cs="Arial" w:eastAsia="Arial" w:hAnsi="Arial"/>
                <w:sz w:val="16"/>
                <w:szCs w:val="16"/>
                <w:b w:val="1"/>
                <w:bCs w:val="1"/>
                <w:color w:val="auto"/>
                <w:w w:val="95"/>
              </w:rPr>
              <w:t>Cooley LLP</w:t>
            </w:r>
          </w:p>
        </w:tc>
      </w:tr>
      <w:tr>
        <w:trPr>
          <w:trHeight w:val="175"/>
        </w:trPr>
        <w:tc>
          <w:tcPr>
            <w:tcW w:w="370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4"/>
              </w:rPr>
              <w:t>Santa Clara, CA 95050</w:t>
            </w:r>
          </w:p>
        </w:tc>
        <w:tc>
          <w:tcPr>
            <w:tcW w:w="2280" w:type="dxa"/>
            <w:vAlign w:val="bottom"/>
          </w:tcPr>
          <w:p>
            <w:pPr>
              <w:spacing w:after="0"/>
              <w:rPr>
                <w:sz w:val="15"/>
                <w:szCs w:val="15"/>
                <w:color w:val="auto"/>
              </w:rPr>
            </w:pPr>
          </w:p>
        </w:tc>
        <w:tc>
          <w:tcPr>
            <w:tcW w:w="2080" w:type="dxa"/>
            <w:vAlign w:val="bottom"/>
          </w:tcPr>
          <w:p>
            <w:pPr>
              <w:jc w:val="center"/>
              <w:ind w:left="339"/>
              <w:spacing w:after="0" w:line="175" w:lineRule="exact"/>
              <w:rPr>
                <w:sz w:val="20"/>
                <w:szCs w:val="20"/>
                <w:color w:val="auto"/>
              </w:rPr>
            </w:pPr>
            <w:r>
              <w:rPr>
                <w:rFonts w:ascii="Arial" w:cs="Arial" w:eastAsia="Arial" w:hAnsi="Arial"/>
                <w:sz w:val="16"/>
                <w:szCs w:val="16"/>
                <w:b w:val="1"/>
                <w:bCs w:val="1"/>
                <w:color w:val="auto"/>
                <w:w w:val="92"/>
              </w:rPr>
              <w:t>3175 Hanover Street</w:t>
            </w:r>
          </w:p>
        </w:tc>
      </w:tr>
      <w:tr>
        <w:trPr>
          <w:trHeight w:val="175"/>
        </w:trPr>
        <w:tc>
          <w:tcPr>
            <w:tcW w:w="370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1"/>
              </w:rPr>
              <w:t>(408) 207</w:t>
            </w:r>
            <w:r>
              <w:rPr>
                <w:rFonts w:ascii="MS PGothic" w:cs="MS PGothic" w:eastAsia="MS PGothic" w:hAnsi="MS PGothic"/>
                <w:sz w:val="16"/>
                <w:szCs w:val="16"/>
                <w:color w:val="auto"/>
                <w:w w:val="91"/>
              </w:rPr>
              <w:t>‑</w:t>
            </w:r>
            <w:r>
              <w:rPr>
                <w:rFonts w:ascii="Arial" w:cs="Arial" w:eastAsia="Arial" w:hAnsi="Arial"/>
                <w:sz w:val="16"/>
                <w:szCs w:val="16"/>
                <w:b w:val="1"/>
                <w:bCs w:val="1"/>
                <w:color w:val="auto"/>
                <w:w w:val="91"/>
              </w:rPr>
              <w:t>0700</w:t>
            </w:r>
          </w:p>
        </w:tc>
        <w:tc>
          <w:tcPr>
            <w:tcW w:w="2280" w:type="dxa"/>
            <w:vAlign w:val="bottom"/>
          </w:tcPr>
          <w:p>
            <w:pPr>
              <w:spacing w:after="0"/>
              <w:rPr>
                <w:sz w:val="15"/>
                <w:szCs w:val="15"/>
                <w:color w:val="auto"/>
              </w:rPr>
            </w:pPr>
          </w:p>
        </w:tc>
        <w:tc>
          <w:tcPr>
            <w:tcW w:w="2080" w:type="dxa"/>
            <w:vAlign w:val="bottom"/>
          </w:tcPr>
          <w:p>
            <w:pPr>
              <w:jc w:val="center"/>
              <w:ind w:left="359"/>
              <w:spacing w:after="0" w:line="175" w:lineRule="exact"/>
              <w:rPr>
                <w:sz w:val="20"/>
                <w:szCs w:val="20"/>
                <w:color w:val="auto"/>
              </w:rPr>
            </w:pPr>
            <w:r>
              <w:rPr>
                <w:rFonts w:ascii="Arial" w:cs="Arial" w:eastAsia="Arial" w:hAnsi="Arial"/>
                <w:sz w:val="16"/>
                <w:szCs w:val="16"/>
                <w:b w:val="1"/>
                <w:bCs w:val="1"/>
                <w:color w:val="auto"/>
                <w:w w:val="93"/>
              </w:rPr>
              <w:t>Palo Alto, CA 94304</w:t>
            </w:r>
          </w:p>
        </w:tc>
      </w:tr>
      <w:tr>
        <w:trPr>
          <w:trHeight w:val="210"/>
        </w:trPr>
        <w:tc>
          <w:tcPr>
            <w:tcW w:w="2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60" w:type="dxa"/>
            <w:vAlign w:val="bottom"/>
            <w:gridSpan w:val="2"/>
          </w:tcPr>
          <w:p>
            <w:pPr>
              <w:jc w:val="center"/>
              <w:ind w:left="2639"/>
              <w:spacing w:after="0"/>
              <w:rPr>
                <w:sz w:val="20"/>
                <w:szCs w:val="20"/>
                <w:color w:val="auto"/>
              </w:rPr>
            </w:pPr>
            <w:r>
              <w:rPr>
                <w:rFonts w:ascii="Arial" w:cs="Arial" w:eastAsia="Arial" w:hAnsi="Arial"/>
                <w:sz w:val="16"/>
                <w:szCs w:val="16"/>
                <w:b w:val="1"/>
                <w:bCs w:val="1"/>
                <w:color w:val="auto"/>
                <w:w w:val="91"/>
              </w:rPr>
              <w:t>(650) 843-5000</w:t>
            </w:r>
          </w:p>
        </w:tc>
      </w:tr>
      <w:tr>
        <w:trPr>
          <w:trHeight w:val="256"/>
        </w:trPr>
        <w:tc>
          <w:tcPr>
            <w:tcW w:w="29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2080" w:type="dxa"/>
            <w:vAlign w:val="bottom"/>
          </w:tcPr>
          <w:p>
            <w:pPr>
              <w:spacing w:after="0"/>
              <w:rPr>
                <w:sz w:val="22"/>
                <w:szCs w:val="22"/>
                <w:color w:val="auto"/>
              </w:rPr>
            </w:pPr>
          </w:p>
        </w:tc>
      </w:tr>
    </w:tbl>
    <w:p>
      <w:pPr>
        <w:spacing w:after="0" w:line="3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70" w:lineRule="exact"/>
        <w:rPr>
          <w:sz w:val="24"/>
          <w:szCs w:val="24"/>
          <w:color w:val="auto"/>
        </w:rPr>
      </w:pPr>
    </w:p>
    <w:p>
      <w:pPr>
        <w:spacing w:after="0" w:line="22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00" w:lineRule="exact"/>
        <w:rPr>
          <w:sz w:val="24"/>
          <w:szCs w:val="24"/>
          <w:color w:val="auto"/>
        </w:rPr>
      </w:pPr>
    </w:p>
    <w:p>
      <w:pPr>
        <w:spacing w:after="0" w:line="22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00" w:lineRule="exact"/>
        <w:rPr>
          <w:sz w:val="24"/>
          <w:szCs w:val="24"/>
          <w:color w:val="auto"/>
        </w:rPr>
      </w:pPr>
    </w:p>
    <w:p>
      <w:pPr>
        <w:spacing w:after="0" w:line="22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00" w:lineRule="exact"/>
        <w:rPr>
          <w:sz w:val="24"/>
          <w:szCs w:val="24"/>
          <w:color w:val="auto"/>
        </w:rPr>
      </w:pPr>
    </w:p>
    <w:p>
      <w:pPr>
        <w:spacing w:after="0" w:line="221"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ectPr>
          <w:pgSz w:w="11900" w:h="16838" w:orient="portrait"/>
          <w:cols w:equalWidth="0" w:num="1">
            <w:col w:w="11240"/>
          </w:cols>
          <w:pgMar w:left="320" w:top="891" w:right="339" w:bottom="1440" w:gutter="0" w:footer="0" w:header="0"/>
        </w:sectPr>
      </w:pPr>
    </w:p>
    <w:bookmarkStart w:id="1" w:name="page2"/>
    <w:bookmarkEnd w:id="1"/>
    <w:p>
      <w:pPr>
        <w:jc w:val="both"/>
        <w:spacing w:after="0" w:line="221"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0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91" w:right="339" w:bottom="1440" w:gutter="0" w:footer="0" w:header="0"/>
        </w:sectPr>
      </w:pPr>
    </w:p>
    <w:p>
      <w:pPr>
        <w:spacing w:after="0" w:line="99" w:lineRule="exact"/>
        <w:rPr>
          <w:sz w:val="20"/>
          <w:szCs w:val="20"/>
          <w:color w:val="auto"/>
        </w:rPr>
      </w:pPr>
    </w:p>
    <w:p>
      <w:pPr>
        <w:ind w:left="1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109" w:lineRule="exact"/>
        <w:rPr>
          <w:sz w:val="20"/>
          <w:szCs w:val="20"/>
          <w:color w:val="auto"/>
        </w:rPr>
      </w:pPr>
    </w:p>
    <w:p>
      <w:pPr>
        <w:sectPr>
          <w:pgSz w:w="11900" w:h="16838" w:orient="portrait"/>
          <w:cols w:equalWidth="0" w:num="2">
            <w:col w:w="6860" w:space="720"/>
            <w:col w:w="3660"/>
          </w:cols>
          <w:pgMar w:left="320" w:top="791" w:right="339" w:bottom="1440" w:gutter="0" w:footer="0" w:header="0"/>
          <w:type w:val="continuous"/>
        </w:sectPr>
      </w:pPr>
    </w:p>
    <w:p>
      <w:pPr>
        <w:ind w:left="1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9" w:lineRule="exact"/>
        <w:rPr>
          <w:sz w:val="20"/>
          <w:szCs w:val="20"/>
          <w:color w:val="auto"/>
        </w:rPr>
      </w:pPr>
    </w:p>
    <w:p>
      <w:pPr>
        <w:sectPr>
          <w:pgSz w:w="11900" w:h="16838" w:orient="portrait"/>
          <w:cols w:equalWidth="0" w:num="2">
            <w:col w:w="6860" w:space="720"/>
            <w:col w:w="3660"/>
          </w:cols>
          <w:pgMar w:left="320" w:top="791" w:right="339" w:bottom="1440" w:gutter="0" w:footer="0" w:header="0"/>
          <w:type w:val="continuous"/>
        </w:sectPr>
      </w:pPr>
    </w:p>
    <w:p>
      <w:pPr>
        <w:ind w:left="75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791" w:right="339" w:bottom="1440" w:gutter="0" w:footer="0" w:header="0"/>
          <w:type w:val="continuous"/>
        </w:sectPr>
      </w:pPr>
    </w:p>
    <w:p>
      <w:pPr>
        <w:spacing w:after="0" w:line="315"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172720</wp:posOffset>
            </wp:positionV>
            <wp:extent cx="19202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111760</wp:posOffset>
            </wp:positionV>
            <wp:extent cx="69094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Proposed</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Proposed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520" w:type="dxa"/>
            <w:vAlign w:val="bottom"/>
            <w:gridSpan w:val="2"/>
            <w:vMerge w:val="continue"/>
          </w:tcPr>
          <w:p>
            <w:pPr>
              <w:spacing w:after="0"/>
              <w:rPr>
                <w:sz w:val="12"/>
                <w:szCs w:val="12"/>
                <w:color w:val="auto"/>
              </w:rPr>
            </w:pPr>
          </w:p>
        </w:tc>
        <w:tc>
          <w:tcPr>
            <w:tcW w:w="154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9"/>
              </w:rPr>
              <w:t>Maximum</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140" w:type="dxa"/>
            <w:vAlign w:val="bottom"/>
            <w:gridSpan w:val="2"/>
            <w:vMerge w:val="restart"/>
          </w:tcPr>
          <w:p>
            <w:pPr>
              <w:jc w:val="center"/>
              <w:ind w:right="1800"/>
              <w:spacing w:after="0"/>
              <w:rPr>
                <w:sz w:val="20"/>
                <w:szCs w:val="20"/>
                <w:color w:val="auto"/>
              </w:rPr>
            </w:pPr>
            <w:r>
              <w:rPr>
                <w:rFonts w:ascii="Arial" w:cs="Arial" w:eastAsia="Arial" w:hAnsi="Arial"/>
                <w:sz w:val="14"/>
                <w:szCs w:val="14"/>
                <w:b w:val="1"/>
                <w:bCs w:val="1"/>
                <w:color w:val="auto"/>
                <w:w w:val="91"/>
              </w:rPr>
              <w:t>Title of Each Class of</w:t>
            </w:r>
          </w:p>
        </w:tc>
        <w:tc>
          <w:tcPr>
            <w:tcW w:w="1660" w:type="dxa"/>
            <w:vAlign w:val="bottom"/>
            <w:gridSpan w:val="2"/>
            <w:vMerge w:val="continue"/>
          </w:tcPr>
          <w:p>
            <w:pPr>
              <w:spacing w:after="0"/>
              <w:rPr>
                <w:sz w:val="9"/>
                <w:szCs w:val="9"/>
                <w:color w:val="auto"/>
              </w:rPr>
            </w:pPr>
          </w:p>
        </w:tc>
        <w:tc>
          <w:tcPr>
            <w:tcW w:w="152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rPr>
              <w:t>Maximum</w:t>
            </w: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140" w:type="dxa"/>
            <w:vAlign w:val="bottom"/>
            <w:gridSpan w:val="2"/>
            <w:vMerge w:val="continue"/>
          </w:tcPr>
          <w:p>
            <w:pPr>
              <w:spacing w:after="0"/>
              <w:rPr>
                <w:sz w:val="11"/>
                <w:szCs w:val="11"/>
                <w:color w:val="auto"/>
              </w:rPr>
            </w:pPr>
          </w:p>
        </w:tc>
        <w:tc>
          <w:tcPr>
            <w:tcW w:w="16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to be</w:t>
            </w:r>
          </w:p>
        </w:tc>
        <w:tc>
          <w:tcPr>
            <w:tcW w:w="15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gridSpan w:val="2"/>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4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Securities to be Registered</w:t>
            </w: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Registered</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Per Unit</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Offering</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Common Stock, par value $0.0001 per share</w:t>
            </w: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Preferred Stock, par value $0.0001 per share</w:t>
            </w: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Debt Securities</w:t>
            </w: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Warrants</w:t>
            </w: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40" w:hanging="332"/>
        <w:spacing w:after="0" w:line="234" w:lineRule="auto"/>
        <w:tabs>
          <w:tab w:leader="none" w:pos="399" w:val="left"/>
        </w:tabs>
        <w:numPr>
          <w:ilvl w:val="0"/>
          <w:numId w:val="1"/>
        </w:numPr>
        <w:rPr>
          <w:rFonts w:ascii="Arial" w:cs="Arial" w:eastAsia="Arial" w:hAnsi="Arial"/>
          <w:sz w:val="16"/>
          <w:szCs w:val="16"/>
          <w:color w:val="auto"/>
        </w:rPr>
      </w:pPr>
      <w:r>
        <w:rPr>
          <w:rFonts w:ascii="Arial" w:cs="Arial" w:eastAsia="Arial" w:hAnsi="Arial"/>
          <w:sz w:val="16"/>
          <w:szCs w:val="16"/>
          <w:color w:val="auto"/>
        </w:rPr>
        <w:t>Omitted pursuant to General Instructions II.E of Form S-3. An indeterminate number or amount, as the case may be, of shares of common stock, shares of preferred stock, debt securities and warrants are being registered hereunder as may from time to time be issued at indeterminate prices. The securities being registered hereunder may be convertible into or exchangeable or exercisable for other securities of any identified class, and may be sold separately or in combination with the other securities registered hereunder.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Separate consideration may or may not be received for securities that are issuable upon the conversion or exercise of, or in exchange for, other securities offered hereby.</w:t>
      </w:r>
    </w:p>
    <w:p>
      <w:pPr>
        <w:spacing w:after="0" w:line="215" w:lineRule="exact"/>
        <w:rPr>
          <w:rFonts w:ascii="Arial" w:cs="Arial" w:eastAsia="Arial" w:hAnsi="Arial"/>
          <w:sz w:val="16"/>
          <w:szCs w:val="16"/>
          <w:color w:val="auto"/>
        </w:rPr>
      </w:pPr>
    </w:p>
    <w:p>
      <w:pPr>
        <w:ind w:left="340" w:right="20" w:hanging="332"/>
        <w:spacing w:after="0" w:line="258" w:lineRule="auto"/>
        <w:tabs>
          <w:tab w:leader="none" w:pos="372"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Rules 456(b) and 457(r), the Registrant is deferring payment of all applicable registration fees. Any registration fees will be paid subsequently on a pay-as-you-go basis in accordance with Rule 457(r).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497205</wp:posOffset>
            </wp:positionV>
            <wp:extent cx="2571750" cy="994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Common Stock</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Preferred Stock</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Debt Securities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Warrants</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228" w:lineRule="exact"/>
        <w:rPr>
          <w:sz w:val="20"/>
          <w:szCs w:val="20"/>
          <w:color w:val="auto"/>
        </w:rPr>
      </w:pPr>
    </w:p>
    <w:p>
      <w:pPr>
        <w:ind w:right="20" w:firstLine="324"/>
        <w:spacing w:after="0" w:line="255" w:lineRule="auto"/>
        <w:rPr>
          <w:sz w:val="20"/>
          <w:szCs w:val="20"/>
          <w:color w:val="auto"/>
        </w:rPr>
      </w:pPr>
      <w:r>
        <w:rPr>
          <w:rFonts w:ascii="Arial" w:cs="Arial" w:eastAsia="Arial" w:hAnsi="Arial"/>
          <w:sz w:val="17"/>
          <w:szCs w:val="17"/>
          <w:color w:val="auto"/>
        </w:rPr>
        <w:t>From time to time, we or selling securityholders may offer and sell any combination of the securities described in this prospectus, either individually or in combination. We or selling securityholders may also offer common stock or preferred stock upon conversion of debt securities, common stock upon conversion of preferred stock, or common stock, preferred stock or debt securities upon the exercise of warrants</w:t>
      </w:r>
    </w:p>
    <w:p>
      <w:pPr>
        <w:jc w:val="both"/>
        <w:ind w:firstLine="324"/>
        <w:spacing w:after="0" w:line="277" w:lineRule="auto"/>
        <w:rPr>
          <w:sz w:val="20"/>
          <w:szCs w:val="20"/>
          <w:color w:val="auto"/>
        </w:rPr>
      </w:pPr>
      <w:r>
        <w:rPr>
          <w:rFonts w:ascii="Arial" w:cs="Arial" w:eastAsia="Arial" w:hAnsi="Arial"/>
          <w:sz w:val="16"/>
          <w:szCs w:val="16"/>
          <w:color w:val="auto"/>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Our common stock is listed on The Nasdaq Global Market under the trading symbol “SIBN.” On March 9, 2021, the last reported sale price of our common stock was $30.64 per share. The applicable prospectus supplement will contain information, where applicable, as to other listings, if any, on The Nasdaq Global Market or other securities exchange of the securities covered by the applicable prospectus supplement.</w:t>
      </w:r>
    </w:p>
    <w:p>
      <w:pPr>
        <w:jc w:val="both"/>
        <w:ind w:firstLine="324"/>
        <w:spacing w:after="0" w:line="238"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Before making an investment decision, you should review carefully the risks described under the heading “</w:t>
      </w:r>
      <w:r>
        <w:rPr>
          <w:rFonts w:ascii="Arial" w:cs="Arial" w:eastAsia="Arial" w:hAnsi="Arial"/>
          <w:sz w:val="18"/>
          <w:szCs w:val="18"/>
          <w:b w:val="1"/>
          <w:bCs w:val="1"/>
          <w:i w:val="1"/>
          <w:iCs w:val="1"/>
          <w:color w:val="0000FF"/>
        </w:rPr>
        <w:t>Risk Factors</w:t>
      </w:r>
      <w:r>
        <w:rPr>
          <w:rFonts w:ascii="Arial" w:cs="Arial" w:eastAsia="Arial" w:hAnsi="Arial"/>
          <w:sz w:val="18"/>
          <w:szCs w:val="18"/>
          <w:b w:val="1"/>
          <w:bCs w:val="1"/>
          <w:i w:val="1"/>
          <w:i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a sale of securities unless accompanied by a prospectus supplement.</w:t>
      </w:r>
    </w:p>
    <w:p>
      <w:pPr>
        <w:spacing w:after="0" w:line="2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The securities may be sold directly by us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as that term is used in the Jumpstart Our Business Startups Act of 2012 and, as such, we have elected to take advantage of certain reduced public company reporting requirements for this prospectus and future filings.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80645</wp:posOffset>
            </wp:positionV>
            <wp:extent cx="19888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March 10, 2021.</w:t>
      </w:r>
    </w:p>
    <w:p>
      <w:pPr>
        <w:sectPr>
          <w:pgSz w:w="11900" w:h="16838" w:orient="portrait"/>
          <w:cols w:equalWidth="0" w:num="1">
            <w:col w:w="11240"/>
          </w:cols>
          <w:pgMar w:left="320" w:top="999"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2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ABOUT THIS PROSPECTUS</w:t>
              </w:r>
            </w:hyperlink>
          </w:p>
        </w:tc>
        <w:tc>
          <w:tcPr>
            <w:tcW w:w="660" w:type="dxa"/>
            <w:vAlign w:val="bottom"/>
          </w:tcPr>
          <w:p>
            <w:pPr>
              <w:jc w:val="cente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ii</w:t>
              </w:r>
            </w:hyperlink>
          </w:p>
        </w:tc>
      </w:tr>
      <w:tr>
        <w:trPr>
          <w:trHeight w:val="230"/>
        </w:trPr>
        <w:tc>
          <w:tcPr>
            <w:tcW w:w="942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PROSPECTUS SUMMARY</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1</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6</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SPECIAL NOTE REGARDING FORWARD-LOOKING STATEMENTS</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11">
              <w:r>
                <w:rPr>
                  <w:rFonts w:ascii="Arial" w:cs="Arial" w:eastAsia="Arial" w:hAnsi="Arial"/>
                  <w:sz w:val="18"/>
                  <w:szCs w:val="18"/>
                  <w:u w:val="single" w:color="auto"/>
                  <w:color w:val="0000FF"/>
                  <w:w w:val="99"/>
                </w:rPr>
                <w:t>6</w:t>
              </w:r>
            </w:hyperlink>
          </w:p>
        </w:tc>
      </w:tr>
      <w:tr>
        <w:trPr>
          <w:trHeight w:val="230"/>
        </w:trPr>
        <w:tc>
          <w:tcPr>
            <w:tcW w:w="9420" w:type="dxa"/>
            <w:vAlign w:val="bottom"/>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USE OF PROCEEDS</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12">
              <w:r>
                <w:rPr>
                  <w:rFonts w:ascii="Arial" w:cs="Arial" w:eastAsia="Arial" w:hAnsi="Arial"/>
                  <w:sz w:val="18"/>
                  <w:szCs w:val="18"/>
                  <w:u w:val="single" w:color="auto"/>
                  <w:color w:val="0000FF"/>
                  <w:w w:val="99"/>
                </w:rPr>
                <w:t>7</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DESCRIPTION OF CAPITAL STOCK</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12">
              <w:r>
                <w:rPr>
                  <w:rFonts w:ascii="Arial" w:cs="Arial" w:eastAsia="Arial" w:hAnsi="Arial"/>
                  <w:sz w:val="18"/>
                  <w:szCs w:val="18"/>
                  <w:u w:val="single" w:color="auto"/>
                  <w:color w:val="0000FF"/>
                  <w:w w:val="99"/>
                </w:rPr>
                <w:t>7</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DESCRIPTION OF DEBT SECURITIES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15">
              <w:r>
                <w:rPr>
                  <w:rFonts w:ascii="Arial" w:cs="Arial" w:eastAsia="Arial" w:hAnsi="Arial"/>
                  <w:sz w:val="18"/>
                  <w:szCs w:val="18"/>
                  <w:u w:val="single" w:color="auto"/>
                  <w:color w:val="0000FF"/>
                  <w:w w:val="89"/>
                </w:rPr>
                <w:t>10</w:t>
              </w:r>
            </w:hyperlink>
          </w:p>
        </w:tc>
      </w:tr>
      <w:tr>
        <w:trPr>
          <w:trHeight w:val="230"/>
        </w:trPr>
        <w:tc>
          <w:tcPr>
            <w:tcW w:w="942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DESCRIPTION OF WARRANTS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16</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LEGAL OWNERSHIP OF SECURITIES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17</w:t>
              </w:r>
            </w:hyperlink>
          </w:p>
        </w:tc>
      </w:tr>
      <w:tr>
        <w:trPr>
          <w:trHeight w:val="230"/>
        </w:trPr>
        <w:tc>
          <w:tcPr>
            <w:tcW w:w="9420" w:type="dxa"/>
            <w:vAlign w:val="bottom"/>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SELLING SECURITYHOLDERS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5">
              <w:r>
                <w:rPr>
                  <w:rFonts w:ascii="Arial" w:cs="Arial" w:eastAsia="Arial" w:hAnsi="Arial"/>
                  <w:sz w:val="18"/>
                  <w:szCs w:val="18"/>
                  <w:u w:val="single" w:color="auto"/>
                  <w:color w:val="0000FF"/>
                  <w:w w:val="89"/>
                </w:rPr>
                <w:t>21</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PLAN OF DISTRIBUTION</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22</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LEGAL MATTERS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23</w:t>
              </w:r>
            </w:hyperlink>
          </w:p>
        </w:tc>
      </w:tr>
      <w:tr>
        <w:trPr>
          <w:trHeight w:val="230"/>
        </w:trPr>
        <w:tc>
          <w:tcPr>
            <w:tcW w:w="942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EXPERTS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24</w:t>
              </w:r>
            </w:hyperlink>
          </w:p>
        </w:tc>
      </w:tr>
      <w:tr>
        <w:trPr>
          <w:trHeight w:val="229"/>
        </w:trPr>
        <w:tc>
          <w:tcPr>
            <w:tcW w:w="942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WHERE YOU CAN FIND ADDITIONAL INFORMATION</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24</w:t>
              </w:r>
            </w:hyperlink>
          </w:p>
        </w:tc>
      </w:tr>
      <w:tr>
        <w:trPr>
          <w:trHeight w:val="230"/>
        </w:trPr>
        <w:tc>
          <w:tcPr>
            <w:tcW w:w="942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INCORPORATION OF CERTAIN INFORMATION BY REFERENCE</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080"/>
          </w:cols>
          <w:pgMar w:left="920" w:top="958" w:right="8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or SEC, using a “shelf” registration process as a “well-known seasoned issuer” as defined in Rule 405 under the Securities Act of 1933, as amended, or the Securities Act. Under this shelf registration statement, we or selling securityholders may, from time to time, offer and sell, either individually or in combination, in one or more offerings, any combination of the securities described in this prospectus. There is no limit on the aggregate amount of the securities that we or selling securityholders may offer pursuant to the registration statement of which this prospectus is a part.</w:t>
      </w:r>
    </w:p>
    <w:p>
      <w:pPr>
        <w:spacing w:after="0" w:line="2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This prospectus provides you with a general description of the securities we or selling securityholders may offer. 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24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spacing w:after="0" w:line="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207" w:lineRule="exact"/>
        <w:rPr>
          <w:sz w:val="20"/>
          <w:szCs w:val="20"/>
          <w:color w:val="auto"/>
        </w:rPr>
      </w:pPr>
    </w:p>
    <w:p>
      <w:pPr>
        <w:jc w:val="both"/>
        <w:ind w:firstLine="324"/>
        <w:spacing w:after="0" w:line="200"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w:t>
      </w:r>
    </w:p>
    <w:p>
      <w:pPr>
        <w:ind w:left="5580"/>
        <w:spacing w:after="0" w:line="189" w:lineRule="auto"/>
        <w:rPr>
          <w:sz w:val="20"/>
          <w:szCs w:val="20"/>
          <w:color w:val="auto"/>
        </w:rPr>
      </w:pPr>
      <w:r>
        <w:rPr>
          <w:rFonts w:ascii="Arial" w:cs="Arial" w:eastAsia="Arial" w:hAnsi="Arial"/>
          <w:sz w:val="18"/>
          <w:szCs w:val="18"/>
          <w:color w:val="auto"/>
        </w:rPr>
        <w:t>ii</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part, and you may obtain copies of those documents as described below under the section entitled “Where You Can Find Additional Information.”</w:t>
      </w:r>
    </w:p>
    <w:p>
      <w:pPr>
        <w:sectPr>
          <w:pgSz w:w="11900" w:h="16838" w:orient="portrait"/>
          <w:cols w:equalWidth="0" w:num="1">
            <w:col w:w="11240"/>
          </w:cols>
          <w:pgMar w:left="320" w:top="95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559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8559165"/>
                    </a:xfrm>
                    <a:prstGeom prst="rect">
                      <a:avLst/>
                    </a:prstGeom>
                    <a:noFill/>
                  </pic:spPr>
                </pic:pic>
              </a:graphicData>
            </a:graphic>
          </wp:anchor>
        </w:drawing>
        <w:t>PROSPECTUS SUMMARY</w:t>
      </w:r>
    </w:p>
    <w:p>
      <w:pPr>
        <w:spacing w:after="0" w:line="24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to treat sacroiliac joint dysfunction that often causes severe lower back pain. As of December 31, 2020, more than 53,000 procedures implanting iFuse have been performed by over 2,300 surgeons in the United States and more than 35 other countries since we introduced iFuse in 2009.</w:t>
      </w:r>
    </w:p>
    <w:p>
      <w:pPr>
        <w:spacing w:after="0" w:line="182"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The sacroiliac joint, which is the largest joint in the human body, can cause debilitating pain. Clinical studies have shown that 15% to 30% of all chronic lower back pain is associated with the sacroiliac joint. Studies have also shown that the disability that results from disease of the sacroiliac joint is comparable to the disability associated with a number of other serious orthopedic conditions, such as knee and hip arthritis and degenerative disc disease, each of which has surgical solutions in which an implant is used and a multi-billion dollar market exists. We believe iFuse is currently the market leading implantable device used in minimally invasive surgical fusions of the sacroiliac joint in the United States.</w:t>
      </w:r>
    </w:p>
    <w:p>
      <w:pPr>
        <w:spacing w:after="0" w:line="21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Our iFuse Implant System includes a series of patented triangular titanium implants and the instruments we have developed to enable surgeons to perform the procedure. Surgeons place our implants across the sacroiliac joint, either from a lateral approach through the iliac, or hip,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w:t>
      </w:r>
    </w:p>
    <w:p>
      <w:pPr>
        <w:spacing w:after="0" w:line="21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Our iFuse implants have a triangular cross section that resists twisting or rotation of the implant within the bone within which it is implanted, regardless of the surgical approach and technique used to place the implants. The triangular shape of our implants helps stabilize the joint, and the implants’ porous surface facilitates biologic fixation of the bone onto the implant, or bony ongrowth and ingrowth, that results in fusion. We hold issued patents on implants with cross-sections of many non-round shapes, including the triangular shape of the iFuse implant. We also hold issued patents for the method of placing those implants across the sacroiliac joint, as well as other parts of the spine and pelvis. Each titanium iFuse implant has at least three times the strength of a typical eight-millimeter cannulated surgical screw, and the large porous surface area of our implants allows for bony ingrowth.</w:t>
      </w:r>
    </w:p>
    <w:p>
      <w:pPr>
        <w:spacing w:after="0" w:line="21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color w:val="auto"/>
        </w:rPr>
        <w:t>We introduced iFuse-3D, our second-generation implant, in 2017. This patented titanium implant combines the triangular cross-section of the iFuse implant with the proprietary 3D-printed porous surface and a fenestrated design. This design also allows the surgeon to fill the implant with ground-up bone before implantation, which some surgeons believe accelerates bone through-growth and biological fixation. iFuse-3D implants have shown positive bony ingrowth, ongrowth and through-growth in cell culture and animal studies, whether or not ground-up bone is used. We hold issued patents on 3D-printed triangular implants with fenestrations, or holes, which allow bone to grow into and through the implants.</w:t>
      </w:r>
    </w:p>
    <w:p>
      <w:pPr>
        <w:spacing w:after="0" w:line="210"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7"/>
          <w:szCs w:val="17"/>
          <w:color w:val="auto"/>
        </w:rPr>
        <w:t>In April 2019, we received clearance from the United States Food and Drug Administration, or FDA, to promote the use of our iFuse Implant System for fusion of the sacroiliac joint in conjunction with multi-level spinal fusion procedures to provide further stabilization and</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immobilization of the sacroiliac joint. For this indication, surgeons typically use the posterior approach, through the sacrum and into the iliac bones, which we call the Bedrock technique. We received CE marking and began marketing our iFuse Implant System for this indication and surgical technique in Europe in December 2019. In March 2020, we received FDA 510(k) clearance for an expanded indication for the iFuse Implant System to support our trauma program. </w:t>
      </w:r>
      <w:r>
        <w:rPr>
          <w:rFonts w:ascii="Arial" w:cs="Arial" w:eastAsia="Arial" w:hAnsi="Arial"/>
          <w:sz w:val="18"/>
          <w:szCs w:val="18"/>
          <w:color w:val="auto"/>
          <w:highlight w:val="white"/>
        </w:rPr>
        <w:t>In January 2021, we received CE marking for a similarly expanded indication for use to support</w:t>
      </w:r>
      <w:r>
        <w:rPr>
          <w:rFonts w:ascii="Arial" w:cs="Arial" w:eastAsia="Arial" w:hAnsi="Arial"/>
          <w:sz w:val="18"/>
          <w:szCs w:val="18"/>
          <w:color w:val="auto"/>
        </w:rPr>
        <w:t xml:space="preserve"> </w:t>
      </w:r>
      <w:r>
        <w:rPr>
          <w:rFonts w:ascii="Arial" w:cs="Arial" w:eastAsia="Arial" w:hAnsi="Arial"/>
          <w:sz w:val="18"/>
          <w:szCs w:val="18"/>
          <w:color w:val="auto"/>
          <w:highlight w:val="white"/>
        </w:rPr>
        <w:t>our trauma program in Europe.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is subject to numerous risks. You should read these risks before you invest in our common stock. In particular, our risks include, but are not limited to, the following:</w:t>
      </w:r>
    </w:p>
    <w:p>
      <w:pPr>
        <w:sectPr>
          <w:pgSz w:w="11900" w:h="16838" w:orient="portrait"/>
          <w:cols w:equalWidth="0" w:num="1">
            <w:col w:w="10400"/>
          </w:cols>
          <w:pgMar w:left="740" w:top="137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400"/>
          </w:cols>
          <w:pgMar w:left="740" w:top="1377" w:right="759" w:bottom="1440" w:gutter="0" w:footer="0" w:header="0"/>
          <w:type w:val="continuous"/>
        </w:sectPr>
      </w:pPr>
    </w:p>
    <w:bookmarkStart w:id="6" w:name="page7"/>
    <w:bookmarkEnd w:id="6"/>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722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8722360"/>
                    </a:xfrm>
                    <a:prstGeom prst="rect">
                      <a:avLst/>
                    </a:prstGeom>
                    <a:noFill/>
                  </pic:spPr>
                </pic:pic>
              </a:graphicData>
            </a:graphic>
          </wp:anchor>
        </w:drawing>
        <w:t>We have incurred significant operating losses since inception, we expect to continue to incur operating losses in the future and we may not be able to achieve or sustain future profitability;</w:t>
      </w:r>
    </w:p>
    <w:p>
      <w:pPr>
        <w:spacing w:after="0" w:line="197" w:lineRule="exact"/>
        <w:rPr>
          <w:rFonts w:ascii="Arial" w:cs="Arial" w:eastAsia="Arial" w:hAnsi="Arial"/>
          <w:sz w:val="18"/>
          <w:szCs w:val="18"/>
          <w:color w:val="auto"/>
        </w:rPr>
      </w:pPr>
    </w:p>
    <w:p>
      <w:pPr>
        <w:ind w:left="640" w:hanging="314"/>
        <w:spacing w:after="0" w:line="324" w:lineRule="auto"/>
        <w:tabs>
          <w:tab w:leader="none" w:pos="635" w:val="left"/>
        </w:tabs>
        <w:numPr>
          <w:ilvl w:val="0"/>
          <w:numId w:val="2"/>
        </w:numPr>
        <w:rPr>
          <w:rFonts w:ascii="Arial" w:cs="Arial" w:eastAsia="Arial" w:hAnsi="Arial"/>
          <w:sz w:val="16"/>
          <w:szCs w:val="16"/>
          <w:color w:val="auto"/>
        </w:rPr>
      </w:pPr>
      <w:r>
        <w:rPr>
          <w:rFonts w:ascii="Arial" w:cs="Arial" w:eastAsia="Arial" w:hAnsi="Arial"/>
          <w:sz w:val="16"/>
          <w:szCs w:val="16"/>
          <w:color w:val="auto"/>
        </w:rPr>
        <w:t>Epidemic diseases, or the perception of their effects, have had and could have (or, in the case of the COVID-19 pandemic, will continue to have during its duration) a material adverse effect on our business, financial condition, results of operations, or cash flows;</w:t>
      </w:r>
    </w:p>
    <w:p>
      <w:pPr>
        <w:spacing w:after="0" w:line="151" w:lineRule="exact"/>
        <w:rPr>
          <w:rFonts w:ascii="Arial" w:cs="Arial" w:eastAsia="Arial" w:hAnsi="Arial"/>
          <w:sz w:val="16"/>
          <w:szCs w:val="16"/>
          <w:color w:val="auto"/>
        </w:rPr>
      </w:pPr>
    </w:p>
    <w:p>
      <w:pPr>
        <w:jc w:val="both"/>
        <w:ind w:left="640" w:hanging="314"/>
        <w:spacing w:after="0" w:line="248"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208" w:lineRule="exact"/>
        <w:rPr>
          <w:rFonts w:ascii="Arial" w:cs="Arial" w:eastAsia="Arial" w:hAnsi="Arial"/>
          <w:sz w:val="18"/>
          <w:szCs w:val="18"/>
          <w:color w:val="auto"/>
        </w:rPr>
      </w:pPr>
    </w:p>
    <w:p>
      <w:pPr>
        <w:jc w:val="both"/>
        <w:ind w:left="640" w:hanging="314"/>
        <w:spacing w:after="0" w:line="248"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208"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97"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97" w:lineRule="exact"/>
        <w:rPr>
          <w:rFonts w:ascii="Arial" w:cs="Arial" w:eastAsia="Arial" w:hAnsi="Arial"/>
          <w:sz w:val="18"/>
          <w:szCs w:val="18"/>
          <w:color w:val="auto"/>
        </w:rPr>
      </w:pPr>
    </w:p>
    <w:p>
      <w:pPr>
        <w:jc w:val="both"/>
        <w:ind w:left="640" w:hanging="314"/>
        <w:spacing w:after="0" w:line="248"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208"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COVID-19 pandemic has caused procedures to be shifted from the hospital environment to ambulatory surgical centers, or ASCs, where pressure on the prices of our products is generally more acute;</w:t>
      </w:r>
    </w:p>
    <w:p>
      <w:pPr>
        <w:spacing w:after="0" w:line="197"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adversely affected;</w:t>
      </w:r>
    </w:p>
    <w:p>
      <w:pPr>
        <w:spacing w:after="0" w:line="197" w:lineRule="exact"/>
        <w:rPr>
          <w:rFonts w:ascii="Arial" w:cs="Arial" w:eastAsia="Arial" w:hAnsi="Arial"/>
          <w:sz w:val="18"/>
          <w:szCs w:val="18"/>
          <w:color w:val="auto"/>
        </w:rPr>
      </w:pPr>
    </w:p>
    <w:p>
      <w:pPr>
        <w:jc w:val="both"/>
        <w:ind w:left="640" w:hanging="314"/>
        <w:spacing w:after="0" w:line="248"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currently manufacture and sell a single family of products focused on procedures, the goal of which is to stabilize and fuse the sacroiliac joint. Reliance on a single family of products and single procedure could negatively affect our results of operations and financial condition;</w:t>
      </w:r>
    </w:p>
    <w:p>
      <w:pPr>
        <w:spacing w:after="0" w:line="208" w:lineRule="exact"/>
        <w:rPr>
          <w:rFonts w:ascii="Arial" w:cs="Arial" w:eastAsia="Arial" w:hAnsi="Arial"/>
          <w:sz w:val="18"/>
          <w:szCs w:val="18"/>
          <w:color w:val="auto"/>
        </w:rPr>
      </w:pPr>
    </w:p>
    <w:p>
      <w:pPr>
        <w:ind w:left="640" w:hanging="314"/>
        <w:spacing w:after="0" w:line="324" w:lineRule="auto"/>
        <w:tabs>
          <w:tab w:leader="none" w:pos="635"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151" w:lineRule="exact"/>
        <w:rPr>
          <w:rFonts w:ascii="Arial" w:cs="Arial" w:eastAsia="Arial" w:hAnsi="Arial"/>
          <w:sz w:val="16"/>
          <w:szCs w:val="16"/>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maintain our network of direct sales representatives and third-party distributors, we may not be able to generate anticipated sales;</w:t>
      </w:r>
    </w:p>
    <w:p>
      <w:pPr>
        <w:spacing w:after="0" w:line="197" w:lineRule="exact"/>
        <w:rPr>
          <w:rFonts w:ascii="Arial" w:cs="Arial" w:eastAsia="Arial" w:hAnsi="Arial"/>
          <w:sz w:val="18"/>
          <w:szCs w:val="18"/>
          <w:color w:val="auto"/>
        </w:rPr>
      </w:pPr>
    </w:p>
    <w:p>
      <w:pPr>
        <w:jc w:val="both"/>
        <w:ind w:left="640" w:hanging="314"/>
        <w:spacing w:after="0" w:line="248"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208"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U.S. and abroad, and failure to comply with applicable requirements could cause our business to suffer;</w:t>
      </w:r>
    </w:p>
    <w:p>
      <w:pPr>
        <w:spacing w:after="0" w:line="197"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and our sales representatives must comply with U.S. federal and state fraud and abuse laws, including those relating to physician kickbacks and false claims for reimbursement, as well as equivalent foreign laws; and</w:t>
      </w:r>
    </w:p>
    <w:p>
      <w:pPr>
        <w:spacing w:after="0" w:line="197" w:lineRule="exact"/>
        <w:rPr>
          <w:rFonts w:ascii="Arial" w:cs="Arial" w:eastAsia="Arial" w:hAnsi="Arial"/>
          <w:sz w:val="18"/>
          <w:szCs w:val="18"/>
          <w:color w:val="auto"/>
        </w:rPr>
      </w:pPr>
    </w:p>
    <w:p>
      <w:pPr>
        <w:ind w:left="640" w:hanging="314"/>
        <w:spacing w:after="0" w:line="324" w:lineRule="auto"/>
        <w:tabs>
          <w:tab w:leader="none" w:pos="635"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highlight w:val="white"/>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ectPr>
          <w:pgSz w:w="11900" w:h="16838" w:orient="portrait"/>
          <w:cols w:equalWidth="0" w:num="1">
            <w:col w:w="10400"/>
          </w:cols>
          <w:pgMar w:left="740" w:top="136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400"/>
          </w:cols>
          <w:pgMar w:left="740" w:top="1367" w:right="759" w:bottom="1440" w:gutter="0" w:footer="0" w:header="0"/>
          <w:type w:val="continuous"/>
        </w:sectPr>
      </w:pPr>
    </w:p>
    <w:bookmarkStart w:id="7" w:name="page8"/>
    <w:bookmarkEnd w:id="7"/>
    <w:p>
      <w:pPr>
        <w:jc w:val="both"/>
        <w:ind w:firstLine="324"/>
        <w:spacing w:after="0" w:line="308" w:lineRule="auto"/>
        <w:rPr>
          <w:sz w:val="20"/>
          <w:szCs w:val="20"/>
          <w:color w:val="auto"/>
        </w:rPr>
      </w:pPr>
      <w:r>
        <w:rPr>
          <w:rFonts w:ascii="Arial" w:cs="Arial" w:eastAsia="Arial" w:hAnsi="Arial"/>
          <w:sz w:val="17"/>
          <w:szCs w:val="17"/>
          <w:color w:val="auto"/>
          <w:highlight w:val="white"/>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430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8430895"/>
                    </a:xfrm>
                    <a:prstGeom prst="rect">
                      <a:avLst/>
                    </a:prstGeom>
                    <a:noFill/>
                  </pic:spPr>
                </pic:pic>
              </a:graphicData>
            </a:graphic>
          </wp:anchor>
        </w:drawing>
        <w:t>Our common stock is currently listed on the Nasdaq Global Market under the symbol “SIBN.” We are an “emerging growth company” under the Jumpstart Our Business Startups Act of 2012, and therefore we are subject to reduced public company reporting requirements.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4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6"/>
          <w:szCs w:val="16"/>
          <w:color w:val="auto"/>
        </w:rPr>
        <w:t>We or selling securityholders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There is no limit on the aggregate amount of the securities that we or selling securityholders may offer pursuant to the registration statement of which this prospectus is a part. We or selling securityholders may also offer common stock, preferred stock and/or debt securities upon the exercise of warrants.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208" w:lineRule="exact"/>
        <w:rPr>
          <w:sz w:val="20"/>
          <w:szCs w:val="20"/>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144" w:lineRule="exact"/>
        <w:rPr>
          <w:rFonts w:ascii="Arial" w:cs="Arial" w:eastAsia="Arial" w:hAnsi="Arial"/>
          <w:sz w:val="18"/>
          <w:szCs w:val="18"/>
          <w:color w:val="auto"/>
        </w:rPr>
      </w:pPr>
    </w:p>
    <w:p>
      <w:pPr>
        <w:ind w:left="640" w:hanging="314"/>
        <w:spacing w:after="0" w:line="30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2"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ranking;</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1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210"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53" w:lineRule="exact"/>
        <w:rPr>
          <w:sz w:val="20"/>
          <w:szCs w:val="20"/>
          <w:color w:val="auto"/>
        </w:rPr>
      </w:pPr>
    </w:p>
    <w:p>
      <w:pPr>
        <w:jc w:val="both"/>
        <w:ind w:firstLine="381"/>
        <w:spacing w:after="0" w:line="294" w:lineRule="auto"/>
        <w:rPr>
          <w:sz w:val="20"/>
          <w:szCs w:val="20"/>
          <w:color w:val="auto"/>
        </w:rPr>
      </w:pPr>
      <w:r>
        <w:rPr>
          <w:rFonts w:ascii="Arial" w:cs="Arial" w:eastAsia="Arial" w:hAnsi="Arial"/>
          <w:sz w:val="16"/>
          <w:szCs w:val="16"/>
          <w:color w:val="auto"/>
        </w:rPr>
        <w:t>We or selling securityholders may sell the securities directly to investors or to or through agents, underwriters or dealers. We or selling securityholders and our or their agents or underwriters, reserve the right to accept or reject all or part of any proposed purchase of securities. If we or selling securityholders do offer securities to or through agents or underwriters, we will include in the applicable prospectus supplement:</w:t>
      </w:r>
    </w:p>
    <w:p>
      <w:pPr>
        <w:spacing w:after="0" w:line="188" w:lineRule="exact"/>
        <w:rPr>
          <w:sz w:val="20"/>
          <w:szCs w:val="20"/>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36"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36"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36"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79"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i w:val="1"/>
          <w:iCs w:val="1"/>
          <w:color w:val="auto"/>
        </w:rPr>
        <w:t>Common Stock</w:t>
      </w:r>
      <w:r>
        <w:rPr>
          <w:rFonts w:ascii="Arial" w:cs="Arial" w:eastAsia="Arial" w:hAnsi="Arial"/>
          <w:sz w:val="17"/>
          <w:szCs w:val="17"/>
          <w:color w:val="auto"/>
        </w:rPr>
        <w:t>. We may issue shares of our common stock from time to time and the selling securityholders may offer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from time to time. The holders of our common stock are entitled to one vote for each share held of 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w:t>
      </w:r>
    </w:p>
    <w:p>
      <w:pPr>
        <w:sectPr>
          <w:pgSz w:w="11900" w:h="16838" w:orient="portrait"/>
          <w:cols w:equalWidth="0" w:num="1">
            <w:col w:w="10400"/>
          </w:cols>
          <w:pgMar w:left="740" w:top="1435"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400"/>
          </w:cols>
          <w:pgMar w:left="740" w:top="1435" w:right="759" w:bottom="1440" w:gutter="0" w:footer="0" w:header="0"/>
          <w:type w:val="continuous"/>
        </w:sectPr>
      </w:pPr>
    </w:p>
    <w:bookmarkStart w:id="8" w:name="page9"/>
    <w:bookmarkEnd w:id="8"/>
    <w:p>
      <w:pPr>
        <w:jc w:val="both"/>
        <w:spacing w:after="0" w:line="30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439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8439150"/>
                    </a:xfrm>
                    <a:prstGeom prst="rect">
                      <a:avLst/>
                    </a:prstGeom>
                    <a:noFill/>
                  </pic:spPr>
                </pic:pic>
              </a:graphicData>
            </a:graphic>
          </wp:anchor>
        </w:drawing>
        <w:t>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spacing w:after="0" w:line="17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We may issue shares of our preferred stock from time to time, in one or more series. Our board of directors will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w:t>
      </w:r>
    </w:p>
    <w:p>
      <w:pPr>
        <w:spacing w:after="0" w:line="189"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7"/>
          <w:szCs w:val="17"/>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79"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We may issue debt securities from time to time, in one or more series, as either senior or subordinated debt or as senior or</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17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9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We may issue warrants for the purchase of common stock, preferred stock and/or debt securities in one or more series. We may</w:t>
      </w:r>
      <w:r>
        <w:rPr>
          <w:rFonts w:ascii="Arial" w:cs="Arial" w:eastAsia="Arial" w:hAnsi="Arial"/>
          <w:sz w:val="18"/>
          <w:szCs w:val="18"/>
          <w:i w:val="1"/>
          <w:iCs w:val="1"/>
          <w:color w:val="auto"/>
        </w:rPr>
        <w:t xml:space="preserve"> </w:t>
      </w:r>
      <w:r>
        <w:rPr>
          <w:rFonts w:ascii="Arial" w:cs="Arial" w:eastAsia="Arial" w:hAnsi="Arial"/>
          <w:sz w:val="18"/>
          <w:szCs w:val="18"/>
          <w:color w:val="auto"/>
        </w:rPr>
        <w:t>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97"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ectPr>
          <w:pgSz w:w="11900" w:h="16838" w:orient="portrait"/>
          <w:cols w:equalWidth="0" w:num="1">
            <w:col w:w="10400"/>
          </w:cols>
          <w:pgMar w:left="740" w:top="1381"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400"/>
          </w:cols>
          <w:pgMar w:left="740" w:top="1381" w:right="7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2456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456180"/>
                    </a:xfrm>
                    <a:prstGeom prst="rect">
                      <a:avLst/>
                    </a:prstGeom>
                    <a:noFill/>
                  </pic:spPr>
                </pic:pic>
              </a:graphicData>
            </a:graphic>
          </wp:anchor>
        </w:drawing>
        <w:t>Use of Proceeds</w:t>
      </w:r>
    </w:p>
    <w:p>
      <w:pPr>
        <w:spacing w:after="0" w:line="229" w:lineRule="exact"/>
        <w:rPr>
          <w:sz w:val="20"/>
          <w:szCs w:val="20"/>
          <w:color w:val="auto"/>
        </w:rPr>
      </w:pPr>
    </w:p>
    <w:p>
      <w:pPr>
        <w:ind w:right="140" w:firstLine="324"/>
        <w:spacing w:after="0" w:line="243"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We will not receive any proceeds from the sale of securities by any selling securityholder. See “Use of Proceeds” in this prospectus.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is listed on the Nasdaq Global Market under the symbol “SIBN.” The applicable prospectus supplement will contain information, where applicable, as to other listings, if any, on the Nasdaq Global Market or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00"/>
          </w:cols>
          <w:pgMar w:left="740" w:top="1363" w:right="7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4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w:t>
      </w:r>
    </w:p>
    <w:p>
      <w:pPr>
        <w:jc w:val="both"/>
        <w:spacing w:after="0" w:line="264" w:lineRule="auto"/>
        <w:rPr>
          <w:sz w:val="20"/>
          <w:szCs w:val="20"/>
          <w:color w:val="auto"/>
        </w:rPr>
      </w:pPr>
      <w:r>
        <w:rPr>
          <w:rFonts w:ascii="Arial" w:cs="Arial" w:eastAsia="Arial" w:hAnsi="Arial"/>
          <w:sz w:val="18"/>
          <w:szCs w:val="18"/>
          <w:color w:val="auto"/>
        </w:rPr>
        <w:t>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5" w:lineRule="exact"/>
        <w:rPr>
          <w:sz w:val="20"/>
          <w:szCs w:val="20"/>
          <w:color w:val="auto"/>
        </w:rPr>
      </w:pPr>
    </w:p>
    <w:p>
      <w:pPr>
        <w:jc w:val="both"/>
        <w:ind w:left="660" w:hanging="328"/>
        <w:spacing w:after="0" w:line="284"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the COVID-19 pandemic and governmental actions taken to combat the COVID-19 pandemic will have on us, including our operations, financial results, liquidity and capital resources, the existence and duration of state and local orders temporarily prohibiting elective procedures including procedures using the iFuse Implant System, the ability and desire of patients and physicians to undergo and perform such procedures, the duration and any potential resurgence of the COVID-19 pandemic, and whether the COVID-19 pandemic will recur in the future;</w:t>
      </w:r>
    </w:p>
    <w:p>
      <w:pPr>
        <w:spacing w:after="0" w:line="18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 healthy workforce in light of the ongoing COVID-19 pandemic;</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grow our sales team based on the demand for our products;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determinations from third-party payors;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marketing clearances and authorization from the FDA and regulators in other jurisdictions;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ectPr>
          <w:pgSz w:w="11900" w:h="16838" w:orient="portrait"/>
          <w:cols w:equalWidth="0" w:num="1">
            <w:col w:w="11240"/>
          </w:cols>
          <w:pgMar w:left="320" w:top="958"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958" w:right="339" w:bottom="1440" w:gutter="0" w:footer="0" w:header="0"/>
          <w:type w:val="continuous"/>
        </w:sectPr>
      </w:pPr>
    </w:p>
    <w:bookmarkStart w:id="11" w:name="page12"/>
    <w:bookmarkEnd w:id="11"/>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25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sustain or increase demand for our products;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3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8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4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not receive any proceeds from the sale of securities by any selling securityholder.</w:t>
      </w:r>
    </w:p>
    <w:p>
      <w:pPr>
        <w:spacing w:after="0" w:line="1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DESCRIPTION OF CAPITAL STOCK</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capital stock consists of 100,000,000 shares of common stock, $0.0001 par value per share, and 5,000,000 shares of preferred stock, $0.0001 par value per share. A description of material terms and provisions of our certificate of incorporation and bylaws affecting the rights of holders of our capital stock is set forth below. The description is intended as a summary, and is qualified in its entirety by reference to our certificate of incorporation and the bylaws.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949" w:right="339" w:bottom="1440" w:gutter="0" w:footer="0" w:header="0"/>
          <w:type w:val="continuous"/>
        </w:sectPr>
      </w:pPr>
    </w:p>
    <w:bookmarkStart w:id="12" w:name="page13"/>
    <w:bookmarkEnd w:id="12"/>
    <w:p>
      <w:pPr>
        <w:jc w:val="both"/>
        <w:ind w:firstLine="324"/>
        <w:spacing w:after="0" w:line="263"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authorizes our board of directors,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1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for a sinking fund,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49" w:right="339" w:bottom="1440" w:gutter="0" w:footer="0" w:header="0"/>
        </w:sectPr>
      </w:pPr>
    </w:p>
    <w:bookmarkStart w:id="13" w:name="page14"/>
    <w:bookmarkEnd w:id="13"/>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rights of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transfer, sale or other assignment;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discussion of material United States federal income tax considerations applicable to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44" w:lineRule="exact"/>
        <w:rPr>
          <w:sz w:val="20"/>
          <w:szCs w:val="20"/>
          <w:color w:val="auto"/>
        </w:rPr>
      </w:pPr>
    </w:p>
    <w:p>
      <w:pPr>
        <w:jc w:val="both"/>
        <w:ind w:firstLine="445"/>
        <w:spacing w:after="0" w:line="337" w:lineRule="auto"/>
        <w:rPr>
          <w:sz w:val="20"/>
          <w:szCs w:val="20"/>
          <w:color w:val="auto"/>
        </w:rPr>
      </w:pPr>
      <w:r>
        <w:rPr>
          <w:rFonts w:ascii="Arial" w:cs="Arial" w:eastAsia="Arial" w:hAnsi="Arial"/>
          <w:sz w:val="16"/>
          <w:szCs w:val="16"/>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w:t>
      </w:r>
    </w:p>
    <w:p>
      <w:pPr>
        <w:spacing w:after="0" w:line="128" w:lineRule="exact"/>
        <w:rPr>
          <w:rFonts w:ascii="Arial" w:cs="Arial" w:eastAsia="Arial" w:hAnsi="Arial"/>
          <w:sz w:val="17"/>
          <w:szCs w:val="17"/>
          <w:color w:val="auto"/>
        </w:rPr>
      </w:pPr>
    </w:p>
    <w:p>
      <w:pPr>
        <w:ind w:left="660" w:right="100" w:hanging="328"/>
        <w:spacing w:after="0" w:line="275"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222222"/>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w:t>
      </w:r>
      <w:r>
        <w:rPr>
          <w:rFonts w:ascii="Arial" w:cs="Arial" w:eastAsia="Arial" w:hAnsi="Arial"/>
          <w:sz w:val="17"/>
          <w:szCs w:val="17"/>
          <w:color w:val="000000"/>
        </w:rPr>
        <w:t>or</w:t>
      </w:r>
    </w:p>
    <w:p>
      <w:pPr>
        <w:spacing w:after="0" w:line="68" w:lineRule="exact"/>
        <w:rPr>
          <w:rFonts w:ascii="Arial" w:cs="Arial" w:eastAsia="Arial" w:hAnsi="Arial"/>
          <w:sz w:val="17"/>
          <w:szCs w:val="17"/>
          <w:color w:val="auto"/>
        </w:rPr>
      </w:pPr>
    </w:p>
    <w:p>
      <w:pPr>
        <w:ind w:left="660" w:right="10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97"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2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spacing w:after="0" w:line="170" w:lineRule="exact"/>
        <w:rPr>
          <w:sz w:val="20"/>
          <w:szCs w:val="20"/>
          <w:color w:val="auto"/>
        </w:rPr>
      </w:pPr>
    </w:p>
    <w:p>
      <w:pPr>
        <w:jc w:val="both"/>
        <w:ind w:left="660" w:hanging="328"/>
        <w:spacing w:after="0" w:line="279" w:lineRule="auto"/>
        <w:tabs>
          <w:tab w:leader="none" w:pos="655"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Our amended and restated certificate of incorporation and amended and restated bylaws authorize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98" w:lineRule="exact"/>
        <w:rPr>
          <w:rFonts w:ascii="Arial" w:cs="Arial" w:eastAsia="Arial" w:hAnsi="Arial"/>
          <w:sz w:val="17"/>
          <w:szCs w:val="17"/>
          <w:i w:val="1"/>
          <w:iCs w:val="1"/>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each of whom will hold office for a three-year term. In addition,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49" w:right="339" w:bottom="1440" w:gutter="0" w:footer="0" w:header="0"/>
        </w:sectPr>
      </w:pPr>
    </w:p>
    <w:bookmarkStart w:id="14" w:name="page15"/>
    <w:bookmarkEnd w:id="14"/>
    <w:p>
      <w:pPr>
        <w:jc w:val="both"/>
        <w:ind w:left="660"/>
        <w:spacing w:after="0" w:line="263" w:lineRule="auto"/>
        <w:rPr>
          <w:sz w:val="20"/>
          <w:szCs w:val="20"/>
          <w:color w:val="auto"/>
        </w:rPr>
      </w:pPr>
      <w:r>
        <w:rPr>
          <w:rFonts w:ascii="Arial" w:cs="Arial" w:eastAsia="Arial" w:hAnsi="Arial"/>
          <w:sz w:val="18"/>
          <w:szCs w:val="18"/>
          <w:color w:val="auto"/>
        </w:rPr>
        <w:t>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211" w:lineRule="exact"/>
        <w:rPr>
          <w:sz w:val="20"/>
          <w:szCs w:val="20"/>
          <w:color w:val="auto"/>
        </w:rPr>
      </w:pPr>
    </w:p>
    <w:p>
      <w:pPr>
        <w:jc w:val="both"/>
        <w:ind w:left="66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provides that stockholders are not 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w:t>
      </w:r>
    </w:p>
    <w:p>
      <w:pPr>
        <w:spacing w:after="0" w:line="21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214" w:lineRule="exact"/>
        <w:rPr>
          <w:rFonts w:ascii="Arial" w:cs="Arial" w:eastAsia="Arial" w:hAnsi="Arial"/>
          <w:sz w:val="18"/>
          <w:szCs w:val="18"/>
          <w:color w:val="auto"/>
        </w:rPr>
      </w:pPr>
    </w:p>
    <w:p>
      <w:pPr>
        <w:jc w:val="both"/>
        <w:ind w:left="660" w:hanging="328"/>
        <w:spacing w:after="0" w:line="287"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have the authority, without further action by the holders of common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up to 5,000,000 shares of undesignated preferred stock with rights and preferences, including voting rights, designated from time to time by the board of directors. The existence of authorized but unissued shares of preferred stock enable our board of directors to render more difficult or</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discourage an attempt to obtain control of us by means of a merger, tender offer, proxy contest, or otherwise.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Choice of Forum</w:t>
      </w:r>
    </w:p>
    <w:p>
      <w:pPr>
        <w:spacing w:after="0" w:line="116" w:lineRule="exact"/>
        <w:rPr>
          <w:sz w:val="20"/>
          <w:szCs w:val="20"/>
          <w:color w:val="auto"/>
        </w:rPr>
      </w:pPr>
    </w:p>
    <w:p>
      <w:pPr>
        <w:jc w:val="both"/>
        <w:ind w:firstLine="445"/>
        <w:spacing w:after="0" w:line="303"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be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2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is listed on the Nasdaq Global Market the symbol “SIBN.” The applicable prospectus supplement will contain information, where applicable, as to any other listing, if any, on the Nasdaq Global Market or any securities market or other exchange of the preferred stock covered by such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issue the debt securities under the indenture that we will enter into with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49" w:right="339" w:bottom="1440" w:gutter="0" w:footer="0" w:header="0"/>
        </w:sectPr>
      </w:pPr>
    </w:p>
    <w:bookmarkStart w:id="15" w:name="page16"/>
    <w:bookmarkEnd w:id="15"/>
    <w:p>
      <w:pPr>
        <w:jc w:val="both"/>
        <w:ind w:firstLine="324"/>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23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44"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62" w:lineRule="exact"/>
        <w:rPr>
          <w:rFonts w:ascii="Arial" w:cs="Arial" w:eastAsia="Arial" w:hAnsi="Arial"/>
          <w:sz w:val="18"/>
          <w:szCs w:val="18"/>
          <w:color w:val="auto"/>
        </w:rPr>
      </w:pPr>
    </w:p>
    <w:p>
      <w:pPr>
        <w:jc w:val="both"/>
        <w:ind w:left="660" w:hanging="328"/>
        <w:spacing w:after="0" w:line="29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79" w:lineRule="exact"/>
        <w:rPr>
          <w:rFonts w:ascii="Arial" w:cs="Arial" w:eastAsia="Arial" w:hAnsi="Arial"/>
          <w:sz w:val="18"/>
          <w:szCs w:val="18"/>
          <w:color w:val="auto"/>
        </w:rPr>
      </w:pPr>
    </w:p>
    <w:p>
      <w:pPr>
        <w:ind w:left="660" w:hanging="328"/>
        <w:spacing w:after="0" w:line="341"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44" w:lineRule="exact"/>
        <w:rPr>
          <w:rFonts w:ascii="Arial" w:cs="Arial" w:eastAsia="Arial" w:hAnsi="Arial"/>
          <w:sz w:val="18"/>
          <w:szCs w:val="18"/>
          <w:color w:val="auto"/>
        </w:rPr>
      </w:pPr>
    </w:p>
    <w:p>
      <w:pPr>
        <w:ind w:left="660" w:right="20" w:hanging="328"/>
        <w:spacing w:after="0" w:line="377"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5" w:lineRule="exact"/>
        <w:rPr>
          <w:rFonts w:ascii="Arial" w:cs="Arial" w:eastAsia="Arial" w:hAnsi="Arial"/>
          <w:sz w:val="16"/>
          <w:szCs w:val="16"/>
          <w:color w:val="auto"/>
        </w:rPr>
      </w:pPr>
    </w:p>
    <w:p>
      <w:pPr>
        <w:jc w:val="both"/>
        <w:ind w:left="660" w:hanging="328"/>
        <w:spacing w:after="0" w:line="29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155" w:lineRule="exact"/>
        <w:rPr>
          <w:rFonts w:ascii="Arial" w:cs="Arial" w:eastAsia="Arial" w:hAnsi="Arial"/>
          <w:sz w:val="17"/>
          <w:szCs w:val="17"/>
          <w:color w:val="auto"/>
        </w:rPr>
      </w:pPr>
    </w:p>
    <w:p>
      <w:pPr>
        <w:ind w:left="660" w:hanging="328"/>
        <w:spacing w:after="0" w:line="377"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49" w:right="339" w:bottom="1440" w:gutter="0" w:footer="0" w:header="0"/>
        </w:sectPr>
      </w:pPr>
    </w:p>
    <w:bookmarkStart w:id="16" w:name="page17"/>
    <w:bookmarkEnd w:id="16"/>
    <w:p>
      <w:pPr>
        <w:ind w:left="66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2" w:lineRule="exact"/>
        <w:rPr>
          <w:rFonts w:ascii="Arial" w:cs="Arial" w:eastAsia="Arial" w:hAnsi="Arial"/>
          <w:sz w:val="18"/>
          <w:szCs w:val="18"/>
          <w:color w:val="auto"/>
        </w:rPr>
      </w:pPr>
    </w:p>
    <w:p>
      <w:pPr>
        <w:jc w:val="both"/>
        <w:ind w:left="660" w:hanging="328"/>
        <w:spacing w:after="0" w:line="29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44"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155" w:lineRule="exact"/>
        <w:rPr>
          <w:rFonts w:ascii="Arial" w:cs="Arial" w:eastAsia="Arial" w:hAnsi="Arial"/>
          <w:sz w:val="17"/>
          <w:szCs w:val="17"/>
          <w:color w:val="auto"/>
        </w:rPr>
      </w:pPr>
    </w:p>
    <w:p>
      <w:pPr>
        <w:ind w:left="660" w:right="2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44"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62" w:right="339" w:bottom="1440" w:gutter="0" w:footer="0" w:header="0"/>
        </w:sectPr>
      </w:pPr>
    </w:p>
    <w:bookmarkStart w:id="17" w:name="page18"/>
    <w:bookmarkEnd w:id="17"/>
    <w:p>
      <w:pPr>
        <w:jc w:val="both"/>
        <w:ind w:left="660" w:hanging="328"/>
        <w:spacing w:after="0" w:line="286"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65"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6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9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44"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63" w:lineRule="exact"/>
        <w:rPr>
          <w:sz w:val="20"/>
          <w:szCs w:val="20"/>
          <w:color w:val="auto"/>
        </w:rPr>
      </w:pPr>
    </w:p>
    <w:p>
      <w:pPr>
        <w:ind w:firstLine="324"/>
        <w:spacing w:after="0" w:line="308"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w:t>
      </w:r>
    </w:p>
    <w:p>
      <w:pPr>
        <w:spacing w:after="0" w:line="144"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49" w:right="3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23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44" w:lineRule="exact"/>
        <w:rPr>
          <w:rFonts w:ascii="Arial" w:cs="Arial" w:eastAsia="Arial" w:hAnsi="Arial"/>
          <w:sz w:val="18"/>
          <w:szCs w:val="18"/>
          <w:color w:val="auto"/>
        </w:rPr>
      </w:pPr>
    </w:p>
    <w:p>
      <w:pPr>
        <w:jc w:val="both"/>
        <w:ind w:left="660" w:hanging="328"/>
        <w:spacing w:after="0" w:line="347"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38" w:lineRule="exact"/>
        <w:rPr>
          <w:rFonts w:ascii="Arial" w:cs="Arial" w:eastAsia="Arial" w:hAnsi="Arial"/>
          <w:sz w:val="16"/>
          <w:szCs w:val="16"/>
          <w:color w:val="auto"/>
        </w:rPr>
      </w:pPr>
    </w:p>
    <w:p>
      <w:pPr>
        <w:ind w:left="660" w:hanging="328"/>
        <w:spacing w:after="0" w:line="30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144" w:lineRule="exact"/>
        <w:rPr>
          <w:rFonts w:ascii="Arial" w:cs="Arial" w:eastAsia="Arial" w:hAnsi="Arial"/>
          <w:sz w:val="18"/>
          <w:szCs w:val="18"/>
          <w:color w:val="auto"/>
        </w:rPr>
      </w:pPr>
    </w:p>
    <w:p>
      <w:pPr>
        <w:jc w:val="both"/>
        <w:ind w:left="660" w:hanging="328"/>
        <w:spacing w:after="0" w:line="29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20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44"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49" w:right="339" w:bottom="1440" w:gutter="0" w:footer="0" w:header="0"/>
        </w:sectPr>
      </w:pPr>
    </w:p>
    <w:bookmarkStart w:id="19" w:name="page20"/>
    <w:bookmarkEnd w:id="19"/>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39" w:lineRule="exact"/>
        <w:rPr>
          <w:sz w:val="20"/>
          <w:szCs w:val="20"/>
          <w:color w:val="auto"/>
        </w:rPr>
      </w:pPr>
    </w:p>
    <w:p>
      <w:pPr>
        <w:jc w:val="both"/>
        <w:ind w:left="660" w:hanging="328"/>
        <w:spacing w:after="0" w:line="29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73"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w:t>
      </w:r>
    </w:p>
    <w:p>
      <w:pPr>
        <w:sectPr>
          <w:pgSz w:w="11900" w:h="16838" w:orient="portrait"/>
          <w:cols w:equalWidth="0" w:num="1">
            <w:col w:w="11240"/>
          </w:cols>
          <w:pgMar w:left="320" w:top="962"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962"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color w:val="auto"/>
        </w:rPr>
        <w:t>designate for the debt securities of a particular series. We will maintain a paying agent in each place of payment for the debt securities of a particular series.</w:t>
      </w:r>
    </w:p>
    <w:p>
      <w:pPr>
        <w:spacing w:after="0" w:line="2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23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44"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2" w:lineRule="exact"/>
        <w:rPr>
          <w:rFonts w:ascii="Arial" w:cs="Arial" w:eastAsia="Arial" w:hAnsi="Arial"/>
          <w:sz w:val="18"/>
          <w:szCs w:val="18"/>
          <w:color w:val="auto"/>
        </w:rPr>
      </w:pPr>
    </w:p>
    <w:p>
      <w:pPr>
        <w:ind w:left="660" w:hanging="328"/>
        <w:spacing w:after="0" w:line="341"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49" w:right="339" w:bottom="1440" w:gutter="0" w:footer="0" w:header="0"/>
        </w:sectPr>
      </w:pPr>
    </w:p>
    <w:bookmarkStart w:id="21" w:name="page22"/>
    <w:bookmarkEnd w:id="21"/>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of holding or exercising the warrants;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144" w:lineRule="exact"/>
        <w:rPr>
          <w:sz w:val="20"/>
          <w:szCs w:val="20"/>
          <w:color w:val="auto"/>
        </w:rPr>
      </w:pPr>
    </w:p>
    <w:p>
      <w:pPr>
        <w:ind w:firstLine="324"/>
        <w:spacing w:after="0" w:line="308"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171" w:lineRule="exact"/>
        <w:rPr>
          <w:sz w:val="20"/>
          <w:szCs w:val="20"/>
          <w:color w:val="auto"/>
        </w:rPr>
      </w:pPr>
    </w:p>
    <w:p>
      <w:pPr>
        <w:ind w:left="660" w:hanging="328"/>
        <w:spacing w:after="0" w:line="30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5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25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OWNERSHIP OF SECURITIES</w:t>
      </w:r>
    </w:p>
    <w:p>
      <w:pPr>
        <w:spacing w:after="0" w:line="256"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ectPr>
          <w:pgSz w:w="11900" w:h="16838" w:orient="portrait"/>
          <w:cols w:equalWidth="0" w:num="1">
            <w:col w:w="11240"/>
          </w:cols>
          <w:pgMar w:left="320" w:top="962"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962" w:right="339" w:bottom="1440" w:gutter="0" w:footer="0" w:header="0"/>
          <w:type w:val="continuous"/>
        </w:sectPr>
      </w:pPr>
    </w:p>
    <w:bookmarkStart w:id="22" w:name="page23"/>
    <w:bookmarkEnd w:id="22"/>
    <w:p>
      <w:pPr>
        <w:jc w:val="both"/>
        <w:ind w:firstLine="324"/>
        <w:spacing w:after="0" w:line="290"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8"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3"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56"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56"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62" w:right="339" w:bottom="1440" w:gutter="0" w:footer="0" w:header="0"/>
        </w:sectPr>
      </w:pPr>
    </w:p>
    <w:bookmarkStart w:id="23" w:name="page24"/>
    <w:bookmarkEnd w:id="23"/>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and how you can instruct it to send you securities registered in your own name so you can be a holder, if that is permitted in the future;</w:t>
      </w:r>
    </w:p>
    <w:p>
      <w:pPr>
        <w:spacing w:after="0" w:line="167" w:lineRule="exact"/>
        <w:rPr>
          <w:rFonts w:ascii="Arial" w:cs="Arial" w:eastAsia="Arial" w:hAnsi="Arial"/>
          <w:sz w:val="16"/>
          <w:szCs w:val="16"/>
          <w:color w:val="auto"/>
        </w:rPr>
      </w:pPr>
    </w:p>
    <w:p>
      <w:pPr>
        <w:ind w:left="660" w:right="20" w:hanging="328"/>
        <w:spacing w:after="0" w:line="30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1"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8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90"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56" w:lineRule="exact"/>
        <w:rPr>
          <w:sz w:val="20"/>
          <w:szCs w:val="20"/>
          <w:color w:val="auto"/>
        </w:rPr>
      </w:pPr>
    </w:p>
    <w:p>
      <w:pPr>
        <w:jc w:val="both"/>
        <w:ind w:right="20" w:firstLine="324"/>
        <w:spacing w:after="0" w:line="295"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252" w:lineRule="exact"/>
        <w:rPr>
          <w:sz w:val="20"/>
          <w:szCs w:val="20"/>
          <w:color w:val="auto"/>
        </w:rPr>
      </w:pPr>
    </w:p>
    <w:p>
      <w:pPr>
        <w:ind w:left="660" w:hanging="328"/>
        <w:spacing w:after="0" w:line="30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962" w:right="339" w:bottom="1440" w:gutter="0" w:footer="0" w:header="0"/>
        </w:sectPr>
      </w:pPr>
    </w:p>
    <w:bookmarkStart w:id="24" w:name="page25"/>
    <w:bookmarkEnd w:id="24"/>
    <w:p>
      <w:pPr>
        <w:ind w:left="660" w:hanging="328"/>
        <w:spacing w:after="0" w:line="30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6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5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we provide otherwise in the applicable prospectus supplement, the global security will terminate when the following special situations occur:</w:t>
      </w:r>
    </w:p>
    <w:p>
      <w:pPr>
        <w:spacing w:after="0" w:line="275" w:lineRule="exact"/>
        <w:rPr>
          <w:sz w:val="20"/>
          <w:szCs w:val="20"/>
          <w:color w:val="auto"/>
        </w:rPr>
      </w:pPr>
    </w:p>
    <w:p>
      <w:pPr>
        <w:ind w:left="660" w:hanging="328"/>
        <w:spacing w:after="0" w:line="30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144" w:lineRule="exact"/>
        <w:rPr>
          <w:sz w:val="20"/>
          <w:szCs w:val="20"/>
          <w:color w:val="auto"/>
        </w:rPr>
      </w:pPr>
    </w:p>
    <w:p>
      <w:pPr>
        <w:jc w:val="both"/>
        <w:ind w:right="20" w:firstLine="324"/>
        <w:spacing w:after="0" w:line="295"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62" w:right="339" w:bottom="1440" w:gutter="0" w:footer="0" w:header="0"/>
        </w:sectPr>
      </w:pPr>
    </w:p>
    <w:bookmarkStart w:id="25" w:name="page26"/>
    <w:bookmarkEnd w:id="25"/>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SECURITYHOLDERS</w:t>
      </w:r>
    </w:p>
    <w:p>
      <w:pPr>
        <w:spacing w:after="0" w:line="25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320" w:top="1440" w:right="41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We or the selling securityholders may sell the securities from time to time pursuant to underwritten public offerings, direct sales to the public, negotiated transactions, block trades or a combination of these methods. We or the selling securityholders may sell the securities to or through underwriters or dealers, through agents, or directly to one or more purchasers. We or the selling securityholders may distribute securities from time to time in one or more transactions:</w:t>
      </w:r>
    </w:p>
    <w:p>
      <w:pPr>
        <w:spacing w:after="0" w:line="19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44" w:lineRule="exact"/>
        <w:rPr>
          <w:sz w:val="20"/>
          <w:szCs w:val="20"/>
          <w:color w:val="auto"/>
        </w:rPr>
      </w:pPr>
    </w:p>
    <w:p>
      <w:pPr>
        <w:ind w:right="20" w:firstLine="324"/>
        <w:spacing w:after="0" w:line="308"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or names of the underwriters, if any;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w:t>
      </w:r>
    </w:p>
    <w:p>
      <w:pPr>
        <w:spacing w:after="0" w:line="23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the selling securityholders may use underwriters with whom we have a material relationship. We will describe in the prospectus supplement, naming the underwriter, the nature of any such relationship.</w:t>
      </w:r>
    </w:p>
    <w:p>
      <w:pPr>
        <w:spacing w:after="0" w:line="203"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color w:val="auto"/>
        </w:rPr>
        <w:t>We or the selling securityholders may sell securities directly or through agents we designate from time to time. We will name any agent involved in the offering and sale of securities and we will describe any commissions we or the selling securityholders will pay the agent in the prospectus supplement. Unless the prospectus supplement states otherwise, our or the selling securityholders’ agent will act on a best-efforts basis for the period of its appointment.</w:t>
      </w:r>
    </w:p>
    <w:p>
      <w:pPr>
        <w:spacing w:after="0" w:line="16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We or the selling securityholders may authorize agents or underwriters to solicit offers by certain types of institutional investors to purchase securities from us or the selling securityholders at the public offering price set forth in the prospectus supplement pursuant to delayed delivery contracts providing for</w:t>
      </w:r>
    </w:p>
    <w:p>
      <w:pPr>
        <w:jc w:val="both"/>
        <w:spacing w:after="0" w:line="276" w:lineRule="auto"/>
        <w:rPr>
          <w:sz w:val="20"/>
          <w:szCs w:val="20"/>
          <w:color w:val="auto"/>
        </w:rPr>
      </w:pPr>
      <w:r>
        <w:rPr>
          <w:rFonts w:ascii="Arial" w:cs="Arial" w:eastAsia="Arial" w:hAnsi="Arial"/>
          <w:sz w:val="18"/>
          <w:szCs w:val="18"/>
          <w:color w:val="auto"/>
        </w:rPr>
        <w:t>payment and delivery on a specified date in the future. We will describe the conditions to these contracts and the commissions we or the selling securityholders must pay for solicitation of these contracts in the prospectus supplement.</w:t>
      </w:r>
    </w:p>
    <w:p>
      <w:pPr>
        <w:spacing w:after="0" w:line="185"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7"/>
          <w:szCs w:val="17"/>
          <w:color w:val="auto"/>
        </w:rPr>
        <w:t>We or the selling securityholders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or the selling securityholders in the ordinary course of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945" w:right="339" w:bottom="1440" w:gutter="0" w:footer="0" w:header="0"/>
        </w:sectPr>
      </w:pPr>
    </w:p>
    <w:bookmarkStart w:id="27" w:name="page28"/>
    <w:bookmarkEnd w:id="27"/>
    <w:p>
      <w:pPr>
        <w:jc w:val="both"/>
        <w:ind w:firstLine="324"/>
        <w:spacing w:after="0" w:line="279"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3"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w:t>
      </w:r>
    </w:p>
    <w:p>
      <w:pPr>
        <w:jc w:val="both"/>
        <w:spacing w:after="0" w:line="288" w:lineRule="auto"/>
        <w:rPr>
          <w:sz w:val="20"/>
          <w:szCs w:val="20"/>
          <w:color w:val="auto"/>
        </w:rPr>
      </w:pPr>
      <w:r>
        <w:rPr>
          <w:rFonts w:ascii="Arial" w:cs="Arial" w:eastAsia="Arial" w:hAnsi="Arial"/>
          <w:sz w:val="17"/>
          <w:szCs w:val="17"/>
          <w:color w:val="auto"/>
        </w:rPr>
        <w:t>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56"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97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EXPERTS</w:t>
      </w:r>
    </w:p>
    <w:p>
      <w:pPr>
        <w:spacing w:after="0" w:line="2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2020, have been so incorporated in reliance on the report of PricewaterhouseCoopers LLP, an independent registered public accounting firm, given on the authority of said firm as experts in auditing and accounting.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001-38701):</w:t>
      </w:r>
    </w:p>
    <w:p>
      <w:pPr>
        <w:spacing w:after="0" w:line="19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w:t>
      </w:r>
      <w:hyperlink r:id="rId23">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for</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the year ended December 31, 2020</w:t>
        </w:r>
      </w:hyperlink>
      <w:r>
        <w:rPr>
          <w:rFonts w:ascii="Arial" w:cs="Arial" w:eastAsia="Arial" w:hAnsi="Arial"/>
          <w:sz w:val="18"/>
          <w:szCs w:val="18"/>
          <w:color w:val="auto"/>
        </w:rPr>
        <w:t>, filed with the SEC on March 10, 2021;</w:t>
      </w:r>
    </w:p>
    <w:p>
      <w:pPr>
        <w:spacing w:after="0" w:line="225"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4">
        <w:r>
          <w:rPr>
            <w:rFonts w:ascii="Arial" w:cs="Arial" w:eastAsia="Arial" w:hAnsi="Arial"/>
            <w:sz w:val="18"/>
            <w:szCs w:val="18"/>
            <w:u w:val="single" w:color="auto"/>
            <w:color w:val="0000FF"/>
          </w:rPr>
          <w:t>January 7,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the information in Item 2.02, Item 7.01, and related Exhibits 99.1 and 99.2), </w:t>
      </w:r>
      <w:hyperlink r:id="rId25">
        <w:r>
          <w:rPr>
            <w:rFonts w:ascii="Arial" w:cs="Arial" w:eastAsia="Arial" w:hAnsi="Arial"/>
            <w:sz w:val="18"/>
            <w:szCs w:val="18"/>
            <w:u w:val="single" w:color="auto"/>
            <w:color w:val="0000FF"/>
          </w:rPr>
          <w:t>March 8,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Item 2.02 and related exhibit), and</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26">
        <w:r>
          <w:rPr>
            <w:rFonts w:ascii="Arial" w:cs="Arial" w:eastAsia="Arial" w:hAnsi="Arial"/>
            <w:sz w:val="18"/>
            <w:szCs w:val="18"/>
            <w:u w:val="single" w:color="auto"/>
            <w:color w:val="0000FF"/>
          </w:rPr>
          <w:t>Form 8-A, filed with the SEC on October 11, 2018</w:t>
        </w:r>
      </w:hyperlink>
      <w:r>
        <w:rPr>
          <w:rFonts w:ascii="Arial" w:cs="Arial" w:eastAsia="Arial" w:hAnsi="Arial"/>
          <w:sz w:val="18"/>
          <w:szCs w:val="18"/>
          <w:color w:val="auto"/>
        </w:rPr>
        <w:t>, including any amendment or report filed for the purpose of updating such description.</w:t>
      </w:r>
    </w:p>
    <w:p>
      <w:pPr>
        <w:spacing w:after="0" w:line="292" w:lineRule="exact"/>
        <w:rPr>
          <w:rFonts w:ascii="Arial" w:cs="Arial" w:eastAsia="Arial" w:hAnsi="Arial"/>
          <w:sz w:val="18"/>
          <w:szCs w:val="18"/>
          <w:color w:val="auto"/>
        </w:rPr>
      </w:pPr>
    </w:p>
    <w:p>
      <w:pPr>
        <w:jc w:val="both"/>
        <w:ind w:firstLine="324"/>
        <w:spacing w:after="0" w:line="253"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8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Santa Clara, California 95050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ind w:left="5500" w:hanging="438"/>
        <w:spacing w:after="0" w:line="207" w:lineRule="exact"/>
        <w:tabs>
          <w:tab w:leader="none" w:pos="5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207</w:t>
      </w:r>
      <w:r>
        <w:rPr>
          <w:rFonts w:ascii="MS PGothic" w:cs="MS PGothic" w:eastAsia="MS PGothic" w:hAnsi="MS PGothic"/>
          <w:sz w:val="18"/>
          <w:szCs w:val="18"/>
          <w:color w:val="auto"/>
        </w:rPr>
        <w:t>‑</w:t>
      </w:r>
      <w:r>
        <w:rPr>
          <w:rFonts w:ascii="Arial" w:cs="Arial" w:eastAsia="Arial" w:hAnsi="Arial"/>
          <w:sz w:val="18"/>
          <w:szCs w:val="18"/>
          <w:color w:val="auto"/>
        </w:rPr>
        <w:t>0700</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24</w:t>
      </w:r>
    </w:p>
    <w:p>
      <w:pPr>
        <w:sectPr>
          <w:pgSz w:w="11900" w:h="16838" w:orient="portrait"/>
          <w:cols w:equalWidth="0" w:num="1">
            <w:col w:w="11240"/>
          </w:cols>
          <w:pgMar w:left="320" w:top="95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firstLine="324"/>
        <w:spacing w:after="0" w:line="377" w:lineRule="auto"/>
        <w:rPr>
          <w:sz w:val="20"/>
          <w:szCs w:val="20"/>
          <w:color w:val="auto"/>
        </w:rPr>
      </w:pPr>
      <w:r>
        <w:rPr>
          <w:rFonts w:ascii="Arial" w:cs="Arial" w:eastAsia="Arial" w:hAnsi="Arial"/>
          <w:sz w:val="16"/>
          <w:szCs w:val="16"/>
          <w:color w:val="auto"/>
        </w:rPr>
        <w:t>The following table sets forth an estimate of the fees and expenses, other than the underwriting discounts and commissions, payable by the registrant in connection with the issuance and distribution of the securities being registered. All the amounts shown are estimates, except for the SEC registration fee.</w:t>
      </w:r>
    </w:p>
    <w:p>
      <w:pPr>
        <w:spacing w:after="0" w:line="143" w:lineRule="exact"/>
        <w:rPr>
          <w:sz w:val="20"/>
          <w:szCs w:val="20"/>
          <w:color w:val="auto"/>
        </w:rPr>
      </w:pPr>
    </w:p>
    <w:tbl>
      <w:tblPr>
        <w:tblLayout w:type="fixed"/>
        <w:tblInd w:w="172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100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w:t>
            </w:r>
          </w:p>
        </w:tc>
      </w:tr>
      <w:tr>
        <w:trPr>
          <w:trHeight w:val="235"/>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The Nasdaq Global Market listing fee</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FINRA filing fee (if applicable)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Transfer agent and registrar fees and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and miscellaneous fees and expenses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800" w:type="dxa"/>
            <w:vAlign w:val="bottom"/>
          </w:tcPr>
          <w:p>
            <w:pPr>
              <w:ind w:left="2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w:t>
            </w:r>
          </w:p>
        </w:tc>
      </w:tr>
      <w:tr>
        <w:trPr>
          <w:trHeight w:val="20"/>
        </w:trPr>
        <w:tc>
          <w:tcPr>
            <w:tcW w:w="6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right="400" w:hanging="354"/>
        <w:spacing w:after="0" w:line="261"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accordance with Rules 456(b) and 457(r), the registrant is deferring payment of all applicable registration fees for the securities offered by this prospectus.</w:t>
      </w:r>
    </w:p>
    <w:p>
      <w:pPr>
        <w:spacing w:after="0" w:line="35" w:lineRule="exact"/>
        <w:rPr>
          <w:rFonts w:ascii="Arial" w:cs="Arial" w:eastAsia="Arial" w:hAnsi="Arial"/>
          <w:sz w:val="18"/>
          <w:szCs w:val="18"/>
          <w:color w:val="auto"/>
        </w:rPr>
      </w:pPr>
    </w:p>
    <w:p>
      <w:pPr>
        <w:ind w:left="380" w:right="160" w:hanging="354"/>
        <w:spacing w:after="0" w:line="324"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3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8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32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22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958" w:right="339" w:bottom="1440" w:gutter="0" w:footer="0" w:header="0"/>
        </w:sectPr>
      </w:pPr>
    </w:p>
    <w:bookmarkStart w:id="30" w:name="page31"/>
    <w:bookmarkEnd w:id="30"/>
    <w:p>
      <w:pPr>
        <w:jc w:val="both"/>
        <w:spacing w:after="0" w:line="308" w:lineRule="auto"/>
        <w:rPr>
          <w:sz w:val="20"/>
          <w:szCs w:val="20"/>
          <w:color w:val="auto"/>
        </w:rPr>
      </w:pPr>
      <w:r>
        <w:rPr>
          <w:rFonts w:ascii="Arial" w:cs="Arial" w:eastAsia="Arial" w:hAnsi="Arial"/>
          <w:sz w:val="18"/>
          <w:szCs w:val="18"/>
          <w:color w:val="auto"/>
        </w:rPr>
        <w:t>officer, employee, or other enterprise agent for any liability arising out of his or her action in that capacity, whether or not Delaware law would otherwise permit indemnification.</w:t>
      </w:r>
    </w:p>
    <w:p>
      <w:pPr>
        <w:spacing w:after="0" w:line="15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have entered into, and intend to continue to enter into, indemnification agreements with each of our directors and executive officers and certain other key employees. The form of our indemnification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6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Section 1.9 of our amended and restated investors’ rights agreement, or IRA, provides for indemnification of certain of our stockholders against liabilities described in our IRA.</w:t>
      </w:r>
    </w:p>
    <w:p>
      <w:pPr>
        <w:spacing w:after="0" w:line="1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under the Securities Act and the Exchange Act of 1934, as amended, that might be incurred by any director or officer in his or her capacity as such.</w:t>
      </w:r>
    </w:p>
    <w:p>
      <w:pPr>
        <w:spacing w:after="0" w:line="184" w:lineRule="exact"/>
        <w:rPr>
          <w:sz w:val="20"/>
          <w:szCs w:val="20"/>
          <w:color w:val="auto"/>
        </w:rPr>
      </w:pPr>
    </w:p>
    <w:p>
      <w:pPr>
        <w:jc w:val="both"/>
        <w:ind w:firstLine="324"/>
        <w:spacing w:after="0" w:line="341" w:lineRule="auto"/>
        <w:rPr>
          <w:sz w:val="20"/>
          <w:szCs w:val="20"/>
          <w:color w:val="auto"/>
        </w:rPr>
      </w:pPr>
      <w:r>
        <w:rPr>
          <w:rFonts w:ascii="Arial" w:cs="Arial" w:eastAsia="Arial" w:hAnsi="Arial"/>
          <w:sz w:val="17"/>
          <w:szCs w:val="17"/>
          <w:color w:val="auto"/>
        </w:rPr>
        <w:t>The underwriting agreement that we may enter into (Exhibit 1.1) may provide for indemnification by any underwriters of SI-BONE, its directors, its officers who sign the registration statement and SI-BONE’s controlling persons for some liabilities, including liabilities arising under the Securities Act.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962" w:right="339" w:bottom="1440" w:gutter="0" w:footer="0" w:header="0"/>
        </w:sectPr>
      </w:pPr>
    </w:p>
    <w:bookmarkStart w:id="31" w:name="page32"/>
    <w:bookmarkEnd w:id="31"/>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Incorporation by Reference</w:t>
            </w: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Appendix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208"/>
        </w:trPr>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00" w:type="dxa"/>
            <w:vAlign w:val="bottom"/>
            <w:gridSpan w:val="10"/>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Form</w:t>
            </w: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File Number</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Reference</w:t>
            </w: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8"/>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Form of Underwriting Agreement.</w:t>
            </w:r>
          </w:p>
        </w:tc>
        <w:tc>
          <w:tcPr>
            <w:tcW w:w="1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gridSpan w:val="11"/>
          </w:tcPr>
          <w:p>
            <w:pPr>
              <w:spacing w:after="0" w:line="190" w:lineRule="exact"/>
              <w:rPr>
                <w:rFonts w:ascii="Arial" w:cs="Arial" w:eastAsia="Arial" w:hAnsi="Arial"/>
                <w:sz w:val="18"/>
                <w:szCs w:val="18"/>
                <w:color w:val="0000FF"/>
              </w:rPr>
            </w:pPr>
            <w:hyperlink r:id="rId27">
              <w:r>
                <w:rPr>
                  <w:rFonts w:ascii="Arial" w:cs="Arial" w:eastAsia="Arial" w:hAnsi="Arial"/>
                  <w:sz w:val="18"/>
                  <w:szCs w:val="18"/>
                  <w:color w:val="0000FF"/>
                </w:rPr>
                <w:t>Amended and Restated Certificate of</w:t>
              </w:r>
            </w:hyperlink>
          </w:p>
        </w:tc>
        <w:tc>
          <w:tcPr>
            <w:tcW w:w="134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001-38701</w:t>
            </w:r>
          </w:p>
        </w:tc>
        <w:tc>
          <w:tcPr>
            <w:tcW w:w="140" w:type="dxa"/>
            <w:vAlign w:val="bottom"/>
          </w:tcPr>
          <w:p>
            <w:pPr>
              <w:spacing w:after="0"/>
              <w:rPr>
                <w:sz w:val="16"/>
                <w:szCs w:val="16"/>
                <w:color w:val="auto"/>
              </w:rPr>
            </w:pPr>
          </w:p>
        </w:tc>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6"/>
                <w:szCs w:val="16"/>
                <w:color w:val="auto"/>
              </w:rPr>
            </w:pP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90"/>
              </w:rPr>
              <w:t>10/19/2018</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27">
              <w:r>
                <w:rPr>
                  <w:rFonts w:ascii="Arial" w:cs="Arial" w:eastAsia="Arial" w:hAnsi="Arial"/>
                  <w:sz w:val="18"/>
                  <w:szCs w:val="18"/>
                  <w:color w:val="0000FF"/>
                </w:rPr>
                <w:t>Incorporation.</w:t>
              </w:r>
            </w:hyperlink>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1"/>
          </w:tcPr>
          <w:p>
            <w:pPr>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Amended and Restated Bylaws</w:t>
              </w:r>
            </w:hyperlink>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27">
              <w:r>
                <w:rPr>
                  <w:rFonts w:ascii="Arial" w:cs="Arial" w:eastAsia="Arial" w:hAnsi="Arial"/>
                  <w:sz w:val="18"/>
                  <w:szCs w:val="18"/>
                  <w:u w:val="single" w:color="auto"/>
                  <w:color w:val="0000FF"/>
                </w:rPr>
                <w:t>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8">
              <w:r>
                <w:rPr>
                  <w:rFonts w:ascii="Arial" w:cs="Arial" w:eastAsia="Arial" w:hAnsi="Arial"/>
                  <w:sz w:val="18"/>
                  <w:szCs w:val="18"/>
                  <w:u w:val="single" w:color="auto"/>
                  <w:color w:val="0000FF"/>
                </w:rPr>
                <w:t>3.2</w:t>
              </w:r>
            </w:hyperlink>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11"/>
          </w:tcPr>
          <w:p>
            <w:pPr>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Form of Common Stock Certificate</w:t>
              </w:r>
            </w:hyperlink>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9"/>
              </w:rPr>
              <w:t>4.3*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gridSpan w:val="11"/>
          </w:tcPr>
          <w:p>
            <w:pPr>
              <w:spacing w:after="0" w:line="176" w:lineRule="exact"/>
              <w:rPr>
                <w:sz w:val="20"/>
                <w:szCs w:val="20"/>
                <w:color w:val="auto"/>
              </w:rPr>
            </w:pPr>
            <w:r>
              <w:rPr>
                <w:rFonts w:ascii="Arial" w:cs="Arial" w:eastAsia="Arial" w:hAnsi="Arial"/>
                <w:sz w:val="18"/>
                <w:szCs w:val="18"/>
                <w:color w:val="auto"/>
                <w:w w:val="97"/>
              </w:rPr>
              <w:t>Specimen Preferred Stock Certificate and Form</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11"/>
          </w:tcPr>
          <w:p>
            <w:pPr>
              <w:spacing w:after="0"/>
              <w:rPr>
                <w:sz w:val="20"/>
                <w:szCs w:val="20"/>
                <w:color w:val="auto"/>
              </w:rPr>
            </w:pPr>
            <w:r>
              <w:rPr>
                <w:rFonts w:ascii="Arial" w:cs="Arial" w:eastAsia="Arial" w:hAnsi="Arial"/>
                <w:sz w:val="18"/>
                <w:szCs w:val="18"/>
                <w:color w:val="auto"/>
                <w:w w:val="99"/>
              </w:rPr>
              <w:t>of Certificate of Designation of Preferred Stock</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11"/>
          </w:tcPr>
          <w:p>
            <w:pPr>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Form of Debt Indenture</w:t>
              </w:r>
            </w:hyperlink>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S-3</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11/13/2019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11"/>
          </w:tcPr>
          <w:p>
            <w:pPr>
              <w:spacing w:after="0"/>
              <w:rPr>
                <w:sz w:val="20"/>
                <w:szCs w:val="20"/>
                <w:color w:val="auto"/>
              </w:rPr>
            </w:pPr>
            <w:r>
              <w:rPr>
                <w:rFonts w:ascii="Arial" w:cs="Arial" w:eastAsia="Arial" w:hAnsi="Arial"/>
                <w:sz w:val="18"/>
                <w:szCs w:val="18"/>
                <w:color w:val="auto"/>
              </w:rPr>
              <w:t>Form of Debt Securities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gridSpan w:val="11"/>
          </w:tcPr>
          <w:p>
            <w:pPr>
              <w:spacing w:after="0" w:line="190" w:lineRule="exact"/>
              <w:rPr>
                <w:rFonts w:ascii="Arial" w:cs="Arial" w:eastAsia="Arial" w:hAnsi="Arial"/>
                <w:sz w:val="18"/>
                <w:szCs w:val="18"/>
                <w:color w:val="0000FF"/>
              </w:rPr>
            </w:pPr>
            <w:hyperlink r:id="rId31">
              <w:r>
                <w:rPr>
                  <w:rFonts w:ascii="Arial" w:cs="Arial" w:eastAsia="Arial" w:hAnsi="Arial"/>
                  <w:sz w:val="18"/>
                  <w:szCs w:val="18"/>
                  <w:color w:val="0000FF"/>
                </w:rPr>
                <w:t>Form of Common Stock Warrant Agreement</w:t>
              </w:r>
            </w:hyperlink>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5"/>
              </w:rPr>
              <w:t>S-3</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7"/>
              </w:rPr>
              <w:t>4.6</w:t>
            </w:r>
          </w:p>
        </w:tc>
        <w:tc>
          <w:tcPr>
            <w:tcW w:w="14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0"/>
              </w:rPr>
              <w:t>11/13/2019</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31">
              <w:r>
                <w:rPr>
                  <w:rFonts w:ascii="Arial" w:cs="Arial" w:eastAsia="Arial" w:hAnsi="Arial"/>
                  <w:sz w:val="18"/>
                  <w:szCs w:val="18"/>
                  <w:color w:val="0000FF"/>
                </w:rPr>
                <w:t>and Warrant Certificate</w:t>
              </w:r>
            </w:hyperlink>
          </w:p>
        </w:tc>
        <w:tc>
          <w:tcPr>
            <w:tcW w:w="2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gridSpan w:val="11"/>
          </w:tcPr>
          <w:p>
            <w:pPr>
              <w:spacing w:after="0"/>
              <w:rPr>
                <w:rFonts w:ascii="Arial" w:cs="Arial" w:eastAsia="Arial" w:hAnsi="Arial"/>
                <w:sz w:val="18"/>
                <w:szCs w:val="18"/>
                <w:color w:val="0000FF"/>
              </w:rPr>
            </w:pPr>
            <w:hyperlink r:id="rId32">
              <w:r>
                <w:rPr>
                  <w:rFonts w:ascii="Arial" w:cs="Arial" w:eastAsia="Arial" w:hAnsi="Arial"/>
                  <w:sz w:val="18"/>
                  <w:szCs w:val="18"/>
                  <w:color w:val="0000FF"/>
                </w:rPr>
                <w:t>Form of Preferred Stock Warrant Agreement</w:t>
              </w:r>
            </w:hyperlink>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5"/>
              </w:rPr>
              <w:t>S-3</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7"/>
              </w:rPr>
              <w:t>4.7</w:t>
            </w:r>
          </w:p>
        </w:tc>
        <w:tc>
          <w:tcPr>
            <w:tcW w:w="14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0"/>
              </w:rPr>
              <w:t>11/13/2019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32">
              <w:r>
                <w:rPr>
                  <w:rFonts w:ascii="Arial" w:cs="Arial" w:eastAsia="Arial" w:hAnsi="Arial"/>
                  <w:sz w:val="18"/>
                  <w:szCs w:val="18"/>
                  <w:color w:val="0000FF"/>
                </w:rPr>
                <w:t>and Warrant Certificate</w:t>
              </w:r>
            </w:hyperlink>
          </w:p>
        </w:tc>
        <w:tc>
          <w:tcPr>
            <w:tcW w:w="28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gridSpan w:val="11"/>
          </w:tcPr>
          <w:p>
            <w:pPr>
              <w:spacing w:after="0"/>
              <w:rPr>
                <w:rFonts w:ascii="Arial" w:cs="Arial" w:eastAsia="Arial" w:hAnsi="Arial"/>
                <w:sz w:val="18"/>
                <w:szCs w:val="18"/>
                <w:color w:val="0000FF"/>
                <w:w w:val="95"/>
              </w:rPr>
            </w:pPr>
            <w:hyperlink r:id="rId33">
              <w:r>
                <w:rPr>
                  <w:rFonts w:ascii="Arial" w:cs="Arial" w:eastAsia="Arial" w:hAnsi="Arial"/>
                  <w:sz w:val="18"/>
                  <w:szCs w:val="18"/>
                  <w:color w:val="0000FF"/>
                  <w:w w:val="95"/>
                </w:rPr>
                <w:t>Form of Debt Securities Warrant Agreement and</w:t>
              </w:r>
            </w:hyperlink>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5"/>
              </w:rPr>
              <w:t>S-3</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7"/>
              </w:rPr>
              <w:t>4.8</w:t>
            </w:r>
          </w:p>
        </w:tc>
        <w:tc>
          <w:tcPr>
            <w:tcW w:w="14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0"/>
              </w:rPr>
              <w:t>11/13/2019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33">
              <w:r>
                <w:rPr>
                  <w:rFonts w:ascii="Arial" w:cs="Arial" w:eastAsia="Arial" w:hAnsi="Arial"/>
                  <w:sz w:val="18"/>
                  <w:szCs w:val="18"/>
                  <w:color w:val="0000FF"/>
                </w:rPr>
                <w:t>Warrant Certificate</w:t>
              </w:r>
            </w:hyperlink>
          </w:p>
        </w:tc>
        <w:tc>
          <w:tcPr>
            <w:tcW w:w="220" w:type="dxa"/>
            <w:vAlign w:val="bottom"/>
            <w:gridSpan w:val="2"/>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1"/>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Opinion of Cooley LLP</w:t>
              </w:r>
            </w:hyperlink>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0"/>
        </w:trPr>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gridSpan w:val="11"/>
          </w:tcPr>
          <w:p>
            <w:pPr>
              <w:spacing w:after="0" w:line="190" w:lineRule="exact"/>
              <w:rPr>
                <w:rFonts w:ascii="Arial" w:cs="Arial" w:eastAsia="Arial" w:hAnsi="Arial"/>
                <w:sz w:val="18"/>
                <w:szCs w:val="18"/>
                <w:color w:val="0000FF"/>
              </w:rPr>
            </w:pPr>
            <w:hyperlink w:anchor="page39">
              <w:r>
                <w:rPr>
                  <w:rFonts w:ascii="Arial" w:cs="Arial" w:eastAsia="Arial" w:hAnsi="Arial"/>
                  <w:sz w:val="18"/>
                  <w:szCs w:val="18"/>
                  <w:color w:val="0000FF"/>
                </w:rPr>
                <w:t>Consent of Independent Registered Public</w:t>
              </w:r>
            </w:hyperlink>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39">
              <w:r>
                <w:rPr>
                  <w:rFonts w:ascii="Arial" w:cs="Arial" w:eastAsia="Arial" w:hAnsi="Arial"/>
                  <w:sz w:val="18"/>
                  <w:szCs w:val="18"/>
                  <w:color w:val="0000FF"/>
                  <w:w w:val="93"/>
                </w:rPr>
                <w:t>Accounting Firm</w:t>
              </w:r>
            </w:hyperlink>
          </w:p>
        </w:tc>
        <w:tc>
          <w:tcPr>
            <w:tcW w:w="1800" w:type="dxa"/>
            <w:vAlign w:val="bottom"/>
            <w:tcBorders>
              <w:top w:val="single" w:sz="8" w:color="0000FF"/>
            </w:tcBorders>
            <w:gridSpan w:val="4"/>
          </w:tcPr>
          <w:p>
            <w:pPr>
              <w:spacing w:after="0"/>
              <w:rPr>
                <w:sz w:val="13"/>
                <w:szCs w:val="13"/>
                <w:color w:val="auto"/>
              </w:rPr>
            </w:pPr>
          </w:p>
        </w:tc>
        <w:tc>
          <w:tcPr>
            <w:tcW w:w="680" w:type="dxa"/>
            <w:vAlign w:val="bottom"/>
            <w:gridSpan w:val="5"/>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88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1"/>
          </w:tcPr>
          <w:p>
            <w:pPr>
              <w:spacing w:after="0"/>
              <w:rPr>
                <w:rFonts w:ascii="Arial" w:cs="Arial" w:eastAsia="Arial" w:hAnsi="Arial"/>
                <w:sz w:val="18"/>
                <w:szCs w:val="18"/>
                <w:color w:val="0000FF"/>
              </w:rPr>
            </w:pPr>
            <w:hyperlink w:anchor="page36">
              <w:r>
                <w:rPr>
                  <w:rFonts w:ascii="Arial" w:cs="Arial" w:eastAsia="Arial" w:hAnsi="Arial"/>
                  <w:sz w:val="18"/>
                  <w:szCs w:val="18"/>
                  <w:u w:val="single" w:color="auto"/>
                  <w:color w:val="0000FF"/>
                </w:rPr>
                <w:t>Consent of Cooley LLP</w:t>
              </w:r>
              <w:r>
                <w:rPr>
                  <w:rFonts w:ascii="Arial" w:cs="Arial" w:eastAsia="Arial" w:hAnsi="Arial"/>
                  <w:sz w:val="18"/>
                  <w:szCs w:val="18"/>
                  <w:color w:val="0000FF"/>
                </w:rPr>
                <w:t xml:space="preserve"> </w:t>
              </w:r>
            </w:hyperlink>
            <w:r>
              <w:rPr>
                <w:rFonts w:ascii="Arial" w:cs="Arial" w:eastAsia="Arial" w:hAnsi="Arial"/>
                <w:sz w:val="18"/>
                <w:szCs w:val="18"/>
                <w:color w:val="000000"/>
              </w:rPr>
              <w:t>(See</w:t>
            </w:r>
            <w:r>
              <w:rPr>
                <w:rFonts w:ascii="Arial" w:cs="Arial" w:eastAsia="Arial" w:hAnsi="Arial"/>
                <w:sz w:val="18"/>
                <w:szCs w:val="18"/>
                <w:color w:val="0000FF"/>
              </w:rPr>
              <w:t xml:space="preserve"> </w:t>
            </w:r>
            <w:r>
              <w:rPr>
                <w:rFonts w:ascii="Arial" w:cs="Arial" w:eastAsia="Arial" w:hAnsi="Arial"/>
                <w:sz w:val="18"/>
                <w:szCs w:val="18"/>
                <w:color w:val="000000"/>
              </w:rPr>
              <w:t>Exhibit 5.1)</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88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gridSpan w:val="11"/>
          </w:tcPr>
          <w:p>
            <w:pPr>
              <w:spacing w:after="0"/>
              <w:rPr>
                <w:rFonts w:ascii="Arial" w:cs="Arial" w:eastAsia="Arial" w:hAnsi="Arial"/>
                <w:sz w:val="18"/>
                <w:szCs w:val="18"/>
                <w:color w:val="0000FF"/>
              </w:rPr>
            </w:pPr>
            <w:hyperlink w:anchor="page34">
              <w:r>
                <w:rPr>
                  <w:rFonts w:ascii="Arial" w:cs="Arial" w:eastAsia="Arial" w:hAnsi="Arial"/>
                  <w:sz w:val="18"/>
                  <w:szCs w:val="18"/>
                  <w:u w:val="single" w:color="auto"/>
                  <w:color w:val="0000FF"/>
                </w:rPr>
                <w:t>Power of Attorney</w:t>
              </w:r>
              <w:r>
                <w:rPr>
                  <w:rFonts w:ascii="Arial" w:cs="Arial" w:eastAsia="Arial" w:hAnsi="Arial"/>
                  <w:sz w:val="18"/>
                  <w:szCs w:val="18"/>
                  <w:color w:val="0000FF"/>
                </w:rPr>
                <w:t xml:space="preserve"> </w:t>
              </w:r>
            </w:hyperlink>
            <w:r>
              <w:rPr>
                <w:rFonts w:ascii="Arial" w:cs="Arial" w:eastAsia="Arial" w:hAnsi="Arial"/>
                <w:sz w:val="18"/>
                <w:szCs w:val="18"/>
                <w:color w:val="000000"/>
              </w:rPr>
              <w:t>(See</w:t>
            </w:r>
            <w:r>
              <w:rPr>
                <w:rFonts w:ascii="Arial" w:cs="Arial" w:eastAsia="Arial" w:hAnsi="Arial"/>
                <w:sz w:val="18"/>
                <w:szCs w:val="18"/>
                <w:color w:val="0000FF"/>
              </w:rPr>
              <w:t xml:space="preserve"> </w:t>
            </w:r>
            <w:r>
              <w:rPr>
                <w:rFonts w:ascii="Arial" w:cs="Arial" w:eastAsia="Arial" w:hAnsi="Arial"/>
                <w:sz w:val="18"/>
                <w:szCs w:val="18"/>
                <w:color w:val="000000"/>
              </w:rPr>
              <w:t>signature page)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80" w:type="dxa"/>
            <w:vAlign w:val="bottom"/>
          </w:tcPr>
          <w:p>
            <w:pPr>
              <w:jc w:val="center"/>
              <w:spacing w:after="0"/>
              <w:rPr>
                <w:sz w:val="20"/>
                <w:szCs w:val="20"/>
                <w:color w:val="auto"/>
              </w:rPr>
            </w:pPr>
            <w:r>
              <w:rPr>
                <w:rFonts w:ascii="Arial" w:cs="Arial" w:eastAsia="Arial" w:hAnsi="Arial"/>
                <w:sz w:val="18"/>
                <w:szCs w:val="18"/>
                <w:color w:val="auto"/>
                <w:w w:val="95"/>
              </w:rPr>
              <w:t>25.1*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720" w:type="dxa"/>
            <w:vAlign w:val="bottom"/>
            <w:gridSpan w:val="11"/>
          </w:tcPr>
          <w:p>
            <w:pPr>
              <w:spacing w:after="0"/>
              <w:rPr>
                <w:sz w:val="20"/>
                <w:szCs w:val="20"/>
                <w:color w:val="auto"/>
              </w:rPr>
            </w:pPr>
            <w:r>
              <w:rPr>
                <w:rFonts w:ascii="Arial" w:cs="Arial" w:eastAsia="Arial" w:hAnsi="Arial"/>
                <w:sz w:val="18"/>
                <w:szCs w:val="18"/>
                <w:color w:val="auto"/>
              </w:rPr>
              <w:t>Statement of Eligibility of Trustee under the</w:t>
            </w: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gridSpan w:val="11"/>
          </w:tcPr>
          <w:p>
            <w:pPr>
              <w:spacing w:after="0"/>
              <w:rPr>
                <w:sz w:val="20"/>
                <w:szCs w:val="20"/>
                <w:color w:val="auto"/>
              </w:rPr>
            </w:pPr>
            <w:r>
              <w:rPr>
                <w:rFonts w:ascii="Arial" w:cs="Arial" w:eastAsia="Arial" w:hAnsi="Arial"/>
                <w:sz w:val="18"/>
                <w:szCs w:val="18"/>
                <w:color w:val="auto"/>
                <w:w w:val="98"/>
              </w:rPr>
              <w:t>Debt Indenture (to be filed separately under the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1"/>
          </w:tcPr>
          <w:p>
            <w:pPr>
              <w:spacing w:after="0"/>
              <w:rPr>
                <w:sz w:val="20"/>
                <w:szCs w:val="20"/>
                <w:color w:val="auto"/>
              </w:rPr>
            </w:pPr>
            <w:r>
              <w:rPr>
                <w:rFonts w:ascii="Arial" w:cs="Arial" w:eastAsia="Arial" w:hAnsi="Arial"/>
                <w:sz w:val="18"/>
                <w:szCs w:val="18"/>
                <w:color w:val="auto"/>
              </w:rPr>
              <w:t>electronic form type 305B2, if applicable)</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174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94"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To be filed by amendment or as an exhibit to a Current Report on Form 8-K and incorporated herein by reference, if applicable.</w:t>
      </w:r>
    </w:p>
    <w:p>
      <w:pPr>
        <w:spacing w:after="0" w:line="200" w:lineRule="exact"/>
        <w:rPr>
          <w:sz w:val="20"/>
          <w:szCs w:val="20"/>
          <w:color w:val="auto"/>
        </w:rPr>
      </w:pPr>
    </w:p>
    <w:p>
      <w:pPr>
        <w:spacing w:after="0" w:line="2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52" w:lineRule="exact"/>
        <w:rPr>
          <w:sz w:val="20"/>
          <w:szCs w:val="20"/>
          <w:color w:val="auto"/>
        </w:rPr>
      </w:pPr>
    </w:p>
    <w:p>
      <w:pPr>
        <w:ind w:left="720" w:hanging="388"/>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jc w:val="both"/>
        <w:ind w:firstLine="656"/>
        <w:spacing w:after="0" w:line="288" w:lineRule="auto"/>
        <w:tabs>
          <w:tab w:leader="none" w:pos="1079"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945" w:right="339" w:bottom="1440" w:gutter="0" w:footer="0" w:header="0"/>
        </w:sectPr>
      </w:pPr>
    </w:p>
    <w:bookmarkStart w:id="32" w:name="page33"/>
    <w:bookmarkEnd w:id="32"/>
    <w:p>
      <w:pPr>
        <w:ind w:right="20"/>
        <w:spacing w:after="0" w:line="308" w:lineRule="auto"/>
        <w:rPr>
          <w:sz w:val="20"/>
          <w:szCs w:val="20"/>
          <w:color w:val="auto"/>
        </w:rPr>
      </w:pPr>
      <w:r>
        <w:rPr>
          <w:rFonts w:ascii="Arial" w:cs="Arial" w:eastAsia="Arial" w:hAnsi="Arial"/>
          <w:sz w:val="18"/>
          <w:szCs w:val="18"/>
          <w:color w:val="auto"/>
        </w:rPr>
        <w:t>Rule 424(b) if, in the aggregate, the changes in volume and price represent no more than a 20% change in the maximum aggregate offering price set forth in the “Calculation of Registration Fee” table in the effective registration statement; and</w:t>
      </w:r>
    </w:p>
    <w:p>
      <w:pPr>
        <w:spacing w:after="0" w:line="171" w:lineRule="exact"/>
        <w:rPr>
          <w:sz w:val="20"/>
          <w:szCs w:val="20"/>
          <w:color w:val="auto"/>
        </w:rPr>
      </w:pPr>
    </w:p>
    <w:p>
      <w:pPr>
        <w:ind w:firstLine="656"/>
        <w:spacing w:after="0" w:line="308" w:lineRule="auto"/>
        <w:tabs>
          <w:tab w:leader="none" w:pos="11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(1)(i), (1)(ii) and (1)(iii)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88" w:lineRule="exact"/>
        <w:rPr>
          <w:sz w:val="20"/>
          <w:szCs w:val="20"/>
          <w:color w:val="auto"/>
        </w:rPr>
      </w:pPr>
    </w:p>
    <w:p>
      <w:pPr>
        <w:jc w:val="both"/>
        <w:ind w:firstLine="332"/>
        <w:spacing w:after="0" w:line="295" w:lineRule="auto"/>
        <w:tabs>
          <w:tab w:leader="none" w:pos="7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firstLine="332"/>
        <w:spacing w:after="0" w:line="308" w:lineRule="auto"/>
        <w:tabs>
          <w:tab w:leader="none" w:pos="8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20" w:hanging="388"/>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52" w:lineRule="exact"/>
        <w:rPr>
          <w:rFonts w:ascii="Arial" w:cs="Arial" w:eastAsia="Arial" w:hAnsi="Arial"/>
          <w:sz w:val="18"/>
          <w:szCs w:val="18"/>
          <w:color w:val="auto"/>
        </w:rPr>
      </w:pPr>
    </w:p>
    <w:p>
      <w:pPr>
        <w:ind w:firstLine="737"/>
        <w:spacing w:after="0" w:line="308" w:lineRule="auto"/>
        <w:tabs>
          <w:tab w:leader="none" w:pos="1102" w:val="left"/>
        </w:tabs>
        <w:numPr>
          <w:ilvl w:val="2"/>
          <w:numId w:val="3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firstLine="737"/>
        <w:spacing w:after="0" w:line="302" w:lineRule="auto"/>
        <w:tabs>
          <w:tab w:leader="none" w:pos="1135" w:val="left"/>
        </w:tabs>
        <w:numPr>
          <w:ilvl w:val="2"/>
          <w:numId w:val="38"/>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3" w:lineRule="exact"/>
        <w:rPr>
          <w:rFonts w:ascii="Arial" w:cs="Arial" w:eastAsia="Arial" w:hAnsi="Arial"/>
          <w:sz w:val="17"/>
          <w:szCs w:val="17"/>
          <w:color w:val="auto"/>
        </w:rPr>
      </w:pPr>
    </w:p>
    <w:p>
      <w:pPr>
        <w:jc w:val="both"/>
        <w:ind w:firstLine="332"/>
        <w:spacing w:after="0" w:line="288" w:lineRule="auto"/>
        <w:tabs>
          <w:tab w:leader="none" w:pos="7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9" w:lineRule="exact"/>
        <w:rPr>
          <w:rFonts w:ascii="Arial" w:cs="Arial" w:eastAsia="Arial" w:hAnsi="Arial"/>
          <w:sz w:val="18"/>
          <w:szCs w:val="18"/>
          <w:color w:val="auto"/>
        </w:rPr>
      </w:pPr>
    </w:p>
    <w:p>
      <w:pPr>
        <w:ind w:left="1000" w:hanging="344"/>
        <w:spacing w:after="0"/>
        <w:tabs>
          <w:tab w:leader="none" w:pos="10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63" w:lineRule="exact"/>
        <w:rPr>
          <w:rFonts w:ascii="Arial" w:cs="Arial" w:eastAsia="Arial" w:hAnsi="Arial"/>
          <w:sz w:val="17"/>
          <w:szCs w:val="17"/>
          <w:color w:val="auto"/>
        </w:rPr>
      </w:pPr>
    </w:p>
    <w:p>
      <w:pPr>
        <w:ind w:right="20" w:firstLine="656"/>
        <w:spacing w:after="0" w:line="308" w:lineRule="auto"/>
        <w:tabs>
          <w:tab w:leader="none" w:pos="11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firstLine="656"/>
        <w:spacing w:after="0" w:line="308" w:lineRule="auto"/>
        <w:tabs>
          <w:tab w:leader="none" w:pos="11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962" w:right="339" w:bottom="1440" w:gutter="0" w:footer="0" w:header="0"/>
        </w:sectPr>
      </w:pPr>
    </w:p>
    <w:bookmarkStart w:id="33" w:name="page34"/>
    <w:bookmarkEnd w:id="33"/>
    <w:p>
      <w:pPr>
        <w:jc w:val="both"/>
        <w:ind w:firstLine="332"/>
        <w:spacing w:after="0" w:line="288" w:lineRule="auto"/>
        <w:tabs>
          <w:tab w:leader="none" w:pos="7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75" w:lineRule="exact"/>
        <w:rPr>
          <w:rFonts w:ascii="Arial" w:cs="Arial" w:eastAsia="Arial" w:hAnsi="Arial"/>
          <w:sz w:val="18"/>
          <w:szCs w:val="18"/>
          <w:color w:val="auto"/>
        </w:rPr>
      </w:pPr>
    </w:p>
    <w:p>
      <w:pPr>
        <w:jc w:val="both"/>
        <w:ind w:firstLine="332"/>
        <w:spacing w:after="0" w:line="275" w:lineRule="auto"/>
        <w:tabs>
          <w:tab w:leader="none" w:pos="74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2" w:lineRule="exact"/>
        <w:rPr>
          <w:rFonts w:ascii="Arial" w:cs="Arial" w:eastAsia="Arial" w:hAnsi="Arial"/>
          <w:sz w:val="17"/>
          <w:szCs w:val="17"/>
          <w:color w:val="auto"/>
        </w:rPr>
      </w:pPr>
    </w:p>
    <w:p>
      <w:pPr>
        <w:ind w:firstLine="332"/>
        <w:spacing w:after="0" w:line="308" w:lineRule="auto"/>
        <w:tabs>
          <w:tab w:leader="none" w:pos="76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962"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Santa Clara, State of California, on March 10, 2021.</w:t>
      </w:r>
    </w:p>
    <w:p>
      <w:pPr>
        <w:spacing w:after="0" w:line="9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tbl>
      <w:tblPr>
        <w:tblLayout w:type="fixed"/>
        <w:tblInd w:w="6660" w:type="dxa"/>
        <w:tblCellMar>
          <w:top w:w="0" w:type="dxa"/>
          <w:left w:w="0" w:type="dxa"/>
          <w:bottom w:w="0" w:type="dxa"/>
          <w:right w:w="0" w:type="dxa"/>
        </w:tblCellMar>
      </w:tblPr>
      <w:tr>
        <w:trPr>
          <w:trHeight w:val="2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Dunn</w:t>
            </w:r>
          </w:p>
        </w:tc>
      </w:tr>
      <w:tr>
        <w:trPr>
          <w:trHeight w:val="222"/>
        </w:trPr>
        <w:tc>
          <w:tcPr>
            <w:tcW w:w="6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Jeffrey W. Dunn</w:t>
            </w:r>
          </w:p>
        </w:tc>
      </w:tr>
      <w:tr>
        <w:trPr>
          <w:trHeight w:val="230"/>
        </w:trPr>
        <w:tc>
          <w:tcPr>
            <w:tcW w:w="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3"/>
              </w:rPr>
              <w:t>President and Chief Executive Officer and Chairman</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4"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Jeffrey W. Dunn, Laura</w:t>
      </w:r>
      <w:r>
        <w:rPr>
          <w:rFonts w:ascii="Arial" w:cs="Arial" w:eastAsia="Arial" w:hAnsi="Arial"/>
          <w:sz w:val="17"/>
          <w:szCs w:val="17"/>
          <w:b w:val="1"/>
          <w:bCs w:val="1"/>
          <w:color w:val="auto"/>
        </w:rPr>
        <w:t xml:space="preserve"> </w:t>
      </w:r>
      <w:r>
        <w:rPr>
          <w:rFonts w:ascii="Arial" w:cs="Arial" w:eastAsia="Arial" w:hAnsi="Arial"/>
          <w:sz w:val="17"/>
          <w:szCs w:val="17"/>
          <w:color w:val="auto"/>
        </w:rPr>
        <w:t>Francis and Michael A. Pisetsky, and each of them, as her or his true and lawful attorneys-in-fact and agents, with full powers of substitution and resubstitution, for her or him and in her or his name, place and stead, in any and all capacities, to sign any and all amendments (including post-effective amendments) to this registration statement, and to file the same, with all exhibits thereto, and other documents in connection therewith, with the SEC, and generally to do all such things in her or his name and behalf in her or his capacities as officers and directors to enable the SI-BONE, Inc. to comply with the provisions of the Securities Act of 1933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her or his substitutes or substitute, may lawfully do or cause to be done by virtue hereof.</w:t>
      </w:r>
    </w:p>
    <w:p>
      <w:pPr>
        <w:spacing w:after="0" w:line="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240"/>
          </w:cols>
          <w:pgMar w:left="320" w:top="702" w:right="339" w:bottom="1440" w:gutter="0" w:footer="0" w:header="0"/>
        </w:sectPr>
      </w:pPr>
    </w:p>
    <w:p>
      <w:pPr>
        <w:spacing w:after="0" w:line="7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51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9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513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Jeffrey W. Dunn</w:t>
      </w:r>
    </w:p>
    <w:p>
      <w:pPr>
        <w:spacing w:after="0" w:line="15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15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1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Laura A. Francis</w:t>
      </w:r>
    </w:p>
    <w:p>
      <w:pPr>
        <w:spacing w:after="0" w:line="320"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 Timothy 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1513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8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Timothy E. Davis, Jr.</w:t>
      </w:r>
    </w:p>
    <w:p>
      <w:pPr>
        <w:spacing w:after="0" w:line="15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Mark J.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513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7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Mark J. Foley</w:t>
      </w:r>
    </w:p>
    <w:p>
      <w:pPr>
        <w:spacing w:after="0" w:line="14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513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John G. Freund, M.D.</w:t>
      </w:r>
    </w:p>
    <w:p>
      <w:pPr>
        <w:spacing w:after="0" w:line="18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1513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6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Gregory K. Hinckley</w:t>
      </w:r>
    </w:p>
    <w:p>
      <w:pPr>
        <w:spacing w:after="0" w:line="15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Karen A. Licitra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513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8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Karen A. Licitra</w:t>
      </w:r>
    </w:p>
    <w:p>
      <w:pPr>
        <w:spacing w:after="0" w:line="19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Keith C.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51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5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Keith C. Valentine</w:t>
      </w:r>
    </w:p>
    <w:p>
      <w:pPr>
        <w:spacing w:after="0" w:line="18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Mika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513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5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Mika Nishimura</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Borders>
              <w:bottom w:val="single" w:sz="8" w:color="auto"/>
            </w:tcBorders>
          </w:tcPr>
          <w:p>
            <w:pPr>
              <w:ind w:left="2260"/>
              <w:spacing w:after="0"/>
              <w:rPr>
                <w:sz w:val="20"/>
                <w:szCs w:val="20"/>
                <w:color w:val="auto"/>
              </w:rPr>
            </w:pPr>
            <w:r>
              <w:rPr>
                <w:rFonts w:ascii="Arial" w:cs="Arial" w:eastAsia="Arial" w:hAnsi="Arial"/>
                <w:sz w:val="18"/>
                <w:szCs w:val="18"/>
                <w:b w:val="1"/>
                <w:bCs w:val="1"/>
                <w:color w:val="auto"/>
              </w:rPr>
              <w:t>Title</w:t>
            </w:r>
          </w:p>
        </w:tc>
        <w:tc>
          <w:tcPr>
            <w:tcW w:w="320" w:type="dxa"/>
            <w:vAlign w:val="bottom"/>
          </w:tcPr>
          <w:p>
            <w:pPr>
              <w:spacing w:after="0"/>
              <w:rPr>
                <w:sz w:val="20"/>
                <w:szCs w:val="20"/>
                <w:color w:val="auto"/>
              </w:rPr>
            </w:pPr>
          </w:p>
        </w:tc>
        <w:tc>
          <w:tcPr>
            <w:tcW w:w="236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7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Chairman</w:t>
            </w: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149"/>
        </w:trPr>
        <w:tc>
          <w:tcPr>
            <w:tcW w:w="52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2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200" w:type="dxa"/>
            <w:vAlign w:val="bottom"/>
            <w:gridSpan w:val="2"/>
            <w:vMerge w:val="continue"/>
          </w:tcPr>
          <w:p>
            <w:pPr>
              <w:spacing w:after="0"/>
              <w:rPr>
                <w:sz w:val="7"/>
                <w:szCs w:val="7"/>
                <w:color w:val="auto"/>
              </w:rPr>
            </w:pPr>
          </w:p>
        </w:tc>
        <w:tc>
          <w:tcPr>
            <w:tcW w:w="2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Chief Operating Officer and Chief Financial Officer</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81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Lead Independent Director, 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648"/>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648"/>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662"/>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688"/>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675"/>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675"/>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bl>
    <w:p>
      <w:pPr>
        <w:spacing w:after="0" w:line="325" w:lineRule="exact"/>
        <w:rPr>
          <w:sz w:val="20"/>
          <w:szCs w:val="20"/>
          <w:color w:val="auto"/>
        </w:rPr>
      </w:pPr>
    </w:p>
    <w:p>
      <w:pPr>
        <w:sectPr>
          <w:pgSz w:w="11900" w:h="16838" w:orient="portrait"/>
          <w:cols w:equalWidth="0" w:num="2">
            <w:col w:w="2940" w:space="720"/>
            <w:col w:w="7580"/>
          </w:cols>
          <w:pgMar w:left="320" w:top="702"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702" w:right="3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139825"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1398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Matthew B. Hemington</w:t>
      </w:r>
    </w:p>
    <w:p>
      <w:pPr>
        <w:spacing w:after="0" w:line="13" w:lineRule="exact"/>
        <w:rPr>
          <w:sz w:val="20"/>
          <w:szCs w:val="20"/>
          <w:color w:val="auto"/>
        </w:rPr>
      </w:pPr>
    </w:p>
    <w:p>
      <w:pPr>
        <w:ind w:right="9640" w:firstLine="8"/>
        <w:spacing w:after="0" w:line="293" w:lineRule="auto"/>
        <w:tabs>
          <w:tab w:leader="none" w:pos="157" w:val="left"/>
        </w:tabs>
        <w:numPr>
          <w:ilvl w:val="0"/>
          <w:numId w:val="40"/>
        </w:numPr>
        <w:rPr>
          <w:rFonts w:ascii="Arial" w:cs="Arial" w:eastAsia="Arial" w:hAnsi="Arial"/>
          <w:sz w:val="13"/>
          <w:szCs w:val="13"/>
          <w:color w:val="auto"/>
        </w:rPr>
      </w:pPr>
      <w:r>
        <w:rPr>
          <w:rFonts w:ascii="Arial" w:cs="Arial" w:eastAsia="Arial" w:hAnsi="Arial"/>
          <w:sz w:val="13"/>
          <w:szCs w:val="13"/>
          <w:color w:val="auto"/>
        </w:rPr>
        <w:t>+1 650 843 5062 hemingtonmb@cooley.com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have acted as counsel to SI-BONE,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by the Company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The Registration Statement includes a prospectus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that provides it will be supplemented in the future by one or more prospectus supplements (each, a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The Registration Statement, including the Base Prospectus (as supplemented from time to time by one or more Prospectus Supplements), will provide for the registration by the Company of:</w:t>
      </w:r>
    </w:p>
    <w:p>
      <w:pPr>
        <w:spacing w:after="0" w:line="205"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of common stock, par value $0.0001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of preferred stock, par value $0.0001 per share, of the Company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jc w:val="both"/>
        <w:ind w:left="300" w:hanging="292"/>
        <w:spacing w:after="0" w:line="259" w:lineRule="auto"/>
        <w:tabs>
          <w:tab w:leader="none" w:pos="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securities, in one or more series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which may be issued pursuant to an indenture to be dated on or about the date of the first issuance of Debt Securities thereunder, by and between a trustee to be selected by the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and the Company, in the form filed as Exhibit 4.5 to the Registration Statement and one or more indentures supplemental thereto with respect to any particular series of Debt Securities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and</w:t>
      </w:r>
    </w:p>
    <w:p>
      <w:pPr>
        <w:spacing w:after="0" w:line="24" w:lineRule="exact"/>
        <w:rPr>
          <w:rFonts w:ascii="Arial" w:cs="Arial" w:eastAsia="Arial" w:hAnsi="Arial"/>
          <w:sz w:val="18"/>
          <w:szCs w:val="18"/>
          <w:color w:val="auto"/>
        </w:rPr>
      </w:pPr>
    </w:p>
    <w:p>
      <w:pPr>
        <w:jc w:val="both"/>
        <w:ind w:left="300" w:hanging="292"/>
        <w:spacing w:after="0" w:line="259" w:lineRule="auto"/>
        <w:tabs>
          <w:tab w:leader="none" w:pos="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which may be issued under one or more warrant agreements, to be dated on or about the date of the first issuance of the Warrants thereunder, by and between a warrant agent to be selected by the Company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and the Company, in the forms filed as Exhibits 4.6, 4.7 and 4.8 to the Registration Statement, respectively (each, a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Common Stock, the Preferred Stock, the Debt Securities and the Warrants are collectively referred to herein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The Securities are being registered for offer and sale from time to time pursuant to Rule 415 under the Securities Act.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3175 Hanover Street Palo Alto, CA 94304-1130</w:t>
      </w:r>
    </w:p>
    <w:p>
      <w:pPr>
        <w:jc w:val="center"/>
        <w:spacing w:after="0"/>
        <w:rPr>
          <w:sz w:val="20"/>
          <w:szCs w:val="20"/>
          <w:color w:val="auto"/>
        </w:rPr>
      </w:pPr>
      <w:r>
        <w:rPr>
          <w:rFonts w:ascii="Arial" w:cs="Arial" w:eastAsia="Arial" w:hAnsi="Arial"/>
          <w:sz w:val="13"/>
          <w:szCs w:val="13"/>
          <w:color w:val="auto"/>
        </w:rPr>
        <w:t>t: (650) 843-5000 f: (650) 849-7400 cooley.com</w:t>
      </w:r>
    </w:p>
    <w:p>
      <w:pPr>
        <w:sectPr>
          <w:pgSz w:w="11900" w:h="16838" w:orient="portrait"/>
          <w:cols w:equalWidth="0" w:num="1">
            <w:col w:w="11240"/>
          </w:cols>
          <w:pgMar w:left="320" w:top="769" w:right="339" w:bottom="1440" w:gutter="0" w:footer="0" w:header="0"/>
        </w:sectPr>
      </w:pPr>
    </w:p>
    <w:bookmarkStart w:id="36" w:name="page37"/>
    <w:bookmarkEnd w:id="36"/>
    <w:p>
      <w:pPr>
        <w:jc w:val="both"/>
        <w:spacing w:after="0" w:line="268" w:lineRule="auto"/>
        <w:rPr>
          <w:sz w:val="20"/>
          <w:szCs w:val="20"/>
          <w:color w:val="auto"/>
        </w:rPr>
      </w:pPr>
      <w:r>
        <w:rPr>
          <w:rFonts w:ascii="Arial" w:cs="Arial" w:eastAsia="Arial" w:hAnsi="Arial"/>
          <w:sz w:val="17"/>
          <w:szCs w:val="17"/>
          <w:color w:val="auto"/>
        </w:rPr>
        <w:t>With respect to our opinion as to the Common Stock, we have assumed that, at the time of issuance and sale, a sufficient number of shares of Common Stock will be authorized and available for issuance and that the consideration for the issuance and sale of the Common Stock (or Preferred Stock or Debt Securities convertible into, or Warrants exercisable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opinion herein is expressed solely with respect to the General Corporation Law of the State of Delaware and, as to the Debt Securities and the Warrants constituting valid and legally binding obligations of the Company, the laws of the State of New York. Our opinion is based on these laws as in effect on the date hereof. We express no opinion to the extent that any other laws are applicable to the subject matter hereof, and we express no opinion and provide no assurance as to compliance with any federal or state securities law, rule or regulation.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in reliance thereon, and subject to the qualifications herein stated, we are of the opinion that:</w:t>
      </w:r>
    </w:p>
    <w:p>
      <w:pPr>
        <w:spacing w:after="0" w:line="225" w:lineRule="exact"/>
        <w:rPr>
          <w:sz w:val="20"/>
          <w:szCs w:val="20"/>
          <w:color w:val="auto"/>
        </w:rPr>
      </w:pPr>
    </w:p>
    <w:p>
      <w:pPr>
        <w:jc w:val="both"/>
        <w:ind w:firstLine="8"/>
        <w:spacing w:after="0" w:line="269" w:lineRule="auto"/>
        <w:tabs>
          <w:tab w:leader="none" w:pos="451"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auto"/>
        </w:rPr>
        <w:t>With respect to the Common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Common Stock has been duly authorized by all necessary corporate action on the part of the Company; (iii) the issuance and sale of the Common Stock do not violate any applicable law, are in conformity with the Company’s then operative certificate of incorporation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and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Common Stock have been duly executed by the Company, countersigned by the transfer agent therefor and duly delivered to the purchasers thereof against payment therefor, then the Common Stock,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178" w:lineRule="exact"/>
        <w:rPr>
          <w:rFonts w:ascii="Arial" w:cs="Arial" w:eastAsia="Arial" w:hAnsi="Arial"/>
          <w:sz w:val="17"/>
          <w:szCs w:val="17"/>
          <w:b w:val="1"/>
          <w:bCs w:val="1"/>
          <w:color w:val="auto"/>
        </w:rPr>
      </w:pPr>
    </w:p>
    <w:p>
      <w:pPr>
        <w:jc w:val="both"/>
        <w:ind w:firstLine="8"/>
        <w:spacing w:after="0" w:line="287" w:lineRule="auto"/>
        <w:tabs>
          <w:tab w:leader="none" w:pos="451"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With respect to the Preferred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3175 Hanover Street Palo Alto, CA 94304-1130</w:t>
      </w:r>
    </w:p>
    <w:p>
      <w:pPr>
        <w:jc w:val="center"/>
        <w:spacing w:after="0"/>
        <w:rPr>
          <w:sz w:val="20"/>
          <w:szCs w:val="20"/>
          <w:color w:val="auto"/>
        </w:rPr>
      </w:pPr>
      <w:r>
        <w:rPr>
          <w:rFonts w:ascii="Arial" w:cs="Arial" w:eastAsia="Arial" w:hAnsi="Arial"/>
          <w:sz w:val="13"/>
          <w:szCs w:val="13"/>
          <w:color w:val="auto"/>
        </w:rPr>
        <w:t>t: (650) 843-5000 f: (650) 849-7400 cooley.com</w:t>
      </w:r>
    </w:p>
    <w:p>
      <w:pPr>
        <w:sectPr>
          <w:pgSz w:w="11900" w:h="16838" w:orient="portrait"/>
          <w:cols w:equalWidth="0" w:num="1">
            <w:col w:w="11240"/>
          </w:cols>
          <w:pgMar w:left="320" w:top="773" w:right="339" w:bottom="1440" w:gutter="0" w:footer="0" w:header="0"/>
        </w:sectPr>
      </w:pPr>
    </w:p>
    <w:bookmarkStart w:id="37" w:name="page38"/>
    <w:bookmarkEnd w:id="37"/>
    <w:p>
      <w:pPr>
        <w:jc w:val="both"/>
        <w:ind w:firstLine="8"/>
        <w:spacing w:after="0" w:line="268" w:lineRule="auto"/>
        <w:tabs>
          <w:tab w:leader="none" w:pos="47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in substantially the form filed as an exhibit to the Registration Statement, has been duly executed and delivered by the Company and the Trustee and has been qualified under the Trust Indenture Act of 1939, as amended;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81" w:lineRule="exact"/>
        <w:rPr>
          <w:rFonts w:ascii="Arial" w:cs="Arial" w:eastAsia="Arial" w:hAnsi="Arial"/>
          <w:sz w:val="17"/>
          <w:szCs w:val="17"/>
          <w:b w:val="1"/>
          <w:bCs w:val="1"/>
          <w:color w:val="auto"/>
        </w:rPr>
      </w:pPr>
    </w:p>
    <w:p>
      <w:pPr>
        <w:jc w:val="both"/>
        <w:ind w:firstLine="8"/>
        <w:spacing w:after="0" w:line="286" w:lineRule="auto"/>
        <w:tabs>
          <w:tab w:leader="none" w:pos="426"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Warrant Agreement has been duly authorized by the Company and the Warrant Agent by all necessary corporate action; (iii) the applicable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as contemplated in the Registration Statement, the Base Prospectus and the Prospectus Supplement(s) and in accordance with the applicable Warrant Agreement and a duly authorized, executed and delivered purchase, underwriting or similar agreement,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Base Prospectus.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270"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B. Hemington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14605</wp:posOffset>
            </wp:positionV>
            <wp:extent cx="24942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Matthew B. Hemington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3175 Hanover Street Palo Alto, CA 94304-1130</w:t>
      </w:r>
    </w:p>
    <w:p>
      <w:pPr>
        <w:jc w:val="center"/>
        <w:spacing w:after="0"/>
        <w:rPr>
          <w:sz w:val="20"/>
          <w:szCs w:val="20"/>
          <w:color w:val="auto"/>
        </w:rPr>
      </w:pPr>
      <w:r>
        <w:rPr>
          <w:rFonts w:ascii="Arial" w:cs="Arial" w:eastAsia="Arial" w:hAnsi="Arial"/>
          <w:sz w:val="13"/>
          <w:szCs w:val="13"/>
          <w:color w:val="auto"/>
        </w:rPr>
        <w:t>t: (650) 843-5000 f: (650) 849-7400 cooley.com</w:t>
      </w:r>
    </w:p>
    <w:p>
      <w:pPr>
        <w:sectPr>
          <w:pgSz w:w="11900" w:h="16838" w:orient="portrait"/>
          <w:cols w:equalWidth="0" w:num="1">
            <w:col w:w="11240"/>
          </w:cols>
          <w:pgMar w:left="320" w:top="77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S-3 of SI-BONE, Inc. of our report dated March 10, 2021, relating to the financial statements, which appears in SI-BONE, Inc.'s Annual Report on Form 10-K for the year ended December 31, 2020. We also consent to the reference to us under the heading “Experts” in such Registration Statement.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408"/>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lvl w:ilvl="1">
      <w:lvlJc w:val="left"/>
      <w:lvlText w:val="(%2)"/>
      <w:numFmt w:val="lowerRoman"/>
      <w:start w:val="1"/>
    </w:lvl>
  </w:abstractNum>
  <w:abstractNum w:abstractNumId="36">
    <w:nsid w:val="2D517796"/>
    <w:multiLevelType w:val="hybridMultilevel"/>
    <w:lvl w:ilvl="0">
      <w:lvlJc w:val="left"/>
      <w:lvlText w:val="(%1)"/>
      <w:numFmt w:val="lowerRoman"/>
      <w:start w:val="3"/>
    </w:lvl>
  </w:abstractNum>
  <w:abstractNum w:abstractNumId="37">
    <w:nsid w:val="580BD78F"/>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38">
    <w:nsid w:val="153EA438"/>
    <w:multiLevelType w:val="hybridMultilevel"/>
    <w:lvl w:ilvl="0">
      <w:lvlJc w:val="left"/>
      <w:lvlText w:val="(%1)"/>
      <w:numFmt w:val="decimal"/>
      <w:start w:val="6"/>
    </w:lvl>
  </w:abstractNum>
  <w:abstractNum w:abstractNumId="39">
    <w:nsid w:val="3855585C"/>
    <w:multiLevelType w:val="hybridMultilevel"/>
    <w:lvl w:ilvl="0">
      <w:lvlJc w:val="left"/>
      <w:lvlText w:val="%1:"/>
      <w:numFmt w:val="upperLetter"/>
      <w:start w:val="20"/>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jpeg"/><Relationship Id="rId46" Type="http://schemas.openxmlformats.org/officeDocument/2006/relationships/image" Target="media/image28.png"/><Relationship Id="rId23" Type="http://schemas.openxmlformats.org/officeDocument/2006/relationships/hyperlink" Target="http://www.sec.gov/Archives/edgar/data/1459839/000145983921000012/0001459839-21-000012-index.htm" TargetMode="External"/><Relationship Id="rId24" Type="http://schemas.openxmlformats.org/officeDocument/2006/relationships/hyperlink" Target="http://www.sec.gov/ix?doc=/Archives/edgar/data/1459839/000145983921000003/sibn-20210105.htm" TargetMode="External"/><Relationship Id="rId25" Type="http://schemas.openxmlformats.org/officeDocument/2006/relationships/hyperlink" Target="http://www.sec.gov/Archives/edgar/data/1459839/000145983921000009/0001459839-21-000009-index.htm" TargetMode="External"/><Relationship Id="rId26" Type="http://schemas.openxmlformats.org/officeDocument/2006/relationships/hyperlink" Target="http://www.sec.gov/Archives/edgar/data/1459839/000119312518297571/d486750d8a12b.htm" TargetMode="External"/><Relationship Id="rId27" Type="http://schemas.openxmlformats.org/officeDocument/2006/relationships/hyperlink" Target="http://www.sec.gov/Archives/edgar/data/1459839/000119312518303020/d641574dex31.htm" TargetMode="External"/><Relationship Id="rId28" Type="http://schemas.openxmlformats.org/officeDocument/2006/relationships/hyperlink" Target="http://www.sec.gov/Archives/edgar/data/1459839/000119312518293978/d452987dex34.htm" TargetMode="External"/><Relationship Id="rId29" Type="http://schemas.openxmlformats.org/officeDocument/2006/relationships/hyperlink" Target="http://www.sec.gov/Archives/edgar/data/1459839/000119312518293978/d452987dex41.htm" TargetMode="External"/><Relationship Id="rId30" Type="http://schemas.openxmlformats.org/officeDocument/2006/relationships/hyperlink" Target="http://www.sec.gov/Archives/edgar/data/1459839/000145983919000048/exhibit44formofdebtindentu.htm" TargetMode="External"/><Relationship Id="rId31" Type="http://schemas.openxmlformats.org/officeDocument/2006/relationships/hyperlink" Target="http://www.sec.gov/Archives/edgar/data/1459839/000145983919000048/exhibit46formofcommonstock.htm" TargetMode="External"/><Relationship Id="rId32" Type="http://schemas.openxmlformats.org/officeDocument/2006/relationships/hyperlink" Target="http://www.sec.gov/Archives/edgar/data/1459839/000145983919000048/exhibit47formofpreferredst.htm" TargetMode="External"/><Relationship Id="rId33" Type="http://schemas.openxmlformats.org/officeDocument/2006/relationships/hyperlink" Target="http://www.sec.gov/Archives/edgar/data/1459839/000145983919000048/exhibit48formofdebtsecur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2021-03-10T15:55:33Z</dcterms:created>
  <dcterms:modified xsi:type="dcterms:W3CDTF">2021-03-10T15:55:33Z</dcterms:modified>
</cp:coreProperties>
</file>