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Nishimura Mika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06/16/2022</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900" w:type="dxa"/>
            <w:vAlign w:val="bottom"/>
            <w:tcBorders>
              <w:bottom w:val="single" w:sz="8" w:color="9A9A9A"/>
            </w:tcBorders>
            <w:gridSpan w:val="2"/>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06/16/2022</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8,324</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16,984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13,115 shares issuable on the settlement of restricted stock units granted to the Reporting Person. Each restricted stock unit represents a contingent right to receive one share of the Issuer's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/Michael Pisetsky, Attorney- </w:t>
      </w:r>
      <w:r>
        <w:rPr>
          <w:rFonts w:ascii="Times New Roman" w:cs="Times New Roman" w:eastAsia="Times New Roman" w:hAnsi="Times New Roman"/>
          <w:sz w:val="34"/>
          <w:szCs w:val="34"/>
          <w:color w:val="0000FF"/>
          <w:vertAlign w:val="subscript"/>
        </w:rPr>
        <w:t>06/20/2022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Mika Nishimura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8327"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2022-06-21T15:13:05Z</dcterms:created>
  <dcterms:modified xsi:type="dcterms:W3CDTF">2022-06-21T15:13:05Z</dcterms:modified>
</cp:coreProperties>
</file>