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SI-BONE,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825704109</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May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3,195,498</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3,695,421</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3,695,421</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10.9%</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20" w:hanging="374"/>
        <w:spacing w:after="0"/>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NAME OF REPORTING PERSON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52-1811121</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is a Maryland Trust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18,744</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18,744</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18,744</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0.1%</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BK (Bank)</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LLC (BALLC)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26-0680642</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Advisory LLC is a Maryland Limited Liability Corporation.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3,176,754</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3,676,677</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3,676,677</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10.8%</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 (Investment Adviser)</w:t>
      </w:r>
    </w:p>
    <w:p>
      <w:pPr>
        <w:sectPr>
          <w:pgSz w:w="11900" w:h="16838" w:orient="portrait"/>
          <w:cols w:equalWidth="0" w:num="1">
            <w:col w:w="10640"/>
          </w:cols>
          <w:pgMar w:left="320" w:top="958" w:right="939" w:bottom="1440" w:gutter="0" w:footer="0" w:header="0"/>
        </w:sectPr>
      </w:pPr>
    </w:p>
    <w:bookmarkStart w:id="4" w:name="page5"/>
    <w:bookmarkEnd w:id="4"/>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SI-BONE,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471 El Camino Real Suite 101 Santa Clara, CA 95050</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("BAI")</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("BIATC")</w:t>
      </w:r>
    </w:p>
    <w:p>
      <w:pPr>
        <w:ind w:left="1160"/>
        <w:spacing w:after="0"/>
        <w:rPr>
          <w:sz w:val="20"/>
          <w:szCs w:val="20"/>
          <w:color w:val="auto"/>
        </w:rPr>
      </w:pPr>
      <w:r>
        <w:rPr>
          <w:rFonts w:ascii="Georgia" w:cs="Georgia" w:eastAsia="Georgia" w:hAnsi="Georgia"/>
          <w:sz w:val="18"/>
          <w:szCs w:val="18"/>
          <w:color w:val="auto"/>
        </w:rPr>
        <w:t>Brown Advisory LLC (BALLC)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901 South Bond Street, Suite #400</w:t>
      </w:r>
    </w:p>
    <w:p>
      <w:pPr>
        <w:ind w:left="1160"/>
        <w:spacing w:after="0" w:line="238" w:lineRule="auto"/>
        <w:rPr>
          <w:sz w:val="20"/>
          <w:szCs w:val="20"/>
          <w:color w:val="auto"/>
        </w:rPr>
      </w:pPr>
      <w:r>
        <w:rPr>
          <w:rFonts w:ascii="Georgia" w:cs="Georgia" w:eastAsia="Georgia" w:hAnsi="Georgia"/>
          <w:sz w:val="18"/>
          <w:szCs w:val="18"/>
          <w:color w:val="auto"/>
        </w:rPr>
        <w:t>Baltimore, Maryland 21231</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is a Maryland Trust Company.</w:t>
      </w:r>
    </w:p>
    <w:p>
      <w:pPr>
        <w:ind w:left="1160"/>
        <w:spacing w:after="0"/>
        <w:rPr>
          <w:sz w:val="20"/>
          <w:szCs w:val="20"/>
          <w:color w:val="auto"/>
        </w:rPr>
      </w:pPr>
      <w:r>
        <w:rPr>
          <w:rFonts w:ascii="Georgia" w:cs="Georgia" w:eastAsia="Georgia" w:hAnsi="Georgia"/>
          <w:sz w:val="18"/>
          <w:szCs w:val="18"/>
          <w:color w:val="auto"/>
        </w:rPr>
        <w:t>Brown Advisory LLC is a Maryland Limited Liability Corporation.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825704109</w:t>
      </w:r>
    </w:p>
    <w:p>
      <w:pPr>
        <w:spacing w:after="0" w:line="229" w:lineRule="exact"/>
        <w:rPr>
          <w:sz w:val="20"/>
          <w:szCs w:val="20"/>
          <w:color w:val="auto"/>
        </w:rPr>
      </w:pPr>
    </w:p>
    <w:p>
      <w:pPr>
        <w:ind w:left="1160" w:right="38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4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135" w:lineRule="exact"/>
        <w:rPr>
          <w:sz w:val="20"/>
          <w:szCs w:val="20"/>
          <w:color w:val="auto"/>
        </w:rPr>
      </w:pPr>
    </w:p>
    <w:p>
      <w:pPr>
        <w:ind w:left="1160"/>
        <w:spacing w:after="0"/>
        <w:rPr>
          <w:sz w:val="20"/>
          <w:szCs w:val="20"/>
          <w:color w:val="auto"/>
        </w:rPr>
      </w:pPr>
      <w:r>
        <w:rPr>
          <w:rFonts w:ascii="Georgia" w:cs="Georgia" w:eastAsia="Georgia" w:hAnsi="Georgia"/>
          <w:sz w:val="17"/>
          <w:szCs w:val="17"/>
          <w:color w:val="auto"/>
        </w:rPr>
        <w:t>Brown Advisory Incorporated ("BAI") is a parent holding company or control person in accordance with 240.13d-1(b)</w:t>
      </w:r>
    </w:p>
    <w:p>
      <w:pPr>
        <w:spacing w:after="0" w:line="7"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(1)(ii)(G)</w:t>
      </w:r>
    </w:p>
    <w:p>
      <w:pPr>
        <w:ind w:left="1160" w:right="920"/>
        <w:spacing w:after="0" w:line="237" w:lineRule="auto"/>
        <w:rPr>
          <w:sz w:val="20"/>
          <w:szCs w:val="20"/>
          <w:color w:val="auto"/>
        </w:rPr>
      </w:pPr>
      <w:r>
        <w:rPr>
          <w:rFonts w:ascii="Georgia" w:cs="Georgia" w:eastAsia="Georgia" w:hAnsi="Georgia"/>
          <w:sz w:val="18"/>
          <w:szCs w:val="18"/>
          <w:color w:val="auto"/>
        </w:rPr>
        <w:t>Brown Investment Advisory &amp; Trust Company ("BIATC") is a bank as defined in Section 3(a)(6) of the Act (15U.S.C.78c)</w:t>
      </w:r>
    </w:p>
    <w:p>
      <w:pPr>
        <w:ind w:left="1160"/>
        <w:spacing w:after="0"/>
        <w:rPr>
          <w:sz w:val="20"/>
          <w:szCs w:val="20"/>
          <w:color w:val="auto"/>
        </w:rPr>
      </w:pPr>
      <w:r>
        <w:rPr>
          <w:rFonts w:ascii="Georgia" w:cs="Georgia" w:eastAsia="Georgia" w:hAnsi="Georgia"/>
          <w:sz w:val="18"/>
          <w:szCs w:val="18"/>
          <w:color w:val="auto"/>
        </w:rPr>
        <w:t>Brown Advisory LLC ("BALLC") is an investment adviser in accordance with 240.13d-1(b)(1)(ii)(E)</w:t>
      </w:r>
    </w:p>
    <w:p>
      <w:pPr>
        <w:spacing w:after="0" w:line="30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3,695,421</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10.9%</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(c) Number of shares as to which the person has:</w:t>
      </w:r>
    </w:p>
    <w:p>
      <w:pPr>
        <w:spacing w:after="0" w:line="134" w:lineRule="exact"/>
        <w:rPr>
          <w:sz w:val="20"/>
          <w:szCs w:val="20"/>
          <w:color w:val="auto"/>
        </w:rPr>
      </w:pPr>
    </w:p>
    <w:p>
      <w:pPr>
        <w:ind w:left="1460" w:right="5060" w:firstLine="8"/>
        <w:spacing w:after="0" w:line="394" w:lineRule="auto"/>
        <w:tabs>
          <w:tab w:leader="none" w:pos="1691"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Brown Advisory Incorporated ("BAI") : 3,195,498</w:t>
      </w:r>
    </w:p>
    <w:p>
      <w:pPr>
        <w:sectPr>
          <w:pgSz w:w="11900" w:h="16838" w:orient="portrait"/>
          <w:cols w:equalWidth="0" w:num="1">
            <w:col w:w="10460"/>
          </w:cols>
          <w:pgMar w:left="400" w:top="958" w:right="1039" w:bottom="0" w:gutter="0" w:footer="0" w:header="0"/>
        </w:sectPr>
      </w:pPr>
    </w:p>
    <w:bookmarkStart w:id="5" w:name="page6"/>
    <w:bookmarkEnd w:id="5"/>
    <w:p>
      <w:pPr>
        <w:ind w:left="1460"/>
        <w:spacing w:after="0"/>
        <w:rPr>
          <w:sz w:val="20"/>
          <w:szCs w:val="20"/>
          <w:color w:val="auto"/>
        </w:rPr>
      </w:pPr>
      <w:r>
        <w:rPr>
          <w:rFonts w:ascii="Georgia" w:cs="Georgia" w:eastAsia="Georgia" w:hAnsi="Georgia"/>
          <w:sz w:val="18"/>
          <w:szCs w:val="18"/>
          <w:color w:val="auto"/>
        </w:rPr>
        <w:t>Brown Investment Advisory &amp; Trust Company ("BIATC") : 18,744</w:t>
      </w:r>
    </w:p>
    <w:p>
      <w:pPr>
        <w:spacing w:after="0" w:line="200"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LLC (BALLC) : 3,176,754</w:t>
      </w:r>
    </w:p>
    <w:p>
      <w:pPr>
        <w:spacing w:after="0" w:line="134" w:lineRule="exact"/>
        <w:rPr>
          <w:sz w:val="20"/>
          <w:szCs w:val="20"/>
          <w:color w:val="auto"/>
        </w:rPr>
      </w:pPr>
    </w:p>
    <w:p>
      <w:pPr>
        <w:ind w:left="1460" w:right="5320" w:firstLine="8"/>
        <w:spacing w:after="0" w:line="394" w:lineRule="auto"/>
        <w:tabs>
          <w:tab w:leader="none" w:pos="1744"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Brown Advisory Incorporated ("BAI") : 0</w:t>
      </w:r>
    </w:p>
    <w:p>
      <w:pPr>
        <w:spacing w:after="0" w:line="69"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 : 0</w:t>
      </w:r>
    </w:p>
    <w:p>
      <w:pPr>
        <w:spacing w:after="0" w:line="200"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LLC (BALLC) : 0</w:t>
      </w:r>
    </w:p>
    <w:p>
      <w:pPr>
        <w:spacing w:after="0" w:line="134" w:lineRule="exact"/>
        <w:rPr>
          <w:sz w:val="20"/>
          <w:szCs w:val="20"/>
          <w:color w:val="auto"/>
        </w:rPr>
      </w:pPr>
    </w:p>
    <w:p>
      <w:pPr>
        <w:ind w:left="1460" w:right="4680" w:firstLine="8"/>
        <w:spacing w:after="0" w:line="394" w:lineRule="auto"/>
        <w:tabs>
          <w:tab w:leader="none" w:pos="1797"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Brown Advisory Incorporated ("BAI") : 0</w:t>
      </w:r>
    </w:p>
    <w:p>
      <w:pPr>
        <w:spacing w:after="0" w:line="69"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 : 0</w:t>
      </w:r>
    </w:p>
    <w:p>
      <w:pPr>
        <w:spacing w:after="0" w:line="200"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LLC (BALLC) : 0</w:t>
      </w:r>
    </w:p>
    <w:p>
      <w:pPr>
        <w:spacing w:after="0" w:line="134" w:lineRule="exact"/>
        <w:rPr>
          <w:sz w:val="20"/>
          <w:szCs w:val="20"/>
          <w:color w:val="auto"/>
        </w:rPr>
      </w:pPr>
    </w:p>
    <w:p>
      <w:pPr>
        <w:ind w:left="1460" w:right="4280" w:firstLine="8"/>
        <w:spacing w:after="0" w:line="394" w:lineRule="auto"/>
        <w:tabs>
          <w:tab w:leader="none" w:pos="1780" w:val="left"/>
        </w:tabs>
        <w:numPr>
          <w:ilvl w:val="0"/>
          <w:numId w:val="30"/>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Brown Advisory Incorporated ("BAI") : 3,695,421</w:t>
      </w:r>
    </w:p>
    <w:p>
      <w:pPr>
        <w:spacing w:after="0" w:line="69"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 : 18,744</w:t>
      </w:r>
    </w:p>
    <w:p>
      <w:pPr>
        <w:spacing w:after="0" w:line="200" w:lineRule="exact"/>
        <w:rPr>
          <w:sz w:val="20"/>
          <w:szCs w:val="20"/>
          <w:color w:val="auto"/>
        </w:rPr>
      </w:pPr>
    </w:p>
    <w:p>
      <w:pPr>
        <w:jc w:val="center"/>
        <w:ind w:right="4120"/>
        <w:spacing w:after="0"/>
        <w:rPr>
          <w:sz w:val="20"/>
          <w:szCs w:val="20"/>
          <w:color w:val="auto"/>
        </w:rPr>
      </w:pPr>
      <w:r>
        <w:rPr>
          <w:rFonts w:ascii="Georgia" w:cs="Georgia" w:eastAsia="Georgia" w:hAnsi="Georgia"/>
          <w:sz w:val="18"/>
          <w:szCs w:val="18"/>
          <w:color w:val="auto"/>
        </w:rPr>
        <w:t>Brown Advisory LLC (BALLC) : 3,676,677</w:t>
      </w:r>
    </w:p>
    <w:p>
      <w:pPr>
        <w:spacing w:after="0" w:line="133" w:lineRule="exact"/>
        <w:rPr>
          <w:sz w:val="20"/>
          <w:szCs w:val="20"/>
          <w:color w:val="auto"/>
        </w:rPr>
      </w:pPr>
    </w:p>
    <w:p>
      <w:pPr>
        <w:jc w:val="center"/>
        <w:ind w:right="4060"/>
        <w:spacing w:after="0"/>
        <w:tabs>
          <w:tab w:leader="none" w:pos="42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100"/>
        <w:spacing w:after="0" w:line="237" w:lineRule="auto"/>
        <w:rPr>
          <w:sz w:val="20"/>
          <w:szCs w:val="20"/>
          <w:color w:val="auto"/>
        </w:rPr>
      </w:pPr>
      <w:r>
        <w:rPr>
          <w:rFonts w:ascii="Georgia" w:cs="Georgia" w:eastAsia="Georgia" w:hAnsi="Georgia"/>
          <w:sz w:val="18"/>
          <w:szCs w:val="18"/>
          <w:color w:val="auto"/>
        </w:rPr>
        <w:t>The total securities being reported are beneficially owned by investment companies and other managed accounts of direct/indirect subsidiaries of BAI (listed above). These subsidiaries may be deemed to be beneficial owners of the reported securities because applicable investment advisory contracts provide voting and/or investment power over securities.</w:t>
      </w:r>
    </w:p>
    <w:p>
      <w:pPr>
        <w:spacing w:after="0" w:line="230"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4" w:lineRule="exact"/>
        <w:rPr>
          <w:sz w:val="20"/>
          <w:szCs w:val="20"/>
          <w:color w:val="auto"/>
        </w:rPr>
      </w:pPr>
    </w:p>
    <w:p>
      <w:pPr>
        <w:ind w:left="1160" w:right="480"/>
        <w:spacing w:after="0" w:line="237" w:lineRule="auto"/>
        <w:rPr>
          <w:sz w:val="20"/>
          <w:szCs w:val="20"/>
          <w:color w:val="auto"/>
        </w:rPr>
      </w:pPr>
      <w:r>
        <w:rPr>
          <w:rFonts w:ascii="Georgia" w:cs="Georgia" w:eastAsia="Georgia" w:hAnsi="Georgia"/>
          <w:sz w:val="18"/>
          <w:szCs w:val="18"/>
          <w:color w:val="auto"/>
        </w:rPr>
        <w:t>Brown Advisory Incorporated (BAI) is a parent holding company filing this schedule on behalf of the following subsidiaries pursuant to Rule 13d-1(b)(1)(ii)(G) under the Securities Exchange Act of 1934: Brown Investment Advisory &amp; Trust Company (BIATC) BK (Bank)</w:t>
      </w:r>
    </w:p>
    <w:p>
      <w:pPr>
        <w:ind w:left="1160"/>
        <w:spacing w:after="0"/>
        <w:rPr>
          <w:sz w:val="20"/>
          <w:szCs w:val="20"/>
          <w:color w:val="auto"/>
        </w:rPr>
      </w:pPr>
      <w:r>
        <w:rPr>
          <w:rFonts w:ascii="Georgia" w:cs="Georgia" w:eastAsia="Georgia" w:hAnsi="Georgia"/>
          <w:sz w:val="18"/>
          <w:szCs w:val="18"/>
          <w:color w:val="auto"/>
        </w:rPr>
        <w:t>Brown Advisory LLC (BALLC) IA (Investment Adviser)</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00" w:type="dxa"/>
            <w:vAlign w:val="bottom"/>
          </w:tcPr>
          <w:p>
            <w:pPr>
              <w:spacing w:after="0"/>
              <w:rPr>
                <w:sz w:val="20"/>
                <w:szCs w:val="20"/>
                <w:color w:val="auto"/>
              </w:rPr>
            </w:pPr>
            <w:r>
              <w:rPr>
                <w:rFonts w:ascii="Georgia" w:cs="Georgia" w:eastAsia="Georgia" w:hAnsi="Georgia"/>
                <w:sz w:val="16"/>
                <w:szCs w:val="16"/>
                <w:color w:val="auto"/>
              </w:rPr>
              <w:t>June 06 2022</w:t>
            </w:r>
          </w:p>
        </w:tc>
        <w:tc>
          <w:tcPr>
            <w:tcW w:w="6240" w:type="dxa"/>
            <w:vAlign w:val="bottom"/>
            <w:gridSpan w:val="2"/>
          </w:tcPr>
          <w:p>
            <w:pPr>
              <w:ind w:left="1100"/>
              <w:spacing w:after="0"/>
              <w:rPr>
                <w:sz w:val="20"/>
                <w:szCs w:val="20"/>
                <w:color w:val="auto"/>
              </w:rPr>
            </w:pPr>
            <w:r>
              <w:rPr>
                <w:rFonts w:ascii="Georgia" w:cs="Georgia" w:eastAsia="Georgia" w:hAnsi="Georgia"/>
                <w:sz w:val="16"/>
                <w:szCs w:val="16"/>
                <w:color w:val="auto"/>
              </w:rPr>
              <w:t>Brown Advisory Incorporated ("BAI")</w:t>
            </w:r>
          </w:p>
        </w:tc>
      </w:tr>
      <w:tr>
        <w:trPr>
          <w:trHeight w:val="283"/>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100" w:type="dxa"/>
            <w:vAlign w:val="bottom"/>
          </w:tcPr>
          <w:p>
            <w:pPr>
              <w:spacing w:after="0"/>
              <w:rPr>
                <w:sz w:val="22"/>
                <w:szCs w:val="22"/>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Brett D. Rogers</w:t>
            </w:r>
          </w:p>
        </w:tc>
      </w:tr>
      <w:tr>
        <w:trPr>
          <w:trHeight w:val="270"/>
        </w:trPr>
        <w:tc>
          <w:tcPr>
            <w:tcW w:w="2100" w:type="dxa"/>
            <w:vAlign w:val="bottom"/>
          </w:tcPr>
          <w:p>
            <w:pPr>
              <w:spacing w:after="0"/>
              <w:rPr>
                <w:sz w:val="23"/>
                <w:szCs w:val="23"/>
                <w:color w:val="auto"/>
              </w:rPr>
            </w:pPr>
          </w:p>
        </w:tc>
        <w:tc>
          <w:tcPr>
            <w:tcW w:w="1760" w:type="dxa"/>
            <w:vAlign w:val="bottom"/>
          </w:tcPr>
          <w:p>
            <w:pPr>
              <w:ind w:left="110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General Counsel &amp; 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2]"/>
      <w:numFmt w:val="upperLetter"/>
      <w:start w:val="24"/>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lvl w:ilvl="1">
      <w:lvlJc w:val="left"/>
      <w:lvlText w:val="(%2)"/>
      <w:numFmt w:val="lowerLetter"/>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9"/>
      <w:numFmt w:val="bullet"/>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1"/>
      <w:numFmt w:val="decimal"/>
      <w:start w:val="11"/>
    </w:lvl>
  </w:abstractNum>
  <w:abstractNum w:abstractNumId="8">
    <w:nsid w:val="257130A3"/>
    <w:multiLevelType w:val="hybridMultilevel"/>
    <w:lvl w:ilvl="0">
      <w:lvlJc w:val="left"/>
      <w:lvlText w:val="%1"/>
      <w:numFmt w:val="decimal"/>
      <w:start w:val="12"/>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2"/>
      <w:numFmt w:val="bullet"/>
      <w:start w:val="1"/>
    </w:lvl>
    <w:lvl w:ilvl="1">
      <w:lvlJc w:val="left"/>
      <w:lvlText w:val="(%2)"/>
      <w:numFmt w:val="lowerLetter"/>
      <w:start w:val="1"/>
    </w:lvl>
  </w:abstractNum>
  <w:abstractNum w:abstractNumId="11">
    <w:nsid w:val="628C895D"/>
    <w:multiLevelType w:val="hybridMultilevel"/>
    <w:lvl w:ilvl="0">
      <w:lvlJc w:val="left"/>
      <w:lvlText w:val="3"/>
      <w:numFmt w:val="bullet"/>
      <w:start w:val="1"/>
    </w:lvl>
  </w:abstractNum>
  <w:abstractNum w:abstractNumId="12">
    <w:nsid w:val="333AB105"/>
    <w:multiLevelType w:val="hybridMultilevel"/>
    <w:lvl w:ilvl="0">
      <w:lvlJc w:val="left"/>
      <w:lvlText w:val="4"/>
      <w:numFmt w:val="bullet"/>
      <w:start w:val="1"/>
    </w:lvl>
  </w:abstractNum>
  <w:abstractNum w:abstractNumId="13">
    <w:nsid w:val="721DA317"/>
    <w:multiLevelType w:val="hybridMultilevel"/>
    <w:lvl w:ilvl="0">
      <w:lvlJc w:val="left"/>
      <w:lvlText w:val="9"/>
      <w:numFmt w:val="bullet"/>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decimal"/>
      <w:start w:val="12"/>
    </w:lvl>
  </w:abstractNum>
  <w:abstractNum w:abstractNumId="17">
    <w:nsid w:val="75A2A8D4"/>
    <w:multiLevelType w:val="hybridMultilevel"/>
    <w:lvl w:ilvl="0">
      <w:lvlJc w:val="left"/>
      <w:lvlText w:val="1"/>
      <w:numFmt w:val="bullet"/>
      <w:start w:val="1"/>
    </w:lvl>
  </w:abstractNum>
  <w:abstractNum w:abstractNumId="18">
    <w:nsid w:val="8EDBDAB"/>
    <w:multiLevelType w:val="hybridMultilevel"/>
    <w:lvl w:ilvl="0">
      <w:lvlJc w:val="left"/>
      <w:lvlText w:val="2"/>
      <w:numFmt w:val="bullet"/>
      <w:start w:val="1"/>
    </w:lvl>
    <w:lvl w:ilvl="1">
      <w:lvlJc w:val="left"/>
      <w:lvlText w:val="(%2)"/>
      <w:numFmt w:val="lowerLetter"/>
      <w:start w:val="1"/>
    </w:lvl>
  </w:abstractNum>
  <w:abstractNum w:abstractNumId="19">
    <w:nsid w:val="79838CB2"/>
    <w:multiLevelType w:val="hybridMultilevel"/>
    <w:lvl w:ilvl="0">
      <w:lvlJc w:val="left"/>
      <w:lvlText w:val="3"/>
      <w:numFmt w:val="bullet"/>
      <w:start w:val="1"/>
    </w:lvl>
  </w:abstractNum>
  <w:abstractNum w:abstractNumId="20">
    <w:nsid w:val="4353D0CD"/>
    <w:multiLevelType w:val="hybridMultilevel"/>
    <w:lvl w:ilvl="0">
      <w:lvlJc w:val="left"/>
      <w:lvlText w:val="4"/>
      <w:numFmt w:val="bullet"/>
      <w:start w:val="1"/>
    </w:lvl>
  </w:abstractNum>
  <w:abstractNum w:abstractNumId="21">
    <w:nsid w:val="B03E0C6"/>
    <w:multiLevelType w:val="hybridMultilevel"/>
    <w:lvl w:ilvl="0">
      <w:lvlJc w:val="left"/>
      <w:lvlText w:val="9"/>
      <w:numFmt w:val="bullet"/>
      <w:start w:val="1"/>
    </w:lvl>
  </w:abstractNum>
  <w:abstractNum w:abstractNumId="22">
    <w:nsid w:val="189A769B"/>
    <w:multiLevelType w:val="hybridMultilevel"/>
    <w:lvl w:ilvl="0">
      <w:lvlJc w:val="left"/>
      <w:lvlText w:val="%1"/>
      <w:numFmt w:val="decimal"/>
      <w:start w:val="10"/>
    </w:lvl>
  </w:abstractNum>
  <w:abstractNum w:abstractNumId="23">
    <w:nsid w:val="54E49EB4"/>
    <w:multiLevelType w:val="hybridMultilevel"/>
    <w:lvl w:ilvl="0">
      <w:lvlJc w:val="left"/>
      <w:lvlText w:val="%1"/>
      <w:numFmt w:val="decimal"/>
      <w:start w:val="11"/>
    </w:lvl>
  </w:abstractNum>
  <w:abstractNum w:abstractNumId="24">
    <w:nsid w:val="71F32454"/>
    <w:multiLevelType w:val="hybridMultilevel"/>
    <w:lvl w:ilvl="0">
      <w:lvlJc w:val="left"/>
      <w:lvlText w:val="%1"/>
      <w:numFmt w:val="decimal"/>
      <w:start w:val="12"/>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1)"/>
      <w:numFmt w:val="lowerRoman"/>
      <w:start w:val="3"/>
    </w:lvl>
  </w:abstractNum>
  <w:abstractNum w:abstractNumId="29">
    <w:nsid w:val="813864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2022-06-06T12:58:56Z</dcterms:created>
  <dcterms:modified xsi:type="dcterms:W3CDTF">2022-06-06T12:58:56Z</dcterms:modified>
</cp:coreProperties>
</file>