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319"/>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33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6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2"/>
              </w:rPr>
              <w:t>(Commission</w:t>
            </w:r>
          </w:p>
        </w:tc>
        <w:tc>
          <w:tcPr>
            <w:tcW w:w="1720" w:type="dxa"/>
            <w:vAlign w:val="bottom"/>
          </w:tcPr>
          <w:p>
            <w:pPr>
              <w:jc w:val="center"/>
              <w:ind w:left="4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340" w:type="dxa"/>
            <w:vAlign w:val="bottom"/>
          </w:tcPr>
          <w:p>
            <w:pPr>
              <w:jc w:val="center"/>
              <w:ind w:right="319"/>
              <w:spacing w:after="0"/>
              <w:rPr>
                <w:sz w:val="20"/>
                <w:szCs w:val="20"/>
                <w:color w:val="auto"/>
              </w:rPr>
            </w:pPr>
            <w:r>
              <w:rPr>
                <w:rFonts w:ascii="Arial" w:cs="Arial" w:eastAsia="Arial" w:hAnsi="Arial"/>
                <w:sz w:val="16"/>
                <w:szCs w:val="16"/>
                <w:color w:val="auto"/>
                <w:w w:val="93"/>
              </w:rPr>
              <w:t>incorporation or organization)</w:t>
            </w:r>
          </w:p>
        </w:tc>
        <w:tc>
          <w:tcPr>
            <w:tcW w:w="5160" w:type="dxa"/>
            <w:vAlign w:val="bottom"/>
          </w:tcPr>
          <w:p>
            <w:pPr>
              <w:jc w:val="center"/>
              <w:ind w:right="99"/>
              <w:spacing w:after="0"/>
              <w:rPr>
                <w:sz w:val="20"/>
                <w:szCs w:val="20"/>
                <w:color w:val="auto"/>
              </w:rPr>
            </w:pPr>
            <w:r>
              <w:rPr>
                <w:rFonts w:ascii="Arial" w:cs="Arial" w:eastAsia="Arial" w:hAnsi="Arial"/>
                <w:sz w:val="16"/>
                <w:szCs w:val="16"/>
                <w:color w:val="auto"/>
                <w:w w:val="92"/>
              </w:rPr>
              <w:t>File Number)</w:t>
            </w:r>
          </w:p>
        </w:tc>
        <w:tc>
          <w:tcPr>
            <w:tcW w:w="1720" w:type="dxa"/>
            <w:vAlign w:val="bottom"/>
          </w:tcPr>
          <w:p>
            <w:pPr>
              <w:jc w:val="center"/>
              <w:ind w:left="439"/>
              <w:spacing w:after="0"/>
              <w:rPr>
                <w:sz w:val="20"/>
                <w:szCs w:val="20"/>
                <w:color w:val="auto"/>
              </w:rPr>
            </w:pPr>
            <w:r>
              <w:rPr>
                <w:rFonts w:ascii="Arial" w:cs="Arial" w:eastAsia="Arial" w:hAnsi="Arial"/>
                <w:sz w:val="16"/>
                <w:szCs w:val="16"/>
                <w:color w:val="auto"/>
                <w:w w:val="96"/>
              </w:rPr>
              <w:t>Identification No.)</w:t>
            </w:r>
          </w:p>
        </w:tc>
      </w:tr>
      <w:tr>
        <w:trPr>
          <w:trHeight w:val="532"/>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47"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2, 2020, SI-BONE, Inc. (the "Company") issued a press release (the “Press Release”) announcing results for the quarter ended September 30, 2020. A copy of the Press Release is attached as Exhibit 99.1 to this current report on Form 8-K and is incorporated by reference herein.</w:t>
      </w:r>
    </w:p>
    <w:p>
      <w:pPr>
        <w:spacing w:after="0" w:line="15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9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5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November 2, 2020</w:t>
              </w:r>
            </w:hyperlink>
          </w:p>
        </w:tc>
      </w:tr>
      <w:tr>
        <w:trPr>
          <w:trHeight w:val="23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35"/>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200"/>
              <w:spacing w:after="0"/>
              <w:rPr>
                <w:sz w:val="20"/>
                <w:szCs w:val="20"/>
                <w:color w:val="auto"/>
              </w:rPr>
            </w:pPr>
            <w:r>
              <w:rPr>
                <w:rFonts w:ascii="Arial" w:cs="Arial" w:eastAsia="Arial" w:hAnsi="Arial"/>
                <w:sz w:val="18"/>
                <w:szCs w:val="18"/>
                <w:color w:val="auto"/>
              </w:rPr>
              <w:t>November 2, 2020</w:t>
            </w:r>
          </w:p>
        </w:tc>
        <w:tc>
          <w:tcPr>
            <w:tcW w:w="1980" w:type="dxa"/>
            <w:vAlign w:val="bottom"/>
          </w:tcPr>
          <w:p>
            <w:pPr>
              <w:ind w:left="12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29"/>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230"/>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Third Quarter 2020 Financial Results and 2020 Revenue Guidance</w:t>
      </w:r>
    </w:p>
    <w:p>
      <w:pPr>
        <w:spacing w:after="0" w:line="270" w:lineRule="exact"/>
        <w:rPr>
          <w:sz w:val="20"/>
          <w:szCs w:val="20"/>
          <w:color w:val="auto"/>
        </w:rPr>
      </w:pPr>
    </w:p>
    <w:p>
      <w:pPr>
        <w:spacing w:after="0" w:line="352" w:lineRule="auto"/>
        <w:rPr>
          <w:sz w:val="20"/>
          <w:szCs w:val="20"/>
          <w:color w:val="auto"/>
        </w:rPr>
      </w:pPr>
      <w:r>
        <w:rPr>
          <w:rFonts w:ascii="Arial" w:cs="Arial" w:eastAsia="Arial" w:hAnsi="Arial"/>
          <w:sz w:val="19"/>
          <w:szCs w:val="19"/>
          <w:b w:val="1"/>
          <w:bCs w:val="1"/>
          <w:color w:val="auto"/>
        </w:rPr>
        <w:t xml:space="preserve">SANTA CLARA, Calif. </w:t>
      </w:r>
      <w:r>
        <w:rPr>
          <w:rFonts w:ascii="Arial" w:cs="Arial" w:eastAsia="Arial" w:hAnsi="Arial"/>
          <w:sz w:val="19"/>
          <w:szCs w:val="19"/>
          <w:color w:val="auto"/>
        </w:rPr>
        <w:t>November 2, 2020 - SI-BONE, Inc. (Nasdaq:SIBN), a medical device company dedicated to solving</w:t>
      </w:r>
      <w:r>
        <w:rPr>
          <w:rFonts w:ascii="Arial" w:cs="Arial" w:eastAsia="Arial" w:hAnsi="Arial"/>
          <w:sz w:val="19"/>
          <w:szCs w:val="19"/>
          <w:b w:val="1"/>
          <w:bCs w:val="1"/>
          <w:color w:val="auto"/>
        </w:rPr>
        <w:t xml:space="preserve"> </w:t>
      </w:r>
      <w:r>
        <w:rPr>
          <w:rFonts w:ascii="Arial" w:cs="Arial" w:eastAsia="Arial" w:hAnsi="Arial"/>
          <w:sz w:val="19"/>
          <w:szCs w:val="19"/>
          <w:color w:val="auto"/>
        </w:rPr>
        <w:t>musculoskeletal disorders of the sacropelvic anatomy, today reported financial results for the quarter ended September 30, 2020.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revenue of $20.4 million for the third quarter 2020, representing a 26% increase over the corresponding period in 2019</w:t>
      </w:r>
    </w:p>
    <w:p>
      <w:pPr>
        <w:spacing w:after="0" w:line="76"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U.S. revenue of $18.9 million for the third quarter 2020, representing a 27% increase over the corresponding period in 2019</w:t>
      </w:r>
    </w:p>
    <w:p>
      <w:pPr>
        <w:spacing w:after="0" w:line="65" w:lineRule="exact"/>
        <w:rPr>
          <w:rFonts w:ascii="Arial" w:cs="Arial" w:eastAsia="Arial" w:hAnsi="Arial"/>
          <w:sz w:val="19"/>
          <w:szCs w:val="19"/>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Surpassed 50,000 iFuse procedures performed by more than 2,200 surgeons worldwide</w:t>
      </w:r>
    </w:p>
    <w:p>
      <w:pPr>
        <w:spacing w:after="0" w:line="53"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Obtained exclusive iFuse coverage policy by Medica, one of the three largest commercial payers in the state of Minnesota, with an estimated 1.1 million covered lives, effective August 19, 2020</w:t>
      </w:r>
    </w:p>
    <w:p>
      <w:pPr>
        <w:spacing w:after="0" w:line="1"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color w:val="auto"/>
        </w:rPr>
        <w:t>Introduced a portable, radiation-free, haptics based computer simulator for surgeon training, enabling the training of over 100 surgeons in their offices</w:t>
      </w:r>
    </w:p>
    <w:p>
      <w:pPr>
        <w:spacing w:after="0" w:line="1" w:lineRule="exact"/>
        <w:rPr>
          <w:rFonts w:ascii="Arial" w:cs="Arial" w:eastAsia="Arial" w:hAnsi="Arial"/>
          <w:sz w:val="20"/>
          <w:szCs w:val="20"/>
          <w:b w:val="1"/>
          <w:bCs w:val="1"/>
          <w:i w:val="1"/>
          <w:iCs w:val="1"/>
          <w:color w:val="auto"/>
        </w:rPr>
      </w:pPr>
    </w:p>
    <w:p>
      <w:pPr>
        <w:ind w:left="420" w:hanging="412"/>
        <w:spacing w:after="0" w:line="317"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a second follow-on offering in October 2020, with net proceeds of $71.9 million after deducting underwriting discounts and commissions</w:t>
      </w:r>
    </w:p>
    <w:p>
      <w:pPr>
        <w:spacing w:after="0" w:line="189"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“Our team executed remarkably well during the quarter, supported by the fact that approximately 80% of our procedures are performed in an outpatient or ASC setting, where patients are currently more receptive to treatment,” said Jeff Dunn, President, Chief Executive Officer and Chairman of SI-BONE. “As the market and innovation leader for minimally invasive SI joint fusion, we believe our strong balance sheet and recent favorable reimbursement coverage decisions will enable us to capture this multi-billion dollar market as we enter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2020 Financial Results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Revenue was $20.4 million in the third quarter 2020, a 26% increase from $16.2 million in the corresponding period in 2019. U.S. revenue for the third quarter 2020 was $18.9 million, a 27% increase from $14.9 million in the corresponding period in 2019 primarily driven by growth of domestic case volumes. International revenue for the third quarter 2020 was $1.4 million, a 9% increase from $1.3 million in the corresponding period in 2019.</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Gross margin was 87% for the third quarter 2020, as compared to 90% in the corresponding period in 2019. The decrease was primarily due to increased write-downs of iFuse-related inventory as a result of the more rapid than anticipated adoption of iFuse-3D. Gross margin was also impacted by higher cost of operations to support the growth of the business.</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20"/>
          <w:szCs w:val="20"/>
          <w:color w:val="auto"/>
        </w:rPr>
        <w:t>Operating expenses increased 5% to $26.5 million in the third quarter 2020, as compared to $25.1 million in the corresponding period in 2019. The increase was primarily driven by higher sales and marketing and research and development expenses, mainly from increased sales hiring and new product development costs. The increase was partly offset by a reduction in general and administrative expenses in the third quarter of 2020, primarily due to the accrual of estimated settlement costs of the TCPA class action lawsuit of $2.5 million in the third quarter 2019.</w:t>
      </w:r>
    </w:p>
    <w:p>
      <w:pPr>
        <w:spacing w:after="0" w:line="21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Operating loss was $8.7 million in the third quarter 2020, as compared to an operating loss of $10.6 million in the corresponding period in 2019.</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$9.5 million, or $0.33 per diluted share for the third quarter 2020, as compared to a net loss of $11.3 million, or $0.46 per diluted share in the corresponding period in 2019.</w:t>
      </w:r>
    </w:p>
    <w:p>
      <w:pPr>
        <w:spacing w:after="0" w:line="202" w:lineRule="exact"/>
        <w:rPr>
          <w:sz w:val="20"/>
          <w:szCs w:val="20"/>
          <w:color w:val="auto"/>
        </w:rPr>
      </w:pPr>
    </w:p>
    <w:p>
      <w:pPr>
        <w:jc w:val="both"/>
        <w:ind w:right="20"/>
        <w:spacing w:after="0" w:line="346" w:lineRule="auto"/>
        <w:rPr>
          <w:sz w:val="20"/>
          <w:szCs w:val="20"/>
          <w:color w:val="auto"/>
        </w:rPr>
      </w:pPr>
      <w:r>
        <w:rPr>
          <w:rFonts w:ascii="Arial" w:cs="Arial" w:eastAsia="Arial" w:hAnsi="Arial"/>
          <w:sz w:val="19"/>
          <w:szCs w:val="19"/>
          <w:color w:val="auto"/>
        </w:rPr>
        <w:t>Cash and marketable securities were $132.0 million and long-term borrowings were $39.4 million as of September 30, 2020. With the completion of the follow-on offering in October 2020, the Company added net proceeds of $71.9 million to its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Revenue Guidance</w:t>
      </w:r>
    </w:p>
    <w:p>
      <w:pPr>
        <w:spacing w:after="0" w:line="28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As previously reported on Form 8-K filed on October 8, 2020, SI-BONE expects full year 2020 revenue to be in the range of $73.0</w:t>
      </w:r>
      <w:r>
        <w:rPr>
          <w:rFonts w:ascii="Arial" w:cs="Arial" w:eastAsia="Arial" w:hAnsi="Arial"/>
          <w:sz w:val="21"/>
          <w:szCs w:val="21"/>
          <w:color w:val="auto"/>
        </w:rPr>
        <w:t>-</w:t>
      </w:r>
      <w:r>
        <w:rPr>
          <w:rFonts w:ascii="Arial" w:cs="Arial" w:eastAsia="Arial" w:hAnsi="Arial"/>
          <w:sz w:val="20"/>
          <w:szCs w:val="20"/>
          <w:color w:val="auto"/>
        </w:rPr>
        <w:t>$74.0 million, representing growth of approximately 8%</w:t>
      </w:r>
      <w:r>
        <w:rPr>
          <w:rFonts w:ascii="Arial" w:cs="Arial" w:eastAsia="Arial" w:hAnsi="Arial"/>
          <w:sz w:val="21"/>
          <w:szCs w:val="21"/>
          <w:color w:val="auto"/>
        </w:rPr>
        <w:t>-10%</w:t>
      </w:r>
      <w:r>
        <w:rPr>
          <w:rFonts w:ascii="Arial" w:cs="Arial" w:eastAsia="Arial" w:hAnsi="Arial"/>
          <w:sz w:val="20"/>
          <w:szCs w:val="20"/>
          <w:color w:val="auto"/>
        </w:rPr>
        <w:t xml:space="preserve"> over 2019 revenue. SI-BONE remains cautious in the fourth quarter based upon the potential impact of COVID-19 on its business. The COVID-19 pandemic is a highly fluid situation and poses a continued risk to SI-BONE's financial position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third quarter 2020 financial results after market close on Monday, November 2, 2020 at 4:30 P.M. Eastern Time. The conference call can be accessed live over the phone (866) 470-1968 for domestic callers or (409) 217-8248 for international callers, using conference ID: 6728555.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8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85 peer-reviewed publications demonstrating the safety, durable effectiveness, and biomechanical and economic benefits unique to the iFuse Implant (</w:t>
      </w:r>
      <w:r>
        <w:rPr>
          <w:rFonts w:ascii="Arial" w:cs="Arial" w:eastAsia="Arial" w:hAnsi="Arial"/>
          <w:sz w:val="19"/>
          <w:szCs w:val="19"/>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 joint</w:t>
      </w:r>
      <w:r>
        <w:rPr>
          <w:rFonts w:ascii="Arial" w:cs="Arial" w:eastAsia="Arial" w:hAnsi="Arial"/>
          <w:sz w:val="19"/>
          <w:szCs w:val="19"/>
          <w:color w:val="0000FF"/>
        </w:rPr>
        <w:t xml:space="preserve"> </w:t>
      </w:r>
      <w:r>
        <w:rPr>
          <w:rFonts w:ascii="Arial" w:cs="Arial" w:eastAsia="Arial" w:hAnsi="Arial"/>
          <w:sz w:val="19"/>
          <w:szCs w:val="19"/>
          <w:color w:val="000000"/>
        </w:rPr>
        <w:t>fusion procedure exclusively when performed with the iFuse Implant System.</w:t>
      </w:r>
    </w:p>
    <w:p>
      <w:pPr>
        <w:sectPr>
          <w:pgSz w:w="11900" w:h="16838" w:orient="portrait"/>
          <w:cols w:equalWidth="0" w:num="1">
            <w:col w:w="11240"/>
          </w:cols>
          <w:pgMar w:left="320" w:top="919"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u w:val="single" w:color="auto"/>
          <w:color w:val="0000FF"/>
        </w:rPr>
        <w:t>www.si-bone.com/risks</w:t>
      </w:r>
      <w:r>
        <w:rPr>
          <w:rFonts w:ascii="Arial" w:cs="Arial" w:eastAsia="Arial" w:hAnsi="Arial"/>
          <w:sz w:val="20"/>
          <w:szCs w:val="20"/>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SI-BONE and iFuse Implant System are registered trademarks of SI-BONE, Inc. ©2020 SI-BONE, Inc. All Rights Reserved. 11022020</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t>
      </w:r>
      <w:r>
        <w:rPr>
          <w:rFonts w:ascii="Arial" w:cs="Arial" w:eastAsia="Arial" w:hAnsi="Arial"/>
          <w:sz w:val="18"/>
          <w:szCs w:val="18"/>
          <w:u w:val="single" w:color="auto"/>
          <w:color w:val="0000FF"/>
        </w:rPr>
        <w:t>www.sec.gov</w:t>
      </w:r>
      <w:r>
        <w:rPr>
          <w:rFonts w:ascii="Arial" w:cs="Arial" w:eastAsia="Arial" w:hAnsi="Arial"/>
          <w:sz w:val="18"/>
          <w:szCs w:val="18"/>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0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47,490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17,795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42,746</w:t>
            </w:r>
          </w:p>
        </w:tc>
        <w:tc>
          <w:tcPr>
            <w:tcW w:w="0" w:type="dxa"/>
            <w:vAlign w:val="bottom"/>
          </w:tcPr>
          <w:p>
            <w:pPr>
              <w:spacing w:after="0"/>
              <w:rPr>
                <w:sz w:val="1"/>
                <w:szCs w:val="1"/>
                <w:color w:val="auto"/>
              </w:rPr>
            </w:pPr>
          </w:p>
        </w:tc>
      </w:tr>
      <w:tr>
        <w:trPr>
          <w:trHeight w:val="224"/>
        </w:trPr>
        <w:tc>
          <w:tcPr>
            <w:tcW w:w="484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69"/>
        </w:trPr>
        <w:tc>
          <w:tcPr>
            <w:tcW w:w="4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18,772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16,443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53,808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26,470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70,264</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(27,518)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(34,718)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(29,305)</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Weighted-average number of common shares used to compute</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28,713,418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24,803,452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28,155,561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24,596,788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81,345</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149,522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111,462</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71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34,865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54,001</w:t>
            </w:r>
          </w:p>
        </w:tc>
      </w:tr>
      <w:tr>
        <w:trPr>
          <w:trHeight w:val="270"/>
        </w:trPr>
        <w:tc>
          <w:tcPr>
            <w:tcW w:w="7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258,124</w:t>
            </w: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(195,580)</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63,008</w:t>
            </w:r>
          </w:p>
        </w:tc>
      </w:tr>
      <w:tr>
        <w:trPr>
          <w:trHeight w:val="248"/>
        </w:trPr>
        <w:tc>
          <w:tcPr>
            <w:tcW w:w="7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2020-11-02T15:22:10Z</dcterms:created>
  <dcterms:modified xsi:type="dcterms:W3CDTF">2020-11-02T15:22:10Z</dcterms:modified>
</cp:coreProperties>
</file>