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291"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76" w:lineRule="exact"/>
        <w:rPr>
          <w:sz w:val="24"/>
          <w:szCs w:val="24"/>
          <w:color w:val="auto"/>
        </w:rPr>
      </w:pPr>
    </w:p>
    <w:p>
      <w:pPr>
        <w:ind w:left="180"/>
        <w:spacing w:after="0"/>
        <w:tabs>
          <w:tab w:leader="none" w:pos="22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ANNUAL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fiscal year ended December 31, 2022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94" w:lineRule="exact"/>
        <w:rPr>
          <w:sz w:val="24"/>
          <w:szCs w:val="24"/>
          <w:color w:val="auto"/>
        </w:rPr>
      </w:pPr>
    </w:p>
    <w:p>
      <w:pPr>
        <w:ind w:left="1020" w:hanging="867"/>
        <w:spacing w:after="0"/>
        <w:tabs>
          <w:tab w:leader="none" w:pos="10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ind w:left="50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FROMTO</w:t>
      </w:r>
    </w:p>
    <w:p>
      <w:pPr>
        <w:spacing w:after="0" w:line="131" w:lineRule="exact"/>
        <w:rPr>
          <w:sz w:val="24"/>
          <w:szCs w:val="24"/>
          <w:color w:val="auto"/>
        </w:rPr>
      </w:pPr>
    </w:p>
    <w:tbl>
      <w:tblPr>
        <w:tblLayout w:type="fixed"/>
        <w:tblInd w:w="192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5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 xml:space="preserve">Commission File Number </w:t>
            </w:r>
            <w:r>
              <w:rPr>
                <w:rFonts w:ascii="Arial" w:cs="Arial" w:eastAsia="Arial" w:hAnsi="Arial"/>
                <w:sz w:val="14"/>
                <w:szCs w:val="14"/>
                <w:b w:val="1"/>
                <w:bCs w:val="1"/>
                <w:color w:val="auto"/>
                <w:w w:val="89"/>
              </w:rPr>
              <w:t>001-38701</w:t>
            </w: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82"/>
        </w:trPr>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40" w:type="dxa"/>
            <w:vAlign w:val="bottom"/>
            <w:gridSpan w:val="3"/>
          </w:tcPr>
          <w:p>
            <w:pPr>
              <w:jc w:val="center"/>
              <w:ind w:right="180"/>
              <w:spacing w:after="0"/>
              <w:rPr>
                <w:sz w:val="20"/>
                <w:szCs w:val="20"/>
                <w:color w:val="auto"/>
              </w:rPr>
            </w:pPr>
            <w:r>
              <w:rPr>
                <w:rFonts w:ascii="Arial" w:cs="Arial" w:eastAsia="Arial" w:hAnsi="Arial"/>
                <w:sz w:val="28"/>
                <w:szCs w:val="28"/>
                <w:b w:val="1"/>
                <w:bCs w:val="1"/>
                <w:color w:val="auto"/>
                <w:w w:val="97"/>
              </w:rPr>
              <w:t>SI-BONE, Inc.</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5"/>
        </w:trPr>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8"/>
              </w:rPr>
              <w:t>(Exact name of Registrant as specified in its Charter)</w:t>
            </w: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63"/>
        </w:trPr>
        <w:tc>
          <w:tcPr>
            <w:tcW w:w="580" w:type="dxa"/>
            <w:vAlign w:val="bottom"/>
          </w:tcPr>
          <w:p>
            <w:pPr>
              <w:spacing w:after="0"/>
              <w:rPr>
                <w:sz w:val="22"/>
                <w:szCs w:val="22"/>
                <w:color w:val="auto"/>
              </w:rPr>
            </w:pPr>
          </w:p>
        </w:tc>
        <w:tc>
          <w:tcPr>
            <w:tcW w:w="1460" w:type="dxa"/>
            <w:vAlign w:val="bottom"/>
            <w:gridSpan w:val="2"/>
          </w:tcPr>
          <w:p>
            <w:pPr>
              <w:jc w:val="center"/>
              <w:ind w:right="696"/>
              <w:spacing w:after="0"/>
              <w:rPr>
                <w:sz w:val="20"/>
                <w:szCs w:val="20"/>
                <w:color w:val="auto"/>
              </w:rPr>
            </w:pPr>
            <w:r>
              <w:rPr>
                <w:rFonts w:ascii="Arial" w:cs="Arial" w:eastAsia="Arial" w:hAnsi="Arial"/>
                <w:sz w:val="14"/>
                <w:szCs w:val="14"/>
                <w:b w:val="1"/>
                <w:bCs w:val="1"/>
                <w:color w:val="auto"/>
                <w:w w:val="94"/>
              </w:rPr>
              <w:t>Delaware</w:t>
            </w:r>
          </w:p>
        </w:tc>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120" w:type="dxa"/>
            <w:vAlign w:val="bottom"/>
            <w:gridSpan w:val="2"/>
          </w:tcPr>
          <w:p>
            <w:pPr>
              <w:jc w:val="center"/>
              <w:ind w:right="363"/>
              <w:spacing w:after="0"/>
              <w:rPr>
                <w:sz w:val="20"/>
                <w:szCs w:val="20"/>
                <w:color w:val="auto"/>
              </w:rPr>
            </w:pPr>
            <w:r>
              <w:rPr>
                <w:rFonts w:ascii="Arial" w:cs="Arial" w:eastAsia="Arial" w:hAnsi="Arial"/>
                <w:sz w:val="14"/>
                <w:szCs w:val="14"/>
                <w:b w:val="1"/>
                <w:bCs w:val="1"/>
                <w:color w:val="auto"/>
                <w:w w:val="93"/>
              </w:rPr>
              <w:t>26-2216351</w:t>
            </w:r>
          </w:p>
        </w:tc>
      </w:tr>
      <w:tr>
        <w:trPr>
          <w:trHeight w:val="117"/>
        </w:trPr>
        <w:tc>
          <w:tcPr>
            <w:tcW w:w="2040" w:type="dxa"/>
            <w:vAlign w:val="bottom"/>
            <w:gridSpan w:val="3"/>
          </w:tcPr>
          <w:p>
            <w:pPr>
              <w:jc w:val="center"/>
              <w:ind w:right="156"/>
              <w:spacing w:after="0" w:line="117" w:lineRule="exact"/>
              <w:rPr>
                <w:sz w:val="20"/>
                <w:szCs w:val="20"/>
                <w:color w:val="auto"/>
              </w:rPr>
            </w:pPr>
            <w:r>
              <w:rPr>
                <w:rFonts w:ascii="Arial" w:cs="Arial" w:eastAsia="Arial" w:hAnsi="Arial"/>
                <w:sz w:val="11"/>
                <w:szCs w:val="11"/>
                <w:b w:val="1"/>
                <w:bCs w:val="1"/>
                <w:color w:val="auto"/>
                <w:w w:val="94"/>
              </w:rPr>
              <w:t>(State or other jurisdiction</w:t>
            </w:r>
          </w:p>
        </w:tc>
        <w:tc>
          <w:tcPr>
            <w:tcW w:w="1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tcPr>
          <w:p>
            <w:pPr>
              <w:jc w:val="center"/>
              <w:ind w:right="423"/>
              <w:spacing w:after="0" w:line="117" w:lineRule="exact"/>
              <w:rPr>
                <w:sz w:val="20"/>
                <w:szCs w:val="20"/>
                <w:color w:val="auto"/>
              </w:rPr>
            </w:pPr>
            <w:r>
              <w:rPr>
                <w:rFonts w:ascii="Arial" w:cs="Arial" w:eastAsia="Arial" w:hAnsi="Arial"/>
                <w:sz w:val="11"/>
                <w:szCs w:val="11"/>
                <w:b w:val="1"/>
                <w:bCs w:val="1"/>
                <w:color w:val="auto"/>
                <w:w w:val="97"/>
              </w:rPr>
              <w:t>(I.R.S. Employer</w:t>
            </w:r>
          </w:p>
        </w:tc>
      </w:tr>
      <w:tr>
        <w:trPr>
          <w:trHeight w:val="147"/>
        </w:trPr>
        <w:tc>
          <w:tcPr>
            <w:tcW w:w="2040" w:type="dxa"/>
            <w:vAlign w:val="bottom"/>
            <w:gridSpan w:val="3"/>
          </w:tcPr>
          <w:p>
            <w:pPr>
              <w:jc w:val="center"/>
              <w:ind w:right="136"/>
              <w:spacing w:after="0"/>
              <w:rPr>
                <w:sz w:val="20"/>
                <w:szCs w:val="20"/>
                <w:color w:val="auto"/>
              </w:rPr>
            </w:pPr>
            <w:r>
              <w:rPr>
                <w:rFonts w:ascii="Arial" w:cs="Arial" w:eastAsia="Arial" w:hAnsi="Arial"/>
                <w:sz w:val="11"/>
                <w:szCs w:val="11"/>
                <w:b w:val="1"/>
                <w:bCs w:val="1"/>
                <w:color w:val="auto"/>
                <w:w w:val="93"/>
              </w:rPr>
              <w:t>of incorporation or organization)</w:t>
            </w:r>
          </w:p>
        </w:tc>
        <w:tc>
          <w:tcPr>
            <w:tcW w:w="1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jc w:val="center"/>
              <w:ind w:right="383"/>
              <w:spacing w:after="0"/>
              <w:rPr>
                <w:sz w:val="20"/>
                <w:szCs w:val="20"/>
                <w:color w:val="auto"/>
              </w:rPr>
            </w:pPr>
            <w:r>
              <w:rPr>
                <w:rFonts w:ascii="Arial" w:cs="Arial" w:eastAsia="Arial" w:hAnsi="Arial"/>
                <w:sz w:val="11"/>
                <w:szCs w:val="11"/>
                <w:b w:val="1"/>
                <w:bCs w:val="1"/>
                <w:color w:val="auto"/>
                <w:w w:val="96"/>
              </w:rPr>
              <w:t>Identification No.)</w:t>
            </w:r>
          </w:p>
        </w:tc>
      </w:tr>
      <w:tr>
        <w:trPr>
          <w:trHeight w:val="284"/>
        </w:trPr>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471 El Camino Real, Suite 101, Santa Clara, California 95050</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5"/>
        </w:trPr>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(Address of principal executive offices including zip code)</w:t>
            </w: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12"/>
        </w:trPr>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160" w:type="dxa"/>
            <w:vAlign w:val="bottom"/>
            <w:gridSpan w:val="4"/>
          </w:tcPr>
          <w:p>
            <w:pPr>
              <w:jc w:val="center"/>
              <w:ind w:left="396"/>
              <w:spacing w:after="0"/>
              <w:rPr>
                <w:sz w:val="20"/>
                <w:szCs w:val="20"/>
                <w:color w:val="auto"/>
              </w:rPr>
            </w:pPr>
            <w:r>
              <w:rPr>
                <w:rFonts w:ascii="Arial" w:cs="Arial" w:eastAsia="Arial" w:hAnsi="Arial"/>
                <w:sz w:val="13"/>
                <w:szCs w:val="13"/>
                <w:b w:val="1"/>
                <w:bCs w:val="1"/>
                <w:color w:val="auto"/>
                <w:w w:val="87"/>
              </w:rPr>
              <w:t>Registrant’s telephone number, including area code: (408) 207-0700</w:t>
            </w: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gridSpan w:val="3"/>
          </w:tcPr>
          <w:p>
            <w:pPr>
              <w:jc w:val="center"/>
              <w:ind w:right="180"/>
              <w:spacing w:after="0"/>
              <w:rPr>
                <w:sz w:val="20"/>
                <w:szCs w:val="20"/>
                <w:color w:val="auto"/>
              </w:rPr>
            </w:pPr>
            <w:r>
              <w:rPr>
                <w:rFonts w:ascii="Arial" w:cs="Arial" w:eastAsia="Arial" w:hAnsi="Arial"/>
                <w:sz w:val="11"/>
                <w:szCs w:val="11"/>
                <w:color w:val="auto"/>
                <w:w w:val="93"/>
              </w:rPr>
              <w:t>Securities registered pursuant to Section 12(b) of the Act:</w:t>
            </w: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21"/>
        </w:trPr>
        <w:tc>
          <w:tcPr>
            <w:tcW w:w="580" w:type="dxa"/>
            <w:vAlign w:val="bottom"/>
          </w:tcPr>
          <w:p>
            <w:pPr>
              <w:spacing w:after="0"/>
              <w:rPr>
                <w:sz w:val="19"/>
                <w:szCs w:val="19"/>
                <w:color w:val="auto"/>
              </w:rPr>
            </w:pPr>
          </w:p>
        </w:tc>
        <w:tc>
          <w:tcPr>
            <w:tcW w:w="1460" w:type="dxa"/>
            <w:vAlign w:val="bottom"/>
            <w:gridSpan w:val="2"/>
          </w:tcPr>
          <w:p>
            <w:pPr>
              <w:jc w:val="center"/>
              <w:ind w:right="556"/>
              <w:spacing w:after="0"/>
              <w:rPr>
                <w:sz w:val="20"/>
                <w:szCs w:val="20"/>
                <w:color w:val="auto"/>
              </w:rPr>
            </w:pPr>
            <w:r>
              <w:rPr>
                <w:rFonts w:ascii="Arial" w:cs="Arial" w:eastAsia="Arial" w:hAnsi="Arial"/>
                <w:sz w:val="11"/>
                <w:szCs w:val="11"/>
                <w:b w:val="1"/>
                <w:bCs w:val="1"/>
                <w:color w:val="auto"/>
                <w:w w:val="88"/>
              </w:rPr>
              <w:t>Title of each class</w:t>
            </w:r>
          </w:p>
        </w:tc>
        <w:tc>
          <w:tcPr>
            <w:tcW w:w="1440" w:type="dxa"/>
            <w:vAlign w:val="bottom"/>
          </w:tcPr>
          <w:p>
            <w:pPr>
              <w:spacing w:after="0"/>
              <w:rPr>
                <w:sz w:val="19"/>
                <w:szCs w:val="19"/>
                <w:color w:val="auto"/>
              </w:rPr>
            </w:pPr>
          </w:p>
        </w:tc>
        <w:tc>
          <w:tcPr>
            <w:tcW w:w="2100" w:type="dxa"/>
            <w:vAlign w:val="bottom"/>
            <w:gridSpan w:val="2"/>
          </w:tcPr>
          <w:p>
            <w:pPr>
              <w:jc w:val="center"/>
              <w:ind w:right="1200"/>
              <w:spacing w:after="0"/>
              <w:rPr>
                <w:sz w:val="20"/>
                <w:szCs w:val="20"/>
                <w:color w:val="auto"/>
              </w:rPr>
            </w:pPr>
            <w:r>
              <w:rPr>
                <w:rFonts w:ascii="Arial" w:cs="Arial" w:eastAsia="Arial" w:hAnsi="Arial"/>
                <w:sz w:val="11"/>
                <w:szCs w:val="11"/>
                <w:b w:val="1"/>
                <w:bCs w:val="1"/>
                <w:color w:val="auto"/>
                <w:w w:val="93"/>
              </w:rPr>
              <w:t>Trading Symbol(s)</w:t>
            </w:r>
          </w:p>
        </w:tc>
        <w:tc>
          <w:tcPr>
            <w:tcW w:w="21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Name of each exchange on which registered</w:t>
            </w:r>
          </w:p>
        </w:tc>
      </w:tr>
      <w:tr>
        <w:trPr>
          <w:trHeight w:val="20"/>
        </w:trPr>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163"/>
        </w:trPr>
        <w:tc>
          <w:tcPr>
            <w:tcW w:w="2040" w:type="dxa"/>
            <w:vAlign w:val="bottom"/>
            <w:gridSpan w:val="3"/>
          </w:tcPr>
          <w:p>
            <w:pPr>
              <w:jc w:val="center"/>
              <w:spacing w:after="0"/>
              <w:rPr>
                <w:sz w:val="20"/>
                <w:szCs w:val="20"/>
                <w:color w:val="auto"/>
              </w:rPr>
            </w:pPr>
            <w:r>
              <w:rPr>
                <w:rFonts w:ascii="Arial" w:cs="Arial" w:eastAsia="Arial" w:hAnsi="Arial"/>
                <w:sz w:val="11"/>
                <w:szCs w:val="11"/>
                <w:color w:val="auto"/>
                <w:w w:val="92"/>
              </w:rPr>
              <w:t>Common Stock, par value $0.0001 per share</w:t>
            </w:r>
          </w:p>
        </w:tc>
        <w:tc>
          <w:tcPr>
            <w:tcW w:w="1440" w:type="dxa"/>
            <w:vAlign w:val="bottom"/>
          </w:tcPr>
          <w:p>
            <w:pPr>
              <w:spacing w:after="0"/>
              <w:rPr>
                <w:sz w:val="14"/>
                <w:szCs w:val="14"/>
                <w:color w:val="auto"/>
              </w:rPr>
            </w:pPr>
          </w:p>
        </w:tc>
        <w:tc>
          <w:tcPr>
            <w:tcW w:w="2100" w:type="dxa"/>
            <w:vAlign w:val="bottom"/>
            <w:gridSpan w:val="2"/>
          </w:tcPr>
          <w:p>
            <w:pPr>
              <w:jc w:val="center"/>
              <w:ind w:right="1220"/>
              <w:spacing w:after="0"/>
              <w:rPr>
                <w:sz w:val="20"/>
                <w:szCs w:val="20"/>
                <w:color w:val="auto"/>
              </w:rPr>
            </w:pPr>
            <w:r>
              <w:rPr>
                <w:rFonts w:ascii="Arial" w:cs="Arial" w:eastAsia="Arial" w:hAnsi="Arial"/>
                <w:sz w:val="11"/>
                <w:szCs w:val="11"/>
                <w:color w:val="auto"/>
                <w:w w:val="93"/>
              </w:rPr>
              <w:t>SIBN</w:t>
            </w:r>
          </w:p>
        </w:tc>
        <w:tc>
          <w:tcPr>
            <w:tcW w:w="2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1"/>
                <w:szCs w:val="11"/>
                <w:color w:val="auto"/>
                <w:w w:val="94"/>
              </w:rPr>
              <w:t>The Nasdaq Global Market</w:t>
            </w:r>
          </w:p>
        </w:tc>
      </w:tr>
    </w:tbl>
    <w:p>
      <w:pPr>
        <w:spacing w:after="0" w:line="65" w:lineRule="exact"/>
        <w:rPr>
          <w:sz w:val="24"/>
          <w:szCs w:val="24"/>
          <w:color w:val="auto"/>
        </w:rPr>
      </w:pPr>
    </w:p>
    <w:p>
      <w:pPr>
        <w:ind w:left="420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46" w:lineRule="exact"/>
        <w:rPr>
          <w:sz w:val="24"/>
          <w:szCs w:val="24"/>
          <w:color w:val="auto"/>
        </w:rPr>
      </w:pPr>
    </w:p>
    <w:p>
      <w:pPr>
        <w:ind w:left="2640"/>
        <w:spacing w:after="0" w:line="161"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x</w:t>
      </w:r>
    </w:p>
    <w:p>
      <w:pPr>
        <w:spacing w:after="0" w:line="72" w:lineRule="exact"/>
        <w:rPr>
          <w:sz w:val="24"/>
          <w:szCs w:val="24"/>
          <w:color w:val="auto"/>
        </w:rPr>
      </w:pPr>
    </w:p>
    <w:p>
      <w:pPr>
        <w:ind w:left="2720"/>
        <w:spacing w:after="0" w:line="161" w:lineRule="exact"/>
        <w:tabs>
          <w:tab w:leader="none" w:pos="8300" w:val="left"/>
        </w:tabs>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1"/>
          <w:szCs w:val="11"/>
          <w:color w:val="auto"/>
        </w:rPr>
        <w:tab/>
        <w:t>No x</w:t>
      </w:r>
    </w:p>
    <w:p>
      <w:pPr>
        <w:spacing w:after="0" w:line="82" w:lineRule="exact"/>
        <w:rPr>
          <w:sz w:val="24"/>
          <w:szCs w:val="24"/>
          <w:color w:val="auto"/>
        </w:rPr>
      </w:pPr>
    </w:p>
    <w:p>
      <w:pPr>
        <w:jc w:val="center"/>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55" w:lineRule="exact"/>
        <w:rPr>
          <w:sz w:val="24"/>
          <w:szCs w:val="24"/>
          <w:color w:val="auto"/>
        </w:rPr>
      </w:pPr>
    </w:p>
    <w:p>
      <w:pPr>
        <w:jc w:val="center"/>
        <w:spacing w:after="0" w:line="16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23" w:lineRule="exact"/>
        <w:rPr>
          <w:sz w:val="24"/>
          <w:szCs w:val="24"/>
          <w:color w:val="auto"/>
        </w:rPr>
      </w:pPr>
    </w:p>
    <w:p>
      <w:pPr>
        <w:jc w:val="center"/>
        <w:spacing w:after="0" w:line="29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1560" w:type="dxa"/>
        <w:tblCellMar>
          <w:top w:w="0" w:type="dxa"/>
          <w:left w:w="0" w:type="dxa"/>
          <w:bottom w:w="0" w:type="dxa"/>
          <w:right w:w="0" w:type="dxa"/>
        </w:tblCellMar>
      </w:tblPr>
      <w:tr>
        <w:trPr>
          <w:trHeight w:val="180"/>
        </w:trPr>
        <w:tc>
          <w:tcPr>
            <w:tcW w:w="1640" w:type="dxa"/>
            <w:vAlign w:val="bottom"/>
          </w:tcPr>
          <w:p>
            <w:pPr>
              <w:jc w:val="center"/>
              <w:ind w:right="363"/>
              <w:spacing w:after="0"/>
              <w:rPr>
                <w:sz w:val="20"/>
                <w:szCs w:val="20"/>
                <w:color w:val="auto"/>
              </w:rPr>
            </w:pPr>
            <w:r>
              <w:rPr>
                <w:rFonts w:ascii="Arial" w:cs="Arial" w:eastAsia="Arial" w:hAnsi="Arial"/>
                <w:sz w:val="11"/>
                <w:szCs w:val="11"/>
                <w:color w:val="auto"/>
                <w:w w:val="93"/>
              </w:rPr>
              <w:t>Large accelerated filer</w:t>
            </w:r>
          </w:p>
        </w:tc>
        <w:tc>
          <w:tcPr>
            <w:tcW w:w="10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180" w:type="dxa"/>
            <w:vAlign w:val="bottom"/>
          </w:tcPr>
          <w:p>
            <w:pPr>
              <w:jc w:val="center"/>
              <w:ind w:left="83"/>
              <w:spacing w:after="0"/>
              <w:rPr>
                <w:sz w:val="20"/>
                <w:szCs w:val="20"/>
                <w:color w:val="auto"/>
              </w:rPr>
            </w:pPr>
            <w:r>
              <w:rPr>
                <w:rFonts w:ascii="Arial" w:cs="Arial" w:eastAsia="Arial" w:hAnsi="Arial"/>
                <w:sz w:val="11"/>
                <w:szCs w:val="11"/>
                <w:color w:val="auto"/>
                <w:w w:val="96"/>
              </w:rPr>
              <w:t>Accelerated filer</w:t>
            </w:r>
          </w:p>
        </w:tc>
        <w:tc>
          <w:tcPr>
            <w:tcW w:w="11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ind w:left="600"/>
              <w:spacing w:after="0"/>
              <w:rPr>
                <w:sz w:val="20"/>
                <w:szCs w:val="20"/>
                <w:color w:val="auto"/>
              </w:rPr>
            </w:pPr>
            <w:r>
              <w:rPr>
                <w:rFonts w:ascii="Arial" w:cs="Arial" w:eastAsia="Arial" w:hAnsi="Arial"/>
                <w:sz w:val="11"/>
                <w:szCs w:val="11"/>
                <w:color w:val="auto"/>
              </w:rPr>
              <w:t>Non-accelerated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1640" w:type="dxa"/>
            <w:vAlign w:val="bottom"/>
          </w:tcPr>
          <w:p>
            <w:pPr>
              <w:jc w:val="center"/>
              <w:ind w:right="363"/>
              <w:spacing w:after="0"/>
              <w:rPr>
                <w:sz w:val="20"/>
                <w:szCs w:val="20"/>
                <w:color w:val="auto"/>
              </w:rPr>
            </w:pPr>
            <w:r>
              <w:rPr>
                <w:rFonts w:ascii="Arial" w:cs="Arial" w:eastAsia="Arial" w:hAnsi="Arial"/>
                <w:sz w:val="11"/>
                <w:szCs w:val="11"/>
                <w:color w:val="auto"/>
                <w:w w:val="92"/>
              </w:rPr>
              <w:t>Smaller reporting company</w:t>
            </w:r>
          </w:p>
        </w:tc>
        <w:tc>
          <w:tcPr>
            <w:tcW w:w="10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180" w:type="dxa"/>
            <w:vAlign w:val="bottom"/>
          </w:tcPr>
          <w:p>
            <w:pPr>
              <w:jc w:val="center"/>
              <w:ind w:left="83"/>
              <w:spacing w:after="0"/>
              <w:rPr>
                <w:sz w:val="20"/>
                <w:szCs w:val="20"/>
                <w:color w:val="auto"/>
              </w:rPr>
            </w:pPr>
            <w:r>
              <w:rPr>
                <w:rFonts w:ascii="Arial" w:cs="Arial" w:eastAsia="Arial" w:hAnsi="Arial"/>
                <w:sz w:val="11"/>
                <w:szCs w:val="11"/>
                <w:color w:val="auto"/>
                <w:w w:val="94"/>
              </w:rPr>
              <w:t>Emerging growth company</w:t>
            </w:r>
          </w:p>
        </w:tc>
        <w:tc>
          <w:tcPr>
            <w:tcW w:w="11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75" w:lineRule="exact"/>
        <w:rPr>
          <w:sz w:val="24"/>
          <w:szCs w:val="24"/>
          <w:color w:val="auto"/>
        </w:rPr>
      </w:pPr>
    </w:p>
    <w:p>
      <w:pPr>
        <w:jc w:val="center"/>
        <w:ind w:left="320" w:right="160"/>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67" w:lineRule="exact"/>
        <w:rPr>
          <w:sz w:val="24"/>
          <w:szCs w:val="24"/>
          <w:color w:val="auto"/>
        </w:rPr>
      </w:pPr>
    </w:p>
    <w:p>
      <w:pPr>
        <w:jc w:val="center"/>
        <w:ind w:left="320" w:right="200"/>
        <w:spacing w:after="0" w:line="169"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3" w:lineRule="exact"/>
        <w:rPr>
          <w:sz w:val="24"/>
          <w:szCs w:val="24"/>
          <w:color w:val="auto"/>
        </w:rPr>
      </w:pPr>
    </w:p>
    <w:p>
      <w:pPr>
        <w:jc w:val="center"/>
        <w:ind w:right="-19"/>
        <w:spacing w:after="0" w:line="161" w:lineRule="exact"/>
        <w:rPr>
          <w:sz w:val="20"/>
          <w:szCs w:val="20"/>
          <w:color w:val="auto"/>
        </w:rPr>
      </w:pPr>
      <w:r>
        <w:rPr>
          <w:rFonts w:ascii="Arial" w:cs="Arial" w:eastAsia="Arial" w:hAnsi="Arial"/>
          <w:sz w:val="10"/>
          <w:szCs w:val="10"/>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4"/>
          <w:szCs w:val="14"/>
          <w:color w:val="auto"/>
        </w:rPr>
        <w:t>.</w:t>
      </w:r>
      <w:r>
        <w:rPr>
          <w:rFonts w:ascii="Arial" w:cs="Arial" w:eastAsia="Arial" w:hAnsi="Arial"/>
          <w:sz w:val="10"/>
          <w:szCs w:val="10"/>
          <w:color w:val="auto"/>
        </w:rPr>
        <w:t xml:space="preserve"> </w:t>
      </w:r>
      <w:r>
        <w:rPr>
          <w:rFonts w:ascii="MS PGothic" w:cs="MS PGothic" w:eastAsia="MS PGothic" w:hAnsi="MS PGothic"/>
          <w:sz w:val="12"/>
          <w:szCs w:val="12"/>
          <w:color w:val="auto"/>
        </w:rPr>
        <w:t>☐</w:t>
      </w:r>
    </w:p>
    <w:p>
      <w:pPr>
        <w:spacing w:after="0" w:line="212" w:lineRule="exact"/>
        <w:rPr>
          <w:sz w:val="24"/>
          <w:szCs w:val="24"/>
          <w:color w:val="auto"/>
        </w:rPr>
      </w:pPr>
    </w:p>
    <w:p>
      <w:pPr>
        <w:jc w:val="center"/>
        <w:ind w:left="320" w:right="60"/>
        <w:spacing w:after="0" w:line="175"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3" w:lineRule="exact"/>
        <w:rPr>
          <w:sz w:val="24"/>
          <w:szCs w:val="24"/>
          <w:color w:val="auto"/>
        </w:rPr>
      </w:pPr>
    </w:p>
    <w:p>
      <w:pPr>
        <w:jc w:val="center"/>
        <w:spacing w:after="0" w:line="161" w:lineRule="exact"/>
        <w:tabs>
          <w:tab w:leader="none" w:pos="100" w:val="left"/>
        </w:tabs>
        <w:rPr>
          <w:sz w:val="20"/>
          <w:szCs w:val="20"/>
          <w:color w:val="auto"/>
        </w:rPr>
      </w:pPr>
      <w:r>
        <w:rPr>
          <w:rFonts w:ascii="Arial" w:cs="Arial" w:eastAsia="Arial" w:hAnsi="Arial"/>
          <w:sz w:val="11"/>
          <w:szCs w:val="11"/>
          <w:color w:val="auto"/>
        </w:rPr>
        <w:t>Indicate by check mark whether the Registrant is a shell company (as defined in Rule 12b</w:t>
      </w:r>
      <w:r>
        <w:rPr>
          <w:rFonts w:ascii="MS PGothic" w:cs="MS PGothic" w:eastAsia="MS PGothic" w:hAnsi="MS PGothic"/>
          <w:sz w:val="11"/>
          <w:szCs w:val="11"/>
          <w:color w:val="auto"/>
        </w:rPr>
        <w:t>‑</w:t>
      </w:r>
      <w:r>
        <w:rPr>
          <w:rFonts w:ascii="Arial" w:cs="Arial" w:eastAsia="Arial" w:hAnsi="Arial"/>
          <w:sz w:val="11"/>
          <w:szCs w:val="11"/>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1"/>
          <w:szCs w:val="11"/>
          <w:color w:val="auto"/>
        </w:rPr>
        <w:tab/>
        <w:t>No x</w:t>
      </w:r>
    </w:p>
    <w:p>
      <w:pPr>
        <w:spacing w:after="0" w:line="114" w:lineRule="exact"/>
        <w:rPr>
          <w:sz w:val="24"/>
          <w:szCs w:val="24"/>
          <w:color w:val="auto"/>
        </w:rPr>
      </w:pPr>
    </w:p>
    <w:p>
      <w:pPr>
        <w:jc w:val="center"/>
        <w:ind w:left="320"/>
        <w:spacing w:after="0" w:line="269" w:lineRule="auto"/>
        <w:rPr>
          <w:sz w:val="20"/>
          <w:szCs w:val="20"/>
          <w:color w:val="auto"/>
        </w:rPr>
      </w:pPr>
      <w:r>
        <w:rPr>
          <w:rFonts w:ascii="Arial" w:cs="Arial" w:eastAsia="Arial" w:hAnsi="Arial"/>
          <w:sz w:val="11"/>
          <w:szCs w:val="11"/>
          <w:color w:val="auto"/>
        </w:rPr>
        <w:t>The aggregate market value of the shares of common stock held by non-affiliates of the registrant as of June 30, 2022, the last business day of the registrant’s most recently completed second fiscal quarter, was approximately $443 million, calculated based on the closing price of the registrant’s common stock as reported by the Nasdaq Global Market. Shares of common stock held by each officer and director, and each entity affiliated with a director, have been excluded in that such persons may be deemed to be affiliates. This determination of affiliate status is not a conclusive determination for other purposes.</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The number of shares of Registrant’s Common Stock outstanding as of February 23, 2023 was 34,985,640 shares.</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374650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52" w:right="319" w:bottom="1440" w:gutter="0" w:footer="0" w:header="0"/>
        </w:sectPr>
      </w:pPr>
    </w:p>
    <w:bookmarkStart w:id="1" w:name="page2"/>
    <w:bookmarkEnd w:id="1"/>
    <w:p>
      <w:pPr>
        <w:spacing w:after="0"/>
        <w:rPr>
          <w:sz w:val="20"/>
          <w:szCs w:val="20"/>
          <w:color w:val="auto"/>
        </w:rPr>
      </w:pPr>
      <w:r>
        <w:rPr>
          <w:rFonts w:ascii="Arial" w:cs="Arial" w:eastAsia="Arial" w:hAnsi="Arial"/>
          <w:sz w:val="10"/>
          <w:szCs w:val="10"/>
          <w:color w:val="auto"/>
        </w:rPr>
        <w:t>Portions of the Registrant’s Definitive Proxy Statement relating to the Annual Meeting of Shareholders, which will be filed with the Securities and Exchange Commission within 120 days after the end of the Registrant’s fiscal year ended December</w:t>
      </w:r>
    </w:p>
    <w:p>
      <w:pPr>
        <w:sectPr>
          <w:pgSz w:w="11900" w:h="16838" w:orient="portrait"/>
          <w:cols w:equalWidth="0" w:num="1">
            <w:col w:w="11200"/>
          </w:cols>
          <w:pgMar w:left="340" w:top="570" w:right="359" w:bottom="1440" w:gutter="0" w:footer="0" w:header="0"/>
        </w:sectPr>
      </w:pP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31, 2022, are incorporated by reference into Part III of this Report</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382905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570" w:right="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0" w:type="dxa"/>
            <w:vAlign w:val="bottom"/>
            <w:gridSpan w:val="7"/>
          </w:tcPr>
          <w:p>
            <w:pPr>
              <w:ind w:left="240"/>
              <w:spacing w:after="0"/>
              <w:rPr>
                <w:sz w:val="20"/>
                <w:szCs w:val="20"/>
                <w:color w:val="auto"/>
              </w:rPr>
            </w:pPr>
            <w:r>
              <w:rPr>
                <w:rFonts w:ascii="Arial" w:cs="Arial" w:eastAsia="Arial" w:hAnsi="Arial"/>
                <w:sz w:val="14"/>
                <w:szCs w:val="14"/>
                <w:b w:val="1"/>
                <w:bCs w:val="1"/>
                <w:color w:val="auto"/>
              </w:rPr>
              <w:t>TABLE OF CONTENTS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76"/>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8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w:t>
            </w:r>
          </w:p>
        </w:tc>
      </w:tr>
      <w:tr>
        <w:trPr>
          <w:trHeight w:val="171"/>
        </w:trPr>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940" w:type="dxa"/>
            <w:vAlign w:val="bottom"/>
            <w:gridSpan w:val="5"/>
          </w:tcPr>
          <w:p>
            <w:pPr>
              <w:jc w:val="center"/>
              <w:ind w:right="4240"/>
              <w:spacing w:after="0"/>
              <w:rPr>
                <w:sz w:val="20"/>
                <w:szCs w:val="20"/>
                <w:color w:val="auto"/>
              </w:rPr>
            </w:pPr>
            <w:r>
              <w:rPr>
                <w:rFonts w:ascii="Arial" w:cs="Arial" w:eastAsia="Arial" w:hAnsi="Arial"/>
                <w:sz w:val="14"/>
                <w:szCs w:val="14"/>
                <w:b w:val="1"/>
                <w:bCs w:val="1"/>
                <w:color w:val="auto"/>
              </w:rPr>
              <w:t>PART I</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0000FF"/>
                <w:w w:val="92"/>
              </w:rPr>
              <w:t>Item 1</w:t>
            </w:r>
          </w:p>
        </w:tc>
        <w:tc>
          <w:tcPr>
            <w:tcW w:w="860" w:type="dxa"/>
            <w:vAlign w:val="bottom"/>
            <w:gridSpan w:val="3"/>
          </w:tcPr>
          <w:p>
            <w:pPr>
              <w:spacing w:after="0"/>
              <w:rPr>
                <w:sz w:val="12"/>
                <w:szCs w:val="12"/>
                <w:color w:val="auto"/>
              </w:rPr>
            </w:pPr>
          </w:p>
        </w:tc>
        <w:tc>
          <w:tcPr>
            <w:tcW w:w="9180" w:type="dxa"/>
            <w:vAlign w:val="bottom"/>
            <w:gridSpan w:val="20"/>
          </w:tcPr>
          <w:p>
            <w:pPr>
              <w:spacing w:after="0" w:line="149" w:lineRule="exact"/>
              <w:rPr>
                <w:sz w:val="20"/>
                <w:szCs w:val="20"/>
                <w:color w:val="auto"/>
              </w:rPr>
            </w:pPr>
            <w:r>
              <w:rPr>
                <w:rFonts w:ascii="Arial" w:cs="Arial" w:eastAsia="Arial" w:hAnsi="Arial"/>
                <w:sz w:val="14"/>
                <w:szCs w:val="14"/>
                <w:color w:val="0000FF"/>
              </w:rPr>
              <w:t>Business</w:t>
            </w:r>
          </w:p>
        </w:tc>
        <w:tc>
          <w:tcPr>
            <w:tcW w:w="480" w:type="dxa"/>
            <w:vAlign w:val="bottom"/>
            <w:gridSpan w:val="3"/>
          </w:tcPr>
          <w:p>
            <w:pPr>
              <w:jc w:val="center"/>
              <w:ind w:left="289"/>
              <w:spacing w:after="0" w:line="149" w:lineRule="exact"/>
              <w:rPr>
                <w:sz w:val="20"/>
                <w:szCs w:val="20"/>
                <w:color w:val="auto"/>
              </w:rPr>
            </w:pPr>
            <w:r>
              <w:rPr>
                <w:rFonts w:ascii="Arial" w:cs="Arial" w:eastAsia="Arial" w:hAnsi="Arial"/>
                <w:sz w:val="14"/>
                <w:szCs w:val="14"/>
                <w:color w:val="0000FF"/>
              </w:rPr>
              <w:t>5</w:t>
            </w:r>
          </w:p>
        </w:tc>
        <w:tc>
          <w:tcPr>
            <w:tcW w:w="360" w:type="dxa"/>
            <w:vAlign w:val="bottom"/>
          </w:tcPr>
          <w:p>
            <w:pPr>
              <w:spacing w:after="0"/>
              <w:rPr>
                <w:sz w:val="12"/>
                <w:szCs w:val="12"/>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440" w:type="dxa"/>
            <w:vAlign w:val="bottom"/>
            <w:gridSpan w:val="2"/>
          </w:tcPr>
          <w:p>
            <w:pPr>
              <w:spacing w:after="0"/>
              <w:rPr>
                <w:sz w:val="20"/>
                <w:szCs w:val="20"/>
                <w:color w:val="auto"/>
              </w:rPr>
            </w:pPr>
            <w:r>
              <w:rPr>
                <w:rFonts w:ascii="Arial" w:cs="Arial" w:eastAsia="Arial" w:hAnsi="Arial"/>
                <w:sz w:val="14"/>
                <w:szCs w:val="14"/>
                <w:color w:val="0000FF"/>
                <w:w w:val="82"/>
              </w:rPr>
              <w:t>Item 1A</w:t>
            </w:r>
          </w:p>
        </w:tc>
        <w:tc>
          <w:tcPr>
            <w:tcW w:w="800" w:type="dxa"/>
            <w:vAlign w:val="bottom"/>
            <w:gridSpan w:val="2"/>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4"/>
                <w:szCs w:val="14"/>
                <w:color w:val="0000FF"/>
                <w:w w:val="89"/>
              </w:rPr>
              <w:t>Risk Factors</w:t>
            </w:r>
          </w:p>
        </w:tc>
        <w:tc>
          <w:tcPr>
            <w:tcW w:w="8460" w:type="dxa"/>
            <w:vAlign w:val="bottom"/>
            <w:gridSpan w:val="17"/>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gridSpan w:val="2"/>
          </w:tcPr>
          <w:p>
            <w:pPr>
              <w:jc w:val="center"/>
              <w:spacing w:after="0"/>
              <w:rPr>
                <w:sz w:val="20"/>
                <w:szCs w:val="20"/>
                <w:color w:val="auto"/>
              </w:rPr>
            </w:pPr>
            <w:r>
              <w:rPr>
                <w:rFonts w:ascii="Arial" w:cs="Arial" w:eastAsia="Arial" w:hAnsi="Arial"/>
                <w:sz w:val="12"/>
                <w:szCs w:val="12"/>
                <w:color w:val="0000FF"/>
                <w:w w:val="74"/>
              </w:rPr>
              <w:t>25</w:t>
            </w:r>
          </w:p>
        </w:tc>
        <w:tc>
          <w:tcPr>
            <w:tcW w:w="360" w:type="dxa"/>
            <w:vAlign w:val="bottom"/>
          </w:tcPr>
          <w:p>
            <w:pPr>
              <w:spacing w:after="0"/>
              <w:rPr>
                <w:sz w:val="13"/>
                <w:szCs w:val="13"/>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440" w:type="dxa"/>
            <w:vAlign w:val="bottom"/>
            <w:gridSpan w:val="2"/>
          </w:tcPr>
          <w:p>
            <w:pPr>
              <w:spacing w:after="0"/>
              <w:rPr>
                <w:sz w:val="20"/>
                <w:szCs w:val="20"/>
                <w:color w:val="auto"/>
              </w:rPr>
            </w:pPr>
            <w:r>
              <w:rPr>
                <w:rFonts w:ascii="Arial" w:cs="Arial" w:eastAsia="Arial" w:hAnsi="Arial"/>
                <w:sz w:val="14"/>
                <w:szCs w:val="14"/>
                <w:color w:val="0000FF"/>
                <w:w w:val="82"/>
              </w:rPr>
              <w:t>Item 1B</w:t>
            </w:r>
          </w:p>
        </w:tc>
        <w:tc>
          <w:tcPr>
            <w:tcW w:w="800" w:type="dxa"/>
            <w:vAlign w:val="bottom"/>
            <w:gridSpan w:val="2"/>
          </w:tcPr>
          <w:p>
            <w:pPr>
              <w:spacing w:after="0"/>
              <w:rPr>
                <w:sz w:val="13"/>
                <w:szCs w:val="13"/>
                <w:color w:val="auto"/>
              </w:rPr>
            </w:pPr>
          </w:p>
        </w:tc>
        <w:tc>
          <w:tcPr>
            <w:tcW w:w="9180" w:type="dxa"/>
            <w:vAlign w:val="bottom"/>
            <w:gridSpan w:val="20"/>
          </w:tcPr>
          <w:p>
            <w:pPr>
              <w:spacing w:after="0"/>
              <w:rPr>
                <w:sz w:val="20"/>
                <w:szCs w:val="20"/>
                <w:color w:val="auto"/>
              </w:rPr>
            </w:pPr>
            <w:r>
              <w:rPr>
                <w:rFonts w:ascii="Arial" w:cs="Arial" w:eastAsia="Arial" w:hAnsi="Arial"/>
                <w:sz w:val="14"/>
                <w:szCs w:val="14"/>
                <w:color w:val="0000FF"/>
              </w:rPr>
              <w:t>Unresolved Staff Comments</w:t>
            </w:r>
          </w:p>
        </w:tc>
        <w:tc>
          <w:tcPr>
            <w:tcW w:w="480" w:type="dxa"/>
            <w:vAlign w:val="bottom"/>
            <w:gridSpan w:val="3"/>
          </w:tcPr>
          <w:p>
            <w:pPr>
              <w:jc w:val="center"/>
              <w:ind w:left="269"/>
              <w:spacing w:after="0"/>
              <w:rPr>
                <w:sz w:val="20"/>
                <w:szCs w:val="20"/>
                <w:color w:val="auto"/>
              </w:rPr>
            </w:pPr>
            <w:r>
              <w:rPr>
                <w:rFonts w:ascii="Arial" w:cs="Arial" w:eastAsia="Arial" w:hAnsi="Arial"/>
                <w:sz w:val="14"/>
                <w:szCs w:val="14"/>
                <w:color w:val="0000FF"/>
                <w:w w:val="89"/>
              </w:rPr>
              <w:t>56</w:t>
            </w:r>
          </w:p>
        </w:tc>
        <w:tc>
          <w:tcPr>
            <w:tcW w:w="360" w:type="dxa"/>
            <w:vAlign w:val="bottom"/>
          </w:tcPr>
          <w:p>
            <w:pPr>
              <w:spacing w:after="0"/>
              <w:rPr>
                <w:sz w:val="13"/>
                <w:szCs w:val="13"/>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380" w:type="dxa"/>
            <w:vAlign w:val="bottom"/>
          </w:tcPr>
          <w:p>
            <w:pPr>
              <w:spacing w:after="0"/>
              <w:rPr>
                <w:sz w:val="20"/>
                <w:szCs w:val="20"/>
                <w:color w:val="auto"/>
              </w:rPr>
            </w:pPr>
            <w:r>
              <w:rPr>
                <w:rFonts w:ascii="Arial" w:cs="Arial" w:eastAsia="Arial" w:hAnsi="Arial"/>
                <w:sz w:val="14"/>
                <w:szCs w:val="14"/>
                <w:color w:val="0000FF"/>
                <w:w w:val="92"/>
              </w:rPr>
              <w:t>Item 2</w:t>
            </w:r>
          </w:p>
        </w:tc>
        <w:tc>
          <w:tcPr>
            <w:tcW w:w="60" w:type="dxa"/>
            <w:vAlign w:val="bottom"/>
          </w:tcPr>
          <w:p>
            <w:pPr>
              <w:spacing w:after="0"/>
              <w:rPr>
                <w:sz w:val="13"/>
                <w:szCs w:val="13"/>
                <w:color w:val="auto"/>
              </w:rPr>
            </w:pPr>
          </w:p>
        </w:tc>
        <w:tc>
          <w:tcPr>
            <w:tcW w:w="800" w:type="dxa"/>
            <w:vAlign w:val="bottom"/>
            <w:gridSpan w:val="2"/>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0000FF"/>
                <w:w w:val="87"/>
              </w:rPr>
              <w:t>Properties</w:t>
            </w:r>
          </w:p>
        </w:tc>
        <w:tc>
          <w:tcPr>
            <w:tcW w:w="1020" w:type="dxa"/>
            <w:vAlign w:val="bottom"/>
            <w:gridSpan w:val="6"/>
          </w:tcPr>
          <w:p>
            <w:pPr>
              <w:spacing w:after="0"/>
              <w:rPr>
                <w:sz w:val="13"/>
                <w:szCs w:val="13"/>
                <w:color w:val="auto"/>
              </w:rPr>
            </w:pPr>
          </w:p>
        </w:tc>
        <w:tc>
          <w:tcPr>
            <w:tcW w:w="7580" w:type="dxa"/>
            <w:vAlign w:val="bottom"/>
            <w:gridSpan w:val="12"/>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gridSpan w:val="2"/>
          </w:tcPr>
          <w:p>
            <w:pPr>
              <w:jc w:val="center"/>
              <w:spacing w:after="0"/>
              <w:rPr>
                <w:sz w:val="20"/>
                <w:szCs w:val="20"/>
                <w:color w:val="auto"/>
              </w:rPr>
            </w:pPr>
            <w:r>
              <w:rPr>
                <w:rFonts w:ascii="Arial" w:cs="Arial" w:eastAsia="Arial" w:hAnsi="Arial"/>
                <w:sz w:val="12"/>
                <w:szCs w:val="12"/>
                <w:color w:val="0000FF"/>
                <w:w w:val="74"/>
              </w:rPr>
              <w:t>56</w:t>
            </w:r>
          </w:p>
        </w:tc>
        <w:tc>
          <w:tcPr>
            <w:tcW w:w="360" w:type="dxa"/>
            <w:vAlign w:val="bottom"/>
          </w:tcPr>
          <w:p>
            <w:pPr>
              <w:spacing w:after="0"/>
              <w:rPr>
                <w:sz w:val="13"/>
                <w:szCs w:val="13"/>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380" w:type="dxa"/>
            <w:vAlign w:val="bottom"/>
          </w:tcPr>
          <w:p>
            <w:pPr>
              <w:spacing w:after="0"/>
              <w:rPr>
                <w:sz w:val="20"/>
                <w:szCs w:val="20"/>
                <w:color w:val="auto"/>
              </w:rPr>
            </w:pPr>
            <w:r>
              <w:rPr>
                <w:rFonts w:ascii="Arial" w:cs="Arial" w:eastAsia="Arial" w:hAnsi="Arial"/>
                <w:sz w:val="14"/>
                <w:szCs w:val="14"/>
                <w:color w:val="0000FF"/>
                <w:w w:val="92"/>
              </w:rPr>
              <w:t>Item 3</w:t>
            </w:r>
          </w:p>
        </w:tc>
        <w:tc>
          <w:tcPr>
            <w:tcW w:w="860" w:type="dxa"/>
            <w:vAlign w:val="bottom"/>
            <w:gridSpan w:val="3"/>
          </w:tcPr>
          <w:p>
            <w:pPr>
              <w:spacing w:after="0"/>
              <w:rPr>
                <w:sz w:val="13"/>
                <w:szCs w:val="13"/>
                <w:color w:val="auto"/>
              </w:rPr>
            </w:pPr>
          </w:p>
        </w:tc>
        <w:tc>
          <w:tcPr>
            <w:tcW w:w="1040" w:type="dxa"/>
            <w:vAlign w:val="bottom"/>
            <w:gridSpan w:val="4"/>
          </w:tcPr>
          <w:p>
            <w:pPr>
              <w:spacing w:after="0"/>
              <w:rPr>
                <w:sz w:val="20"/>
                <w:szCs w:val="20"/>
                <w:color w:val="auto"/>
              </w:rPr>
            </w:pPr>
            <w:r>
              <w:rPr>
                <w:rFonts w:ascii="Arial" w:cs="Arial" w:eastAsia="Arial" w:hAnsi="Arial"/>
                <w:sz w:val="14"/>
                <w:szCs w:val="14"/>
                <w:color w:val="0000FF"/>
                <w:w w:val="86"/>
              </w:rPr>
              <w:t>Legal Proceedings</w:t>
            </w:r>
          </w:p>
        </w:tc>
        <w:tc>
          <w:tcPr>
            <w:tcW w:w="8140" w:type="dxa"/>
            <w:vAlign w:val="bottom"/>
            <w:gridSpan w:val="16"/>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gridSpan w:val="2"/>
          </w:tcPr>
          <w:p>
            <w:pPr>
              <w:jc w:val="center"/>
              <w:spacing w:after="0"/>
              <w:rPr>
                <w:sz w:val="20"/>
                <w:szCs w:val="20"/>
                <w:color w:val="auto"/>
              </w:rPr>
            </w:pPr>
            <w:r>
              <w:rPr>
                <w:rFonts w:ascii="Arial" w:cs="Arial" w:eastAsia="Arial" w:hAnsi="Arial"/>
                <w:sz w:val="12"/>
                <w:szCs w:val="12"/>
                <w:color w:val="0000FF"/>
                <w:w w:val="74"/>
              </w:rPr>
              <w:t>56</w:t>
            </w:r>
          </w:p>
        </w:tc>
        <w:tc>
          <w:tcPr>
            <w:tcW w:w="360" w:type="dxa"/>
            <w:vAlign w:val="bottom"/>
          </w:tcPr>
          <w:p>
            <w:pPr>
              <w:spacing w:after="0"/>
              <w:rPr>
                <w:sz w:val="13"/>
                <w:szCs w:val="13"/>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380" w:type="dxa"/>
            <w:vAlign w:val="bottom"/>
          </w:tcPr>
          <w:p>
            <w:pPr>
              <w:spacing w:after="0"/>
              <w:rPr>
                <w:sz w:val="20"/>
                <w:szCs w:val="20"/>
                <w:color w:val="auto"/>
              </w:rPr>
            </w:pPr>
            <w:r>
              <w:rPr>
                <w:rFonts w:ascii="Arial" w:cs="Arial" w:eastAsia="Arial" w:hAnsi="Arial"/>
                <w:sz w:val="14"/>
                <w:szCs w:val="14"/>
                <w:color w:val="0000FF"/>
                <w:w w:val="92"/>
              </w:rPr>
              <w:t>Item 4</w:t>
            </w:r>
          </w:p>
        </w:tc>
        <w:tc>
          <w:tcPr>
            <w:tcW w:w="860" w:type="dxa"/>
            <w:vAlign w:val="bottom"/>
            <w:gridSpan w:val="3"/>
          </w:tcPr>
          <w:p>
            <w:pPr>
              <w:spacing w:after="0"/>
              <w:rPr>
                <w:sz w:val="13"/>
                <w:szCs w:val="13"/>
                <w:color w:val="auto"/>
              </w:rPr>
            </w:pPr>
          </w:p>
        </w:tc>
        <w:tc>
          <w:tcPr>
            <w:tcW w:w="9180" w:type="dxa"/>
            <w:vAlign w:val="bottom"/>
            <w:gridSpan w:val="20"/>
          </w:tcPr>
          <w:p>
            <w:pPr>
              <w:spacing w:after="0"/>
              <w:rPr>
                <w:sz w:val="20"/>
                <w:szCs w:val="20"/>
                <w:color w:val="auto"/>
              </w:rPr>
            </w:pPr>
            <w:r>
              <w:rPr>
                <w:rFonts w:ascii="Arial" w:cs="Arial" w:eastAsia="Arial" w:hAnsi="Arial"/>
                <w:sz w:val="14"/>
                <w:szCs w:val="14"/>
                <w:color w:val="0000FF"/>
              </w:rPr>
              <w:t>Mine Safety Disclosures</w:t>
            </w:r>
          </w:p>
        </w:tc>
        <w:tc>
          <w:tcPr>
            <w:tcW w:w="480" w:type="dxa"/>
            <w:vAlign w:val="bottom"/>
            <w:gridSpan w:val="3"/>
          </w:tcPr>
          <w:p>
            <w:pPr>
              <w:jc w:val="center"/>
              <w:ind w:left="269"/>
              <w:spacing w:after="0"/>
              <w:rPr>
                <w:sz w:val="20"/>
                <w:szCs w:val="20"/>
                <w:color w:val="auto"/>
              </w:rPr>
            </w:pPr>
            <w:r>
              <w:rPr>
                <w:rFonts w:ascii="Arial" w:cs="Arial" w:eastAsia="Arial" w:hAnsi="Arial"/>
                <w:sz w:val="14"/>
                <w:szCs w:val="14"/>
                <w:color w:val="0000FF"/>
                <w:w w:val="89"/>
              </w:rPr>
              <w:t>56</w:t>
            </w:r>
          </w:p>
        </w:tc>
        <w:tc>
          <w:tcPr>
            <w:tcW w:w="360" w:type="dxa"/>
            <w:vAlign w:val="bottom"/>
          </w:tcPr>
          <w:p>
            <w:pPr>
              <w:spacing w:after="0"/>
              <w:rPr>
                <w:sz w:val="13"/>
                <w:szCs w:val="13"/>
                <w:color w:val="auto"/>
              </w:rPr>
            </w:pPr>
          </w:p>
        </w:tc>
      </w:tr>
      <w:tr>
        <w:trPr>
          <w:trHeight w:val="192"/>
        </w:trPr>
        <w:tc>
          <w:tcPr>
            <w:tcW w:w="38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gridSpan w:val="5"/>
          </w:tcPr>
          <w:p>
            <w:pPr>
              <w:jc w:val="center"/>
              <w:ind w:right="4260"/>
              <w:spacing w:after="0"/>
              <w:rPr>
                <w:sz w:val="20"/>
                <w:szCs w:val="20"/>
                <w:color w:val="auto"/>
              </w:rPr>
            </w:pPr>
            <w:r>
              <w:rPr>
                <w:rFonts w:ascii="Arial" w:cs="Arial" w:eastAsia="Arial" w:hAnsi="Arial"/>
                <w:sz w:val="14"/>
                <w:szCs w:val="14"/>
                <w:b w:val="1"/>
                <w:bCs w:val="1"/>
                <w:color w:val="auto"/>
              </w:rPr>
              <w:t>PART II</w:t>
            </w:r>
          </w:p>
        </w:tc>
        <w:tc>
          <w:tcPr>
            <w:tcW w:w="3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0000FF"/>
                <w:w w:val="92"/>
              </w:rPr>
              <w:t>Item 5</w:t>
            </w:r>
          </w:p>
        </w:tc>
        <w:tc>
          <w:tcPr>
            <w:tcW w:w="860" w:type="dxa"/>
            <w:vAlign w:val="bottom"/>
            <w:gridSpan w:val="3"/>
          </w:tcPr>
          <w:p>
            <w:pPr>
              <w:spacing w:after="0"/>
              <w:rPr>
                <w:sz w:val="12"/>
                <w:szCs w:val="12"/>
                <w:color w:val="auto"/>
              </w:rPr>
            </w:pPr>
          </w:p>
        </w:tc>
        <w:tc>
          <w:tcPr>
            <w:tcW w:w="9180" w:type="dxa"/>
            <w:vAlign w:val="bottom"/>
            <w:gridSpan w:val="20"/>
          </w:tcPr>
          <w:p>
            <w:pPr>
              <w:spacing w:after="0" w:line="149" w:lineRule="exact"/>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480" w:type="dxa"/>
            <w:vAlign w:val="bottom"/>
            <w:gridSpan w:val="3"/>
          </w:tcPr>
          <w:p>
            <w:pPr>
              <w:jc w:val="center"/>
              <w:ind w:left="269"/>
              <w:spacing w:after="0" w:line="149" w:lineRule="exact"/>
              <w:rPr>
                <w:sz w:val="20"/>
                <w:szCs w:val="20"/>
                <w:color w:val="auto"/>
              </w:rPr>
            </w:pPr>
            <w:r>
              <w:rPr>
                <w:rFonts w:ascii="Arial" w:cs="Arial" w:eastAsia="Arial" w:hAnsi="Arial"/>
                <w:sz w:val="14"/>
                <w:szCs w:val="14"/>
                <w:color w:val="0000FF"/>
                <w:w w:val="89"/>
              </w:rPr>
              <w:t>57</w:t>
            </w:r>
          </w:p>
        </w:tc>
        <w:tc>
          <w:tcPr>
            <w:tcW w:w="360" w:type="dxa"/>
            <w:vAlign w:val="bottom"/>
          </w:tcPr>
          <w:p>
            <w:pPr>
              <w:spacing w:after="0"/>
              <w:rPr>
                <w:sz w:val="12"/>
                <w:szCs w:val="12"/>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380" w:type="dxa"/>
            <w:vAlign w:val="bottom"/>
          </w:tcPr>
          <w:p>
            <w:pPr>
              <w:spacing w:after="0"/>
              <w:rPr>
                <w:sz w:val="20"/>
                <w:szCs w:val="20"/>
                <w:color w:val="auto"/>
              </w:rPr>
            </w:pPr>
            <w:r>
              <w:rPr>
                <w:rFonts w:ascii="Arial" w:cs="Arial" w:eastAsia="Arial" w:hAnsi="Arial"/>
                <w:sz w:val="14"/>
                <w:szCs w:val="14"/>
                <w:color w:val="0000FF"/>
                <w:w w:val="92"/>
              </w:rPr>
              <w:t>Item 6</w:t>
            </w:r>
          </w:p>
        </w:tc>
        <w:tc>
          <w:tcPr>
            <w:tcW w:w="860" w:type="dxa"/>
            <w:vAlign w:val="bottom"/>
            <w:gridSpan w:val="3"/>
          </w:tcPr>
          <w:p>
            <w:pPr>
              <w:spacing w:after="0"/>
              <w:rPr>
                <w:sz w:val="13"/>
                <w:szCs w:val="13"/>
                <w:color w:val="auto"/>
              </w:rPr>
            </w:pPr>
          </w:p>
        </w:tc>
        <w:tc>
          <w:tcPr>
            <w:tcW w:w="6340" w:type="dxa"/>
            <w:vAlign w:val="bottom"/>
            <w:gridSpan w:val="19"/>
          </w:tcPr>
          <w:p>
            <w:pPr>
              <w:spacing w:after="0"/>
              <w:rPr>
                <w:sz w:val="20"/>
                <w:szCs w:val="20"/>
                <w:color w:val="auto"/>
              </w:rPr>
            </w:pPr>
            <w:r>
              <w:rPr>
                <w:rFonts w:ascii="Arial" w:cs="Arial" w:eastAsia="Arial" w:hAnsi="Arial"/>
                <w:sz w:val="14"/>
                <w:szCs w:val="14"/>
                <w:color w:val="auto"/>
              </w:rPr>
              <w:t>[Reserved]</w:t>
            </w:r>
          </w:p>
        </w:tc>
        <w:tc>
          <w:tcPr>
            <w:tcW w:w="2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gridSpan w:val="2"/>
          </w:tcPr>
          <w:p>
            <w:pPr>
              <w:jc w:val="center"/>
              <w:spacing w:after="0"/>
              <w:rPr>
                <w:sz w:val="20"/>
                <w:szCs w:val="20"/>
                <w:color w:val="auto"/>
              </w:rPr>
            </w:pPr>
            <w:r>
              <w:rPr>
                <w:rFonts w:ascii="Arial" w:cs="Arial" w:eastAsia="Arial" w:hAnsi="Arial"/>
                <w:sz w:val="12"/>
                <w:szCs w:val="12"/>
                <w:color w:val="0000FF"/>
                <w:w w:val="74"/>
              </w:rPr>
              <w:t>57</w:t>
            </w:r>
          </w:p>
        </w:tc>
        <w:tc>
          <w:tcPr>
            <w:tcW w:w="360" w:type="dxa"/>
            <w:vAlign w:val="bottom"/>
          </w:tcPr>
          <w:p>
            <w:pPr>
              <w:spacing w:after="0"/>
              <w:rPr>
                <w:sz w:val="13"/>
                <w:szCs w:val="13"/>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380" w:type="dxa"/>
            <w:vAlign w:val="bottom"/>
          </w:tcPr>
          <w:p>
            <w:pPr>
              <w:spacing w:after="0"/>
              <w:rPr>
                <w:sz w:val="20"/>
                <w:szCs w:val="20"/>
                <w:color w:val="auto"/>
              </w:rPr>
            </w:pPr>
            <w:r>
              <w:rPr>
                <w:rFonts w:ascii="Arial" w:cs="Arial" w:eastAsia="Arial" w:hAnsi="Arial"/>
                <w:sz w:val="14"/>
                <w:szCs w:val="14"/>
                <w:color w:val="0000FF"/>
                <w:w w:val="92"/>
              </w:rPr>
              <w:t>Item 7</w:t>
            </w:r>
          </w:p>
        </w:tc>
        <w:tc>
          <w:tcPr>
            <w:tcW w:w="860" w:type="dxa"/>
            <w:vAlign w:val="bottom"/>
            <w:gridSpan w:val="3"/>
          </w:tcPr>
          <w:p>
            <w:pPr>
              <w:spacing w:after="0"/>
              <w:rPr>
                <w:sz w:val="13"/>
                <w:szCs w:val="13"/>
                <w:color w:val="auto"/>
              </w:rPr>
            </w:pPr>
          </w:p>
        </w:tc>
        <w:tc>
          <w:tcPr>
            <w:tcW w:w="5080" w:type="dxa"/>
            <w:vAlign w:val="bottom"/>
            <w:gridSpan w:val="16"/>
          </w:tcPr>
          <w:p>
            <w:pPr>
              <w:spacing w:after="0"/>
              <w:rPr>
                <w:sz w:val="20"/>
                <w:szCs w:val="20"/>
                <w:color w:val="auto"/>
              </w:rPr>
            </w:pPr>
            <w:r>
              <w:rPr>
                <w:rFonts w:ascii="Arial" w:cs="Arial" w:eastAsia="Arial" w:hAnsi="Arial"/>
                <w:sz w:val="14"/>
                <w:szCs w:val="14"/>
                <w:color w:val="0000FF"/>
                <w:w w:val="91"/>
              </w:rPr>
              <w:t>Management’s Discussion and Analysis of Financial Condition and Results of Operations</w:t>
            </w:r>
          </w:p>
        </w:tc>
        <w:tc>
          <w:tcPr>
            <w:tcW w:w="4100" w:type="dxa"/>
            <w:vAlign w:val="bottom"/>
            <w:gridSpan w:val="4"/>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gridSpan w:val="2"/>
          </w:tcPr>
          <w:p>
            <w:pPr>
              <w:jc w:val="center"/>
              <w:spacing w:after="0"/>
              <w:rPr>
                <w:sz w:val="20"/>
                <w:szCs w:val="20"/>
                <w:color w:val="auto"/>
              </w:rPr>
            </w:pPr>
            <w:r>
              <w:rPr>
                <w:rFonts w:ascii="Arial" w:cs="Arial" w:eastAsia="Arial" w:hAnsi="Arial"/>
                <w:sz w:val="12"/>
                <w:szCs w:val="12"/>
                <w:color w:val="0000FF"/>
                <w:w w:val="74"/>
              </w:rPr>
              <w:t>58</w:t>
            </w:r>
          </w:p>
        </w:tc>
        <w:tc>
          <w:tcPr>
            <w:tcW w:w="360" w:type="dxa"/>
            <w:vAlign w:val="bottom"/>
          </w:tcPr>
          <w:p>
            <w:pPr>
              <w:spacing w:after="0"/>
              <w:rPr>
                <w:sz w:val="13"/>
                <w:szCs w:val="13"/>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440" w:type="dxa"/>
            <w:vAlign w:val="bottom"/>
            <w:gridSpan w:val="2"/>
          </w:tcPr>
          <w:p>
            <w:pPr>
              <w:spacing w:after="0"/>
              <w:rPr>
                <w:sz w:val="20"/>
                <w:szCs w:val="20"/>
                <w:color w:val="auto"/>
              </w:rPr>
            </w:pPr>
            <w:r>
              <w:rPr>
                <w:rFonts w:ascii="Arial" w:cs="Arial" w:eastAsia="Arial" w:hAnsi="Arial"/>
                <w:sz w:val="14"/>
                <w:szCs w:val="14"/>
                <w:color w:val="0000FF"/>
                <w:w w:val="82"/>
              </w:rPr>
              <w:t>Item 7A</w:t>
            </w:r>
          </w:p>
        </w:tc>
        <w:tc>
          <w:tcPr>
            <w:tcW w:w="800" w:type="dxa"/>
            <w:vAlign w:val="bottom"/>
            <w:gridSpan w:val="2"/>
          </w:tcPr>
          <w:p>
            <w:pPr>
              <w:spacing w:after="0"/>
              <w:rPr>
                <w:sz w:val="13"/>
                <w:szCs w:val="13"/>
                <w:color w:val="auto"/>
              </w:rPr>
            </w:pPr>
          </w:p>
        </w:tc>
        <w:tc>
          <w:tcPr>
            <w:tcW w:w="9180" w:type="dxa"/>
            <w:vAlign w:val="bottom"/>
            <w:gridSpan w:val="20"/>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480" w:type="dxa"/>
            <w:vAlign w:val="bottom"/>
            <w:gridSpan w:val="3"/>
          </w:tcPr>
          <w:p>
            <w:pPr>
              <w:jc w:val="center"/>
              <w:ind w:left="269"/>
              <w:spacing w:after="0"/>
              <w:rPr>
                <w:sz w:val="20"/>
                <w:szCs w:val="20"/>
                <w:color w:val="auto"/>
              </w:rPr>
            </w:pPr>
            <w:r>
              <w:rPr>
                <w:rFonts w:ascii="Arial" w:cs="Arial" w:eastAsia="Arial" w:hAnsi="Arial"/>
                <w:sz w:val="14"/>
                <w:szCs w:val="14"/>
                <w:color w:val="0000FF"/>
                <w:w w:val="89"/>
              </w:rPr>
              <w:t>70</w:t>
            </w:r>
          </w:p>
        </w:tc>
        <w:tc>
          <w:tcPr>
            <w:tcW w:w="360" w:type="dxa"/>
            <w:vAlign w:val="bottom"/>
          </w:tcPr>
          <w:p>
            <w:pPr>
              <w:spacing w:after="0"/>
              <w:rPr>
                <w:sz w:val="13"/>
                <w:szCs w:val="13"/>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Item 8</w:t>
            </w:r>
          </w:p>
        </w:tc>
        <w:tc>
          <w:tcPr>
            <w:tcW w:w="800" w:type="dxa"/>
            <w:vAlign w:val="bottom"/>
            <w:gridSpan w:val="2"/>
          </w:tcPr>
          <w:p>
            <w:pPr>
              <w:spacing w:after="0"/>
              <w:rPr>
                <w:sz w:val="13"/>
                <w:szCs w:val="13"/>
                <w:color w:val="auto"/>
              </w:rPr>
            </w:pPr>
          </w:p>
        </w:tc>
        <w:tc>
          <w:tcPr>
            <w:tcW w:w="262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89"/>
              </w:rPr>
              <w:t>Financial Statements and Supplementary Data</w:t>
            </w:r>
          </w:p>
        </w:tc>
        <w:tc>
          <w:tcPr>
            <w:tcW w:w="760" w:type="dxa"/>
            <w:vAlign w:val="bottom"/>
            <w:gridSpan w:val="2"/>
          </w:tcPr>
          <w:p>
            <w:pPr>
              <w:spacing w:after="0"/>
              <w:rPr>
                <w:sz w:val="13"/>
                <w:szCs w:val="13"/>
                <w:color w:val="auto"/>
              </w:rPr>
            </w:pPr>
          </w:p>
        </w:tc>
        <w:tc>
          <w:tcPr>
            <w:tcW w:w="5800" w:type="dxa"/>
            <w:vAlign w:val="bottom"/>
            <w:gridSpan w:val="7"/>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gridSpan w:val="2"/>
          </w:tcPr>
          <w:p>
            <w:pPr>
              <w:jc w:val="center"/>
              <w:spacing w:after="0"/>
              <w:rPr>
                <w:sz w:val="20"/>
                <w:szCs w:val="20"/>
                <w:color w:val="auto"/>
              </w:rPr>
            </w:pPr>
            <w:r>
              <w:rPr>
                <w:rFonts w:ascii="Arial" w:cs="Arial" w:eastAsia="Arial" w:hAnsi="Arial"/>
                <w:sz w:val="12"/>
                <w:szCs w:val="12"/>
                <w:color w:val="0000FF"/>
                <w:w w:val="74"/>
              </w:rPr>
              <w:t>71</w:t>
            </w:r>
          </w:p>
        </w:tc>
        <w:tc>
          <w:tcPr>
            <w:tcW w:w="360" w:type="dxa"/>
            <w:vAlign w:val="bottom"/>
          </w:tcPr>
          <w:p>
            <w:pPr>
              <w:spacing w:after="0"/>
              <w:rPr>
                <w:sz w:val="13"/>
                <w:szCs w:val="13"/>
                <w:color w:val="auto"/>
              </w:rPr>
            </w:pPr>
          </w:p>
        </w:tc>
      </w:tr>
      <w:tr>
        <w:trPr>
          <w:trHeight w:val="160"/>
        </w:trPr>
        <w:tc>
          <w:tcPr>
            <w:tcW w:w="380" w:type="dxa"/>
            <w:vAlign w:val="bottom"/>
          </w:tcPr>
          <w:p>
            <w:pPr>
              <w:spacing w:after="0"/>
              <w:rPr>
                <w:sz w:val="20"/>
                <w:szCs w:val="20"/>
                <w:color w:val="auto"/>
              </w:rPr>
            </w:pPr>
            <w:r>
              <w:rPr>
                <w:rFonts w:ascii="Arial" w:cs="Arial" w:eastAsia="Arial" w:hAnsi="Arial"/>
                <w:sz w:val="14"/>
                <w:szCs w:val="14"/>
                <w:color w:val="0000FF"/>
                <w:w w:val="92"/>
              </w:rPr>
              <w:t>Item 9</w:t>
            </w:r>
          </w:p>
        </w:tc>
        <w:tc>
          <w:tcPr>
            <w:tcW w:w="860" w:type="dxa"/>
            <w:vAlign w:val="bottom"/>
            <w:gridSpan w:val="3"/>
          </w:tcPr>
          <w:p>
            <w:pPr>
              <w:spacing w:after="0"/>
              <w:rPr>
                <w:sz w:val="13"/>
                <w:szCs w:val="13"/>
                <w:color w:val="auto"/>
              </w:rPr>
            </w:pPr>
          </w:p>
        </w:tc>
        <w:tc>
          <w:tcPr>
            <w:tcW w:w="5120" w:type="dxa"/>
            <w:vAlign w:val="bottom"/>
            <w:gridSpan w:val="17"/>
          </w:tcPr>
          <w:p>
            <w:pPr>
              <w:spacing w:after="0"/>
              <w:rPr>
                <w:sz w:val="20"/>
                <w:szCs w:val="20"/>
                <w:color w:val="auto"/>
              </w:rPr>
            </w:pPr>
            <w:r>
              <w:rPr>
                <w:rFonts w:ascii="Arial" w:cs="Arial" w:eastAsia="Arial" w:hAnsi="Arial"/>
                <w:sz w:val="14"/>
                <w:szCs w:val="14"/>
                <w:color w:val="0000FF"/>
                <w:w w:val="91"/>
              </w:rPr>
              <w:t>Changes in and Disagreements With Accountants on Accounting and Financial Disclosure</w:t>
            </w:r>
          </w:p>
        </w:tc>
        <w:tc>
          <w:tcPr>
            <w:tcW w:w="4060" w:type="dxa"/>
            <w:vAlign w:val="bottom"/>
            <w:gridSpan w:val="3"/>
          </w:tcPr>
          <w:p>
            <w:pPr>
              <w:spacing w:after="0"/>
              <w:rPr>
                <w:sz w:val="13"/>
                <w:szCs w:val="13"/>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color w:val="0000FF"/>
                <w:w w:val="85"/>
              </w:rPr>
              <w:t>101</w:t>
            </w: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60"/>
        </w:trPr>
        <w:tc>
          <w:tcPr>
            <w:tcW w:w="440" w:type="dxa"/>
            <w:vAlign w:val="bottom"/>
            <w:gridSpan w:val="2"/>
          </w:tcPr>
          <w:p>
            <w:pPr>
              <w:spacing w:after="0"/>
              <w:rPr>
                <w:sz w:val="20"/>
                <w:szCs w:val="20"/>
                <w:color w:val="auto"/>
              </w:rPr>
            </w:pPr>
            <w:r>
              <w:rPr>
                <w:rFonts w:ascii="Arial" w:cs="Arial" w:eastAsia="Arial" w:hAnsi="Arial"/>
                <w:sz w:val="14"/>
                <w:szCs w:val="14"/>
                <w:color w:val="0000FF"/>
                <w:w w:val="82"/>
              </w:rPr>
              <w:t>Item 9A</w:t>
            </w:r>
          </w:p>
        </w:tc>
        <w:tc>
          <w:tcPr>
            <w:tcW w:w="800" w:type="dxa"/>
            <w:vAlign w:val="bottom"/>
            <w:gridSpan w:val="2"/>
          </w:tcPr>
          <w:p>
            <w:pPr>
              <w:spacing w:after="0"/>
              <w:rPr>
                <w:sz w:val="13"/>
                <w:szCs w:val="13"/>
                <w:color w:val="auto"/>
              </w:rPr>
            </w:pPr>
          </w:p>
        </w:tc>
        <w:tc>
          <w:tcPr>
            <w:tcW w:w="1400" w:type="dxa"/>
            <w:vAlign w:val="bottom"/>
            <w:gridSpan w:val="6"/>
          </w:tcPr>
          <w:p>
            <w:pPr>
              <w:spacing w:after="0"/>
              <w:rPr>
                <w:sz w:val="20"/>
                <w:szCs w:val="20"/>
                <w:color w:val="auto"/>
              </w:rPr>
            </w:pPr>
            <w:r>
              <w:rPr>
                <w:rFonts w:ascii="Arial" w:cs="Arial" w:eastAsia="Arial" w:hAnsi="Arial"/>
                <w:sz w:val="14"/>
                <w:szCs w:val="14"/>
                <w:color w:val="0000FF"/>
                <w:w w:val="89"/>
              </w:rPr>
              <w:t>Controls and Procedures</w:t>
            </w:r>
          </w:p>
        </w:tc>
        <w:tc>
          <w:tcPr>
            <w:tcW w:w="7780" w:type="dxa"/>
            <w:vAlign w:val="bottom"/>
            <w:gridSpan w:val="14"/>
          </w:tcPr>
          <w:p>
            <w:pPr>
              <w:spacing w:after="0"/>
              <w:rPr>
                <w:sz w:val="13"/>
                <w:szCs w:val="13"/>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color w:val="0000FF"/>
                <w:w w:val="85"/>
              </w:rPr>
              <w:t>101</w:t>
            </w: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60"/>
        </w:trPr>
        <w:tc>
          <w:tcPr>
            <w:tcW w:w="440" w:type="dxa"/>
            <w:vAlign w:val="bottom"/>
            <w:gridSpan w:val="2"/>
          </w:tcPr>
          <w:p>
            <w:pPr>
              <w:spacing w:after="0"/>
              <w:rPr>
                <w:sz w:val="20"/>
                <w:szCs w:val="20"/>
                <w:color w:val="auto"/>
              </w:rPr>
            </w:pPr>
            <w:r>
              <w:rPr>
                <w:rFonts w:ascii="Arial" w:cs="Arial" w:eastAsia="Arial" w:hAnsi="Arial"/>
                <w:sz w:val="14"/>
                <w:szCs w:val="14"/>
                <w:color w:val="0000FF"/>
                <w:w w:val="82"/>
              </w:rPr>
              <w:t>Item 9B</w:t>
            </w:r>
          </w:p>
        </w:tc>
        <w:tc>
          <w:tcPr>
            <w:tcW w:w="800" w:type="dxa"/>
            <w:vAlign w:val="bottom"/>
            <w:gridSpan w:val="2"/>
          </w:tcPr>
          <w:p>
            <w:pPr>
              <w:spacing w:after="0"/>
              <w:rPr>
                <w:sz w:val="13"/>
                <w:szCs w:val="13"/>
                <w:color w:val="auto"/>
              </w:rPr>
            </w:pPr>
          </w:p>
        </w:tc>
        <w:tc>
          <w:tcPr>
            <w:tcW w:w="1040" w:type="dxa"/>
            <w:vAlign w:val="bottom"/>
            <w:gridSpan w:val="4"/>
          </w:tcPr>
          <w:p>
            <w:pPr>
              <w:spacing w:after="0"/>
              <w:rPr>
                <w:sz w:val="20"/>
                <w:szCs w:val="20"/>
                <w:color w:val="auto"/>
              </w:rPr>
            </w:pPr>
            <w:r>
              <w:rPr>
                <w:rFonts w:ascii="Arial" w:cs="Arial" w:eastAsia="Arial" w:hAnsi="Arial"/>
                <w:sz w:val="14"/>
                <w:szCs w:val="14"/>
                <w:color w:val="0000FF"/>
                <w:w w:val="91"/>
              </w:rPr>
              <w:t>Other Information</w:t>
            </w:r>
          </w:p>
        </w:tc>
        <w:tc>
          <w:tcPr>
            <w:tcW w:w="360" w:type="dxa"/>
            <w:vAlign w:val="bottom"/>
            <w:gridSpan w:val="2"/>
          </w:tcPr>
          <w:p>
            <w:pPr>
              <w:spacing w:after="0"/>
              <w:rPr>
                <w:sz w:val="13"/>
                <w:szCs w:val="13"/>
                <w:color w:val="auto"/>
              </w:rPr>
            </w:pPr>
          </w:p>
        </w:tc>
        <w:tc>
          <w:tcPr>
            <w:tcW w:w="7780" w:type="dxa"/>
            <w:vAlign w:val="bottom"/>
            <w:gridSpan w:val="14"/>
          </w:tcPr>
          <w:p>
            <w:pPr>
              <w:spacing w:after="0"/>
              <w:rPr>
                <w:sz w:val="13"/>
                <w:szCs w:val="13"/>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color w:val="0000FF"/>
                <w:w w:val="85"/>
              </w:rPr>
              <w:t>102</w:t>
            </w: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60"/>
        </w:trPr>
        <w:tc>
          <w:tcPr>
            <w:tcW w:w="440" w:type="dxa"/>
            <w:vAlign w:val="bottom"/>
            <w:gridSpan w:val="2"/>
          </w:tcPr>
          <w:p>
            <w:pPr>
              <w:spacing w:after="0"/>
              <w:rPr>
                <w:sz w:val="20"/>
                <w:szCs w:val="20"/>
                <w:color w:val="auto"/>
              </w:rPr>
            </w:pPr>
            <w:r>
              <w:rPr>
                <w:rFonts w:ascii="Arial" w:cs="Arial" w:eastAsia="Arial" w:hAnsi="Arial"/>
                <w:sz w:val="14"/>
                <w:szCs w:val="14"/>
                <w:color w:val="0000FF"/>
                <w:w w:val="81"/>
              </w:rPr>
              <w:t>Item 9C</w:t>
            </w:r>
          </w:p>
        </w:tc>
        <w:tc>
          <w:tcPr>
            <w:tcW w:w="800" w:type="dxa"/>
            <w:vAlign w:val="bottom"/>
            <w:gridSpan w:val="2"/>
          </w:tcPr>
          <w:p>
            <w:pPr>
              <w:spacing w:after="0"/>
              <w:rPr>
                <w:sz w:val="13"/>
                <w:szCs w:val="13"/>
                <w:color w:val="auto"/>
              </w:rPr>
            </w:pPr>
          </w:p>
        </w:tc>
        <w:tc>
          <w:tcPr>
            <w:tcW w:w="9180" w:type="dxa"/>
            <w:vAlign w:val="bottom"/>
            <w:gridSpan w:val="20"/>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840" w:type="dxa"/>
            <w:vAlign w:val="bottom"/>
            <w:gridSpan w:val="4"/>
          </w:tcPr>
          <w:p>
            <w:pPr>
              <w:jc w:val="center"/>
              <w:spacing w:after="0"/>
              <w:rPr>
                <w:sz w:val="20"/>
                <w:szCs w:val="20"/>
                <w:color w:val="auto"/>
              </w:rPr>
            </w:pPr>
            <w:r>
              <w:rPr>
                <w:rFonts w:ascii="Arial" w:cs="Arial" w:eastAsia="Arial" w:hAnsi="Arial"/>
                <w:sz w:val="14"/>
                <w:szCs w:val="14"/>
                <w:color w:val="0000FF"/>
                <w:w w:val="85"/>
              </w:rPr>
              <w:t>102</w:t>
            </w:r>
          </w:p>
        </w:tc>
      </w:tr>
      <w:tr>
        <w:trPr>
          <w:trHeight w:val="192"/>
        </w:trPr>
        <w:tc>
          <w:tcPr>
            <w:tcW w:w="3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gridSpan w:val="5"/>
          </w:tcPr>
          <w:p>
            <w:pPr>
              <w:jc w:val="center"/>
              <w:ind w:right="4240"/>
              <w:spacing w:after="0"/>
              <w:rPr>
                <w:sz w:val="20"/>
                <w:szCs w:val="20"/>
                <w:color w:val="auto"/>
              </w:rPr>
            </w:pPr>
            <w:r>
              <w:rPr>
                <w:rFonts w:ascii="Arial" w:cs="Arial" w:eastAsia="Arial" w:hAnsi="Arial"/>
                <w:sz w:val="14"/>
                <w:szCs w:val="14"/>
                <w:b w:val="1"/>
                <w:bCs w:val="1"/>
                <w:color w:val="auto"/>
              </w:rPr>
              <w:t>PART III</w:t>
            </w:r>
          </w:p>
        </w:tc>
        <w:tc>
          <w:tcPr>
            <w:tcW w:w="3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r>
      <w:tr>
        <w:trPr>
          <w:trHeight w:val="149"/>
        </w:trPr>
        <w:tc>
          <w:tcPr>
            <w:tcW w:w="440" w:type="dxa"/>
            <w:vAlign w:val="bottom"/>
            <w:gridSpan w:val="2"/>
          </w:tcPr>
          <w:p>
            <w:pPr>
              <w:spacing w:after="0" w:line="149" w:lineRule="exact"/>
              <w:rPr>
                <w:sz w:val="20"/>
                <w:szCs w:val="20"/>
                <w:color w:val="auto"/>
              </w:rPr>
            </w:pPr>
            <w:r>
              <w:rPr>
                <w:rFonts w:ascii="Arial" w:cs="Arial" w:eastAsia="Arial" w:hAnsi="Arial"/>
                <w:sz w:val="14"/>
                <w:szCs w:val="14"/>
                <w:color w:val="0000FF"/>
                <w:w w:val="85"/>
              </w:rPr>
              <w:t>Item 10</w:t>
            </w:r>
          </w:p>
        </w:tc>
        <w:tc>
          <w:tcPr>
            <w:tcW w:w="800" w:type="dxa"/>
            <w:vAlign w:val="bottom"/>
            <w:gridSpan w:val="2"/>
          </w:tcPr>
          <w:p>
            <w:pPr>
              <w:spacing w:after="0"/>
              <w:rPr>
                <w:sz w:val="12"/>
                <w:szCs w:val="12"/>
                <w:color w:val="auto"/>
              </w:rPr>
            </w:pPr>
          </w:p>
        </w:tc>
        <w:tc>
          <w:tcPr>
            <w:tcW w:w="3220" w:type="dxa"/>
            <w:vAlign w:val="bottom"/>
            <w:gridSpan w:val="12"/>
          </w:tcPr>
          <w:p>
            <w:pPr>
              <w:spacing w:after="0" w:line="149" w:lineRule="exact"/>
              <w:rPr>
                <w:sz w:val="20"/>
                <w:szCs w:val="20"/>
                <w:color w:val="auto"/>
              </w:rPr>
            </w:pPr>
            <w:r>
              <w:rPr>
                <w:rFonts w:ascii="Arial" w:cs="Arial" w:eastAsia="Arial" w:hAnsi="Arial"/>
                <w:sz w:val="14"/>
                <w:szCs w:val="14"/>
                <w:color w:val="0000FF"/>
                <w:w w:val="91"/>
              </w:rPr>
              <w:t>Directors, Executive Officers and Corporate Governance</w:t>
            </w:r>
          </w:p>
        </w:tc>
        <w:tc>
          <w:tcPr>
            <w:tcW w:w="5960" w:type="dxa"/>
            <w:vAlign w:val="bottom"/>
            <w:gridSpan w:val="8"/>
          </w:tcPr>
          <w:p>
            <w:pPr>
              <w:spacing w:after="0"/>
              <w:rPr>
                <w:sz w:val="12"/>
                <w:szCs w:val="12"/>
                <w:color w:val="auto"/>
              </w:rPr>
            </w:pPr>
          </w:p>
        </w:tc>
        <w:tc>
          <w:tcPr>
            <w:tcW w:w="840" w:type="dxa"/>
            <w:vAlign w:val="bottom"/>
            <w:gridSpan w:val="4"/>
          </w:tcPr>
          <w:p>
            <w:pPr>
              <w:jc w:val="center"/>
              <w:spacing w:after="0" w:line="149" w:lineRule="exact"/>
              <w:rPr>
                <w:sz w:val="20"/>
                <w:szCs w:val="20"/>
                <w:color w:val="auto"/>
              </w:rPr>
            </w:pPr>
            <w:r>
              <w:rPr>
                <w:rFonts w:ascii="Arial" w:cs="Arial" w:eastAsia="Arial" w:hAnsi="Arial"/>
                <w:sz w:val="14"/>
                <w:szCs w:val="14"/>
                <w:color w:val="0000FF"/>
                <w:w w:val="85"/>
              </w:rPr>
              <w:t>102</w:t>
            </w: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60"/>
        </w:trPr>
        <w:tc>
          <w:tcPr>
            <w:tcW w:w="440" w:type="dxa"/>
            <w:vAlign w:val="bottom"/>
            <w:gridSpan w:val="2"/>
          </w:tcPr>
          <w:p>
            <w:pPr>
              <w:spacing w:after="0"/>
              <w:rPr>
                <w:sz w:val="20"/>
                <w:szCs w:val="20"/>
                <w:color w:val="auto"/>
              </w:rPr>
            </w:pPr>
            <w:r>
              <w:rPr>
                <w:rFonts w:ascii="Arial" w:cs="Arial" w:eastAsia="Arial" w:hAnsi="Arial"/>
                <w:sz w:val="14"/>
                <w:szCs w:val="14"/>
                <w:color w:val="0000FF"/>
                <w:w w:val="85"/>
              </w:rPr>
              <w:t>Item 11</w:t>
            </w:r>
          </w:p>
        </w:tc>
        <w:tc>
          <w:tcPr>
            <w:tcW w:w="800" w:type="dxa"/>
            <w:vAlign w:val="bottom"/>
            <w:gridSpan w:val="2"/>
          </w:tcPr>
          <w:p>
            <w:pPr>
              <w:spacing w:after="0"/>
              <w:rPr>
                <w:sz w:val="13"/>
                <w:szCs w:val="13"/>
                <w:color w:val="auto"/>
              </w:rPr>
            </w:pPr>
          </w:p>
        </w:tc>
        <w:tc>
          <w:tcPr>
            <w:tcW w:w="3220" w:type="dxa"/>
            <w:vAlign w:val="bottom"/>
            <w:gridSpan w:val="12"/>
          </w:tcPr>
          <w:p>
            <w:pPr>
              <w:spacing w:after="0"/>
              <w:rPr>
                <w:sz w:val="20"/>
                <w:szCs w:val="20"/>
                <w:color w:val="auto"/>
              </w:rPr>
            </w:pPr>
            <w:r>
              <w:rPr>
                <w:rFonts w:ascii="Arial" w:cs="Arial" w:eastAsia="Arial" w:hAnsi="Arial"/>
                <w:sz w:val="14"/>
                <w:szCs w:val="14"/>
                <w:color w:val="0000FF"/>
              </w:rPr>
              <w:t>Executive Compensation</w:t>
            </w:r>
          </w:p>
        </w:tc>
        <w:tc>
          <w:tcPr>
            <w:tcW w:w="5960" w:type="dxa"/>
            <w:vAlign w:val="bottom"/>
            <w:gridSpan w:val="8"/>
          </w:tcPr>
          <w:p>
            <w:pPr>
              <w:spacing w:after="0"/>
              <w:rPr>
                <w:sz w:val="13"/>
                <w:szCs w:val="13"/>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color w:val="0000FF"/>
                <w:w w:val="85"/>
              </w:rPr>
              <w:t>102</w:t>
            </w: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60"/>
        </w:trPr>
        <w:tc>
          <w:tcPr>
            <w:tcW w:w="440" w:type="dxa"/>
            <w:vAlign w:val="bottom"/>
            <w:gridSpan w:val="2"/>
          </w:tcPr>
          <w:p>
            <w:pPr>
              <w:spacing w:after="0"/>
              <w:rPr>
                <w:sz w:val="20"/>
                <w:szCs w:val="20"/>
                <w:color w:val="auto"/>
              </w:rPr>
            </w:pPr>
            <w:r>
              <w:rPr>
                <w:rFonts w:ascii="Arial" w:cs="Arial" w:eastAsia="Arial" w:hAnsi="Arial"/>
                <w:sz w:val="14"/>
                <w:szCs w:val="14"/>
                <w:color w:val="0000FF"/>
                <w:w w:val="85"/>
              </w:rPr>
              <w:t>Item 12</w:t>
            </w:r>
          </w:p>
        </w:tc>
        <w:tc>
          <w:tcPr>
            <w:tcW w:w="800" w:type="dxa"/>
            <w:vAlign w:val="bottom"/>
            <w:gridSpan w:val="2"/>
          </w:tcPr>
          <w:p>
            <w:pPr>
              <w:spacing w:after="0"/>
              <w:rPr>
                <w:sz w:val="13"/>
                <w:szCs w:val="13"/>
                <w:color w:val="auto"/>
              </w:rPr>
            </w:pPr>
          </w:p>
        </w:tc>
        <w:tc>
          <w:tcPr>
            <w:tcW w:w="9180" w:type="dxa"/>
            <w:vAlign w:val="bottom"/>
            <w:gridSpan w:val="20"/>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840" w:type="dxa"/>
            <w:vAlign w:val="bottom"/>
            <w:gridSpan w:val="4"/>
          </w:tcPr>
          <w:p>
            <w:pPr>
              <w:jc w:val="center"/>
              <w:spacing w:after="0"/>
              <w:rPr>
                <w:sz w:val="20"/>
                <w:szCs w:val="20"/>
                <w:color w:val="auto"/>
              </w:rPr>
            </w:pPr>
            <w:r>
              <w:rPr>
                <w:rFonts w:ascii="Arial" w:cs="Arial" w:eastAsia="Arial" w:hAnsi="Arial"/>
                <w:sz w:val="14"/>
                <w:szCs w:val="14"/>
                <w:color w:val="0000FF"/>
                <w:w w:val="85"/>
              </w:rPr>
              <w:t>102</w:t>
            </w: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60"/>
        </w:trPr>
        <w:tc>
          <w:tcPr>
            <w:tcW w:w="440" w:type="dxa"/>
            <w:vAlign w:val="bottom"/>
            <w:gridSpan w:val="2"/>
          </w:tcPr>
          <w:p>
            <w:pPr>
              <w:spacing w:after="0"/>
              <w:rPr>
                <w:sz w:val="20"/>
                <w:szCs w:val="20"/>
                <w:color w:val="auto"/>
              </w:rPr>
            </w:pPr>
            <w:r>
              <w:rPr>
                <w:rFonts w:ascii="Arial" w:cs="Arial" w:eastAsia="Arial" w:hAnsi="Arial"/>
                <w:sz w:val="14"/>
                <w:szCs w:val="14"/>
                <w:color w:val="0000FF"/>
                <w:w w:val="85"/>
              </w:rPr>
              <w:t>Item 13</w:t>
            </w:r>
          </w:p>
        </w:tc>
        <w:tc>
          <w:tcPr>
            <w:tcW w:w="800" w:type="dxa"/>
            <w:vAlign w:val="bottom"/>
            <w:gridSpan w:val="2"/>
          </w:tcPr>
          <w:p>
            <w:pPr>
              <w:spacing w:after="0"/>
              <w:rPr>
                <w:sz w:val="13"/>
                <w:szCs w:val="13"/>
                <w:color w:val="auto"/>
              </w:rPr>
            </w:pPr>
          </w:p>
        </w:tc>
        <w:tc>
          <w:tcPr>
            <w:tcW w:w="5720" w:type="dxa"/>
            <w:vAlign w:val="bottom"/>
            <w:gridSpan w:val="18"/>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3460" w:type="dxa"/>
            <w:vAlign w:val="bottom"/>
            <w:gridSpan w:val="2"/>
          </w:tcPr>
          <w:p>
            <w:pPr>
              <w:spacing w:after="0"/>
              <w:rPr>
                <w:sz w:val="13"/>
                <w:szCs w:val="13"/>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color w:val="0000FF"/>
                <w:w w:val="85"/>
              </w:rPr>
              <w:t>102</w:t>
            </w: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60"/>
        </w:trPr>
        <w:tc>
          <w:tcPr>
            <w:tcW w:w="440" w:type="dxa"/>
            <w:vAlign w:val="bottom"/>
            <w:gridSpan w:val="2"/>
          </w:tcPr>
          <w:p>
            <w:pPr>
              <w:spacing w:after="0"/>
              <w:rPr>
                <w:sz w:val="20"/>
                <w:szCs w:val="20"/>
                <w:color w:val="auto"/>
              </w:rPr>
            </w:pPr>
            <w:r>
              <w:rPr>
                <w:rFonts w:ascii="Arial" w:cs="Arial" w:eastAsia="Arial" w:hAnsi="Arial"/>
                <w:sz w:val="14"/>
                <w:szCs w:val="14"/>
                <w:color w:val="0000FF"/>
                <w:w w:val="85"/>
              </w:rPr>
              <w:t>Item 14</w:t>
            </w:r>
          </w:p>
        </w:tc>
        <w:tc>
          <w:tcPr>
            <w:tcW w:w="800" w:type="dxa"/>
            <w:vAlign w:val="bottom"/>
            <w:gridSpan w:val="2"/>
          </w:tcPr>
          <w:p>
            <w:pPr>
              <w:spacing w:after="0"/>
              <w:rPr>
                <w:sz w:val="13"/>
                <w:szCs w:val="13"/>
                <w:color w:val="auto"/>
              </w:rPr>
            </w:pPr>
          </w:p>
        </w:tc>
        <w:tc>
          <w:tcPr>
            <w:tcW w:w="4240" w:type="dxa"/>
            <w:vAlign w:val="bottom"/>
            <w:gridSpan w:val="15"/>
          </w:tcPr>
          <w:p>
            <w:pPr>
              <w:spacing w:after="0"/>
              <w:rPr>
                <w:sz w:val="20"/>
                <w:szCs w:val="20"/>
                <w:color w:val="auto"/>
              </w:rPr>
            </w:pPr>
            <w:r>
              <w:rPr>
                <w:rFonts w:ascii="Arial" w:cs="Arial" w:eastAsia="Arial" w:hAnsi="Arial"/>
                <w:sz w:val="14"/>
                <w:szCs w:val="14"/>
                <w:color w:val="0000FF"/>
              </w:rPr>
              <w:t>Principal Accountant Fees and Services</w:t>
            </w:r>
          </w:p>
        </w:tc>
        <w:tc>
          <w:tcPr>
            <w:tcW w:w="4940" w:type="dxa"/>
            <w:vAlign w:val="bottom"/>
            <w:gridSpan w:val="5"/>
          </w:tcPr>
          <w:p>
            <w:pPr>
              <w:spacing w:after="0"/>
              <w:rPr>
                <w:sz w:val="13"/>
                <w:szCs w:val="13"/>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color w:val="0000FF"/>
                <w:w w:val="85"/>
              </w:rPr>
              <w:t>102</w:t>
            </w:r>
          </w:p>
        </w:tc>
      </w:tr>
      <w:tr>
        <w:trPr>
          <w:trHeight w:val="192"/>
        </w:trPr>
        <w:tc>
          <w:tcPr>
            <w:tcW w:w="3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gridSpan w:val="5"/>
          </w:tcPr>
          <w:p>
            <w:pPr>
              <w:jc w:val="center"/>
              <w:ind w:right="4260"/>
              <w:spacing w:after="0"/>
              <w:rPr>
                <w:sz w:val="20"/>
                <w:szCs w:val="20"/>
                <w:color w:val="auto"/>
              </w:rPr>
            </w:pPr>
            <w:r>
              <w:rPr>
                <w:rFonts w:ascii="Arial" w:cs="Arial" w:eastAsia="Arial" w:hAnsi="Arial"/>
                <w:sz w:val="14"/>
                <w:szCs w:val="14"/>
                <w:b w:val="1"/>
                <w:bCs w:val="1"/>
                <w:color w:val="auto"/>
              </w:rPr>
              <w:t>PART IV</w:t>
            </w:r>
          </w:p>
        </w:tc>
        <w:tc>
          <w:tcPr>
            <w:tcW w:w="3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r>
      <w:tr>
        <w:trPr>
          <w:trHeight w:val="149"/>
        </w:trPr>
        <w:tc>
          <w:tcPr>
            <w:tcW w:w="440" w:type="dxa"/>
            <w:vAlign w:val="bottom"/>
            <w:gridSpan w:val="2"/>
          </w:tcPr>
          <w:p>
            <w:pPr>
              <w:spacing w:after="0" w:line="149" w:lineRule="exact"/>
              <w:rPr>
                <w:sz w:val="20"/>
                <w:szCs w:val="20"/>
                <w:color w:val="auto"/>
              </w:rPr>
            </w:pPr>
            <w:r>
              <w:rPr>
                <w:rFonts w:ascii="Arial" w:cs="Arial" w:eastAsia="Arial" w:hAnsi="Arial"/>
                <w:sz w:val="14"/>
                <w:szCs w:val="14"/>
                <w:color w:val="0000FF"/>
                <w:w w:val="85"/>
              </w:rPr>
              <w:t>Item 15</w:t>
            </w:r>
          </w:p>
        </w:tc>
        <w:tc>
          <w:tcPr>
            <w:tcW w:w="800" w:type="dxa"/>
            <w:vAlign w:val="bottom"/>
            <w:gridSpan w:val="2"/>
          </w:tcPr>
          <w:p>
            <w:pPr>
              <w:spacing w:after="0"/>
              <w:rPr>
                <w:sz w:val="12"/>
                <w:szCs w:val="12"/>
                <w:color w:val="auto"/>
              </w:rPr>
            </w:pPr>
          </w:p>
        </w:tc>
        <w:tc>
          <w:tcPr>
            <w:tcW w:w="9180" w:type="dxa"/>
            <w:vAlign w:val="bottom"/>
            <w:gridSpan w:val="20"/>
          </w:tcPr>
          <w:p>
            <w:pPr>
              <w:spacing w:after="0" w:line="149" w:lineRule="exact"/>
              <w:rPr>
                <w:sz w:val="20"/>
                <w:szCs w:val="20"/>
                <w:color w:val="auto"/>
              </w:rPr>
            </w:pPr>
            <w:r>
              <w:rPr>
                <w:rFonts w:ascii="Arial" w:cs="Arial" w:eastAsia="Arial" w:hAnsi="Arial"/>
                <w:sz w:val="14"/>
                <w:szCs w:val="14"/>
                <w:color w:val="0000FF"/>
              </w:rPr>
              <w:t>Exhibits and Financial Statement Schedules</w:t>
            </w:r>
          </w:p>
        </w:tc>
        <w:tc>
          <w:tcPr>
            <w:tcW w:w="840" w:type="dxa"/>
            <w:vAlign w:val="bottom"/>
            <w:gridSpan w:val="4"/>
          </w:tcPr>
          <w:p>
            <w:pPr>
              <w:jc w:val="center"/>
              <w:spacing w:after="0" w:line="149" w:lineRule="exact"/>
              <w:rPr>
                <w:sz w:val="20"/>
                <w:szCs w:val="20"/>
                <w:color w:val="auto"/>
              </w:rPr>
            </w:pPr>
            <w:r>
              <w:rPr>
                <w:rFonts w:ascii="Arial" w:cs="Arial" w:eastAsia="Arial" w:hAnsi="Arial"/>
                <w:sz w:val="14"/>
                <w:szCs w:val="14"/>
                <w:color w:val="0000FF"/>
                <w:w w:val="85"/>
              </w:rPr>
              <w:t>103</w:t>
            </w: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6700" w:type="dxa"/>
            <w:vAlign w:val="bottom"/>
            <w:gridSpan w:val="10"/>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60"/>
        </w:trPr>
        <w:tc>
          <w:tcPr>
            <w:tcW w:w="440" w:type="dxa"/>
            <w:vAlign w:val="bottom"/>
            <w:gridSpan w:val="2"/>
          </w:tcPr>
          <w:p>
            <w:pPr>
              <w:spacing w:after="0"/>
              <w:rPr>
                <w:sz w:val="20"/>
                <w:szCs w:val="20"/>
                <w:color w:val="auto"/>
              </w:rPr>
            </w:pPr>
            <w:r>
              <w:rPr>
                <w:rFonts w:ascii="Arial" w:cs="Arial" w:eastAsia="Arial" w:hAnsi="Arial"/>
                <w:sz w:val="14"/>
                <w:szCs w:val="14"/>
                <w:color w:val="0000FF"/>
                <w:w w:val="85"/>
              </w:rPr>
              <w:t>Item 16</w:t>
            </w:r>
          </w:p>
        </w:tc>
        <w:tc>
          <w:tcPr>
            <w:tcW w:w="800" w:type="dxa"/>
            <w:vAlign w:val="bottom"/>
            <w:gridSpan w:val="2"/>
          </w:tcPr>
          <w:p>
            <w:pPr>
              <w:spacing w:after="0"/>
              <w:rPr>
                <w:sz w:val="13"/>
                <w:szCs w:val="13"/>
                <w:color w:val="auto"/>
              </w:rPr>
            </w:pPr>
          </w:p>
        </w:tc>
        <w:tc>
          <w:tcPr>
            <w:tcW w:w="1220" w:type="dxa"/>
            <w:vAlign w:val="bottom"/>
            <w:gridSpan w:val="5"/>
          </w:tcPr>
          <w:p>
            <w:pPr>
              <w:spacing w:after="0"/>
              <w:rPr>
                <w:sz w:val="20"/>
                <w:szCs w:val="20"/>
                <w:color w:val="auto"/>
              </w:rPr>
            </w:pPr>
            <w:r>
              <w:rPr>
                <w:rFonts w:ascii="Arial" w:cs="Arial" w:eastAsia="Arial" w:hAnsi="Arial"/>
                <w:sz w:val="14"/>
                <w:szCs w:val="14"/>
                <w:color w:val="0000FF"/>
                <w:w w:val="92"/>
              </w:rPr>
              <w:t>Form 10-K Summary</w:t>
            </w:r>
          </w:p>
        </w:tc>
        <w:tc>
          <w:tcPr>
            <w:tcW w:w="1260" w:type="dxa"/>
            <w:vAlign w:val="bottom"/>
            <w:gridSpan w:val="5"/>
          </w:tcPr>
          <w:p>
            <w:pPr>
              <w:spacing w:after="0"/>
              <w:rPr>
                <w:sz w:val="13"/>
                <w:szCs w:val="13"/>
                <w:color w:val="auto"/>
              </w:rPr>
            </w:pPr>
          </w:p>
        </w:tc>
        <w:tc>
          <w:tcPr>
            <w:tcW w:w="6700" w:type="dxa"/>
            <w:vAlign w:val="bottom"/>
            <w:gridSpan w:val="10"/>
          </w:tcPr>
          <w:p>
            <w:pPr>
              <w:spacing w:after="0"/>
              <w:rPr>
                <w:sz w:val="13"/>
                <w:szCs w:val="13"/>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color w:val="0000FF"/>
                <w:w w:val="85"/>
              </w:rPr>
              <w:t>105</w:t>
            </w: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95"/>
        </w:trPr>
        <w:tc>
          <w:tcPr>
            <w:tcW w:w="880" w:type="dxa"/>
            <w:vAlign w:val="bottom"/>
            <w:gridSpan w:val="3"/>
          </w:tcPr>
          <w:p>
            <w:pPr>
              <w:spacing w:after="0"/>
              <w:rPr>
                <w:sz w:val="20"/>
                <w:szCs w:val="20"/>
                <w:color w:val="auto"/>
              </w:rPr>
            </w:pPr>
            <w:r>
              <w:rPr>
                <w:rFonts w:ascii="Arial" w:cs="Arial" w:eastAsia="Arial" w:hAnsi="Arial"/>
                <w:sz w:val="14"/>
                <w:szCs w:val="14"/>
                <w:color w:val="0000FF"/>
                <w:w w:val="94"/>
              </w:rPr>
              <w:t>SIGNATURES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color w:val="0000FF"/>
                <w:w w:val="85"/>
              </w:rPr>
              <w:t>106</w:t>
            </w: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154305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89" w:right="319" w:bottom="1440" w:gutter="0" w:footer="0" w:header="0"/>
        </w:sectPr>
      </w:pPr>
    </w:p>
    <w:bookmarkStart w:id="3" w:name="page4"/>
    <w:bookmarkEnd w:id="3"/>
    <w:p>
      <w:pPr>
        <w:jc w:val="both"/>
        <w:spacing w:after="0" w:line="262" w:lineRule="auto"/>
        <w:rPr>
          <w:sz w:val="20"/>
          <w:szCs w:val="20"/>
          <w:color w:val="auto"/>
        </w:rPr>
      </w:pPr>
      <w:r>
        <w:rPr>
          <w:rFonts w:ascii="Arial" w:cs="Arial" w:eastAsia="Arial" w:hAnsi="Arial"/>
          <w:sz w:val="14"/>
          <w:szCs w:val="14"/>
          <w:i w:val="1"/>
          <w:iCs w:val="1"/>
          <w:color w:val="auto"/>
        </w:rPr>
        <w:t>In this Annual Report on Form 10-K, “we,” “our,” “us,” “SI-BONE,” and “the Company” refer to SI-BONE, Inc. and its consolidated subsidiaries.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163"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RISK FACTOR SUMMARY</w:t>
      </w:r>
    </w:p>
    <w:p>
      <w:pPr>
        <w:spacing w:after="0" w:line="204"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i w:val="1"/>
          <w:iCs w:val="1"/>
          <w:color w:val="auto"/>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“Item 1A. Risk Factors” below.</w:t>
      </w:r>
    </w:p>
    <w:p>
      <w:pPr>
        <w:spacing w:after="0" w:line="142" w:lineRule="exact"/>
        <w:rPr>
          <w:sz w:val="20"/>
          <w:szCs w:val="20"/>
          <w:color w:val="auto"/>
        </w:rPr>
      </w:pPr>
    </w:p>
    <w:p>
      <w:pPr>
        <w:ind w:left="520" w:hanging="260"/>
        <w:spacing w:after="0"/>
        <w:tabs>
          <w:tab w:leader="none" w:pos="520" w:val="left"/>
        </w:tabs>
        <w:numPr>
          <w:ilvl w:val="0"/>
          <w:numId w:val="2"/>
        </w:numPr>
        <w:rPr>
          <w:rFonts w:ascii="Arial" w:cs="Arial" w:eastAsia="Arial" w:hAnsi="Arial"/>
          <w:sz w:val="13"/>
          <w:szCs w:val="13"/>
          <w:b w:val="1"/>
          <w:bCs w:val="1"/>
          <w:i w:val="1"/>
          <w:iCs w:val="1"/>
          <w:color w:val="auto"/>
        </w:rPr>
      </w:pPr>
      <w:r>
        <w:rPr>
          <w:rFonts w:ascii="Arial" w:cs="Arial" w:eastAsia="Arial" w:hAnsi="Arial"/>
          <w:sz w:val="13"/>
          <w:szCs w:val="13"/>
          <w:color w:val="auto"/>
        </w:rPr>
        <w:t>We have incurred significant operating losses since inception, we expect to continue to incur operating losses in the future, and we may not be able to achieve or sustain future profitability;</w:t>
      </w:r>
    </w:p>
    <w:p>
      <w:pPr>
        <w:spacing w:after="0" w:line="185" w:lineRule="exact"/>
        <w:rPr>
          <w:rFonts w:ascii="Arial" w:cs="Arial" w:eastAsia="Arial" w:hAnsi="Arial"/>
          <w:sz w:val="13"/>
          <w:szCs w:val="13"/>
          <w:b w:val="1"/>
          <w:bCs w:val="1"/>
          <w:i w:val="1"/>
          <w:iCs w:val="1"/>
          <w:color w:val="auto"/>
        </w:rPr>
      </w:pPr>
    </w:p>
    <w:p>
      <w:pPr>
        <w:ind w:left="500" w:hanging="240"/>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4"/>
          <w:szCs w:val="14"/>
          <w:color w:val="auto"/>
        </w:rPr>
        <w:t>Prolonged inflation and supply chain disruptions could result in delayed product launches, lost revenue, higher costs and decreased profit margins;</w:t>
      </w:r>
    </w:p>
    <w:p>
      <w:pPr>
        <w:spacing w:after="0" w:line="170" w:lineRule="exact"/>
        <w:rPr>
          <w:rFonts w:ascii="Arial" w:cs="Arial" w:eastAsia="Arial" w:hAnsi="Arial"/>
          <w:sz w:val="17"/>
          <w:szCs w:val="17"/>
          <w:color w:val="auto"/>
        </w:rPr>
      </w:pPr>
    </w:p>
    <w:p>
      <w:pPr>
        <w:ind w:left="520" w:hanging="260"/>
        <w:spacing w:after="0" w:line="265" w:lineRule="auto"/>
        <w:tabs>
          <w:tab w:leader="none" w:pos="516" w:val="left"/>
        </w:tabs>
        <w:numPr>
          <w:ilvl w:val="0"/>
          <w:numId w:val="2"/>
        </w:numPr>
        <w:rPr>
          <w:rFonts w:ascii="Arial" w:cs="Arial" w:eastAsia="Arial" w:hAnsi="Arial"/>
          <w:sz w:val="14"/>
          <w:szCs w:val="14"/>
          <w:b w:val="1"/>
          <w:bCs w:val="1"/>
          <w:i w:val="1"/>
          <w:iCs w:val="1"/>
          <w:color w:val="auto"/>
        </w:rPr>
      </w:pPr>
      <w:r>
        <w:rPr>
          <w:rFonts w:ascii="Arial" w:cs="Arial" w:eastAsia="Arial" w:hAnsi="Arial"/>
          <w:sz w:val="14"/>
          <w:szCs w:val="14"/>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32" w:lineRule="exact"/>
        <w:rPr>
          <w:rFonts w:ascii="Arial" w:cs="Arial" w:eastAsia="Arial" w:hAnsi="Arial"/>
          <w:sz w:val="14"/>
          <w:szCs w:val="14"/>
          <w:b w:val="1"/>
          <w:bCs w:val="1"/>
          <w:i w:val="1"/>
          <w:iCs w:val="1"/>
          <w:color w:val="auto"/>
        </w:rPr>
      </w:pPr>
    </w:p>
    <w:p>
      <w:pPr>
        <w:ind w:left="520" w:hanging="260"/>
        <w:spacing w:after="0" w:line="321" w:lineRule="auto"/>
        <w:tabs>
          <w:tab w:leader="none" w:pos="516" w:val="left"/>
        </w:tabs>
        <w:numPr>
          <w:ilvl w:val="0"/>
          <w:numId w:val="2"/>
        </w:numPr>
        <w:rPr>
          <w:rFonts w:ascii="Arial" w:cs="Arial" w:eastAsia="Arial" w:hAnsi="Arial"/>
          <w:sz w:val="13"/>
          <w:szCs w:val="13"/>
          <w:b w:val="1"/>
          <w:bCs w:val="1"/>
          <w:i w:val="1"/>
          <w:iCs w:val="1"/>
          <w:color w:val="auto"/>
        </w:rPr>
      </w:pPr>
      <w:r>
        <w:rPr>
          <w:rFonts w:ascii="Arial" w:cs="Arial" w:eastAsia="Arial" w:hAnsi="Arial"/>
          <w:sz w:val="13"/>
          <w:szCs w:val="13"/>
          <w:color w:val="auto"/>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98" w:lineRule="exact"/>
        <w:rPr>
          <w:rFonts w:ascii="Arial" w:cs="Arial" w:eastAsia="Arial" w:hAnsi="Arial"/>
          <w:sz w:val="13"/>
          <w:szCs w:val="13"/>
          <w:b w:val="1"/>
          <w:bCs w:val="1"/>
          <w:i w:val="1"/>
          <w:iCs w:val="1"/>
          <w:color w:val="auto"/>
        </w:rPr>
      </w:pPr>
    </w:p>
    <w:p>
      <w:pPr>
        <w:ind w:left="520" w:hanging="260"/>
        <w:spacing w:after="0" w:line="265"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43"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b w:val="1"/>
          <w:bCs w:val="1"/>
          <w:i w:val="1"/>
          <w:iCs w:val="1"/>
          <w:color w:val="auto"/>
        </w:rPr>
      </w:pPr>
      <w:r>
        <w:rPr>
          <w:rFonts w:ascii="Arial" w:cs="Arial" w:eastAsia="Arial" w:hAnsi="Arial"/>
          <w:sz w:val="14"/>
          <w:szCs w:val="14"/>
          <w:color w:val="auto"/>
        </w:rPr>
        <w:t>Epidemic diseases, or the perception of their effects, may continue to adversely affect our business, financial condition, results of operations, or cash flows</w:t>
      </w:r>
      <w:r>
        <w:rPr>
          <w:rFonts w:ascii="Arial" w:cs="Arial" w:eastAsia="Arial" w:hAnsi="Arial"/>
          <w:sz w:val="14"/>
          <w:szCs w:val="14"/>
          <w:b w:val="1"/>
          <w:bCs w:val="1"/>
          <w:i w:val="1"/>
          <w:iCs w:val="1"/>
          <w:color w:val="auto"/>
        </w:rPr>
        <w:t>;</w:t>
      </w:r>
    </w:p>
    <w:p>
      <w:pPr>
        <w:spacing w:after="0" w:line="167" w:lineRule="exact"/>
        <w:rPr>
          <w:rFonts w:ascii="Arial" w:cs="Arial" w:eastAsia="Arial" w:hAnsi="Arial"/>
          <w:sz w:val="14"/>
          <w:szCs w:val="14"/>
          <w:b w:val="1"/>
          <w:bCs w:val="1"/>
          <w:i w:val="1"/>
          <w:iCs w:val="1"/>
          <w:color w:val="auto"/>
        </w:rPr>
      </w:pPr>
    </w:p>
    <w:p>
      <w:pPr>
        <w:ind w:left="520" w:hanging="260"/>
        <w:spacing w:after="0" w:line="265"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may not be able to convince physicians that our products are attractive alternatives to our competitors’ products and that our procedures are attractive alternatives to existing surgical and non-surgical treatments for their respective indications;</w:t>
      </w:r>
    </w:p>
    <w:p>
      <w:pPr>
        <w:spacing w:after="0" w:line="143"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32"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
        </w:numPr>
        <w:rPr>
          <w:rFonts w:ascii="Arial" w:cs="Arial" w:eastAsia="Arial" w:hAnsi="Arial"/>
          <w:sz w:val="14"/>
          <w:szCs w:val="14"/>
          <w:b w:val="1"/>
          <w:bCs w:val="1"/>
          <w:i w:val="1"/>
          <w:iCs w:val="1"/>
          <w:color w:val="auto"/>
        </w:rPr>
      </w:pPr>
      <w:r>
        <w:rPr>
          <w:rFonts w:ascii="Arial" w:cs="Arial" w:eastAsia="Arial" w:hAnsi="Arial"/>
          <w:sz w:val="14"/>
          <w:szCs w:val="14"/>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121" w:lineRule="exact"/>
        <w:rPr>
          <w:rFonts w:ascii="Arial" w:cs="Arial" w:eastAsia="Arial" w:hAnsi="Arial"/>
          <w:sz w:val="14"/>
          <w:szCs w:val="14"/>
          <w:b w:val="1"/>
          <w:bCs w:val="1"/>
          <w:i w:val="1"/>
          <w:iCs w:val="1"/>
          <w:color w:val="auto"/>
        </w:rPr>
      </w:pPr>
    </w:p>
    <w:p>
      <w:pPr>
        <w:ind w:left="520" w:hanging="260"/>
        <w:spacing w:after="0" w:line="265" w:lineRule="auto"/>
        <w:tabs>
          <w:tab w:leader="none" w:pos="516" w:val="left"/>
        </w:tabs>
        <w:numPr>
          <w:ilvl w:val="0"/>
          <w:numId w:val="2"/>
        </w:numPr>
        <w:rPr>
          <w:rFonts w:ascii="Arial" w:cs="Arial" w:eastAsia="Arial" w:hAnsi="Arial"/>
          <w:sz w:val="14"/>
          <w:szCs w:val="14"/>
          <w:b w:val="1"/>
          <w:bCs w:val="1"/>
          <w:i w:val="1"/>
          <w:iCs w:val="1"/>
          <w:color w:val="auto"/>
        </w:rPr>
      </w:pPr>
      <w:r>
        <w:rPr>
          <w:rFonts w:ascii="Arial" w:cs="Arial" w:eastAsia="Arial" w:hAnsi="Arial"/>
          <w:sz w:val="14"/>
          <w:szCs w:val="14"/>
          <w:color w:val="auto"/>
        </w:rPr>
        <w:t>Practice trends or other factors, including the COVID-19 pandemic, have caused, and may continue to cause, procedures to shift from the hospital environment to ambulatory surgical centers, or ASCs, where pressure on the prices of our products is generally more acute;</w:t>
      </w:r>
    </w:p>
    <w:p>
      <w:pPr>
        <w:spacing w:after="0" w:line="143" w:lineRule="exact"/>
        <w:rPr>
          <w:rFonts w:ascii="Arial" w:cs="Arial" w:eastAsia="Arial" w:hAnsi="Arial"/>
          <w:sz w:val="14"/>
          <w:szCs w:val="14"/>
          <w:b w:val="1"/>
          <w:bCs w:val="1"/>
          <w:i w:val="1"/>
          <w:iCs w:val="1"/>
          <w:color w:val="auto"/>
        </w:rPr>
      </w:pPr>
    </w:p>
    <w:p>
      <w:pPr>
        <w:ind w:left="520" w:hanging="260"/>
        <w:spacing w:after="0" w:line="265"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operate in a very competitive business environment and if we are unable to compete successfully against our existing or potential competitors, our sales and operating results may be adversely affected;</w:t>
      </w:r>
    </w:p>
    <w:p>
      <w:pPr>
        <w:spacing w:after="0" w:line="153" w:lineRule="exact"/>
        <w:rPr>
          <w:rFonts w:ascii="Arial" w:cs="Arial" w:eastAsia="Arial" w:hAnsi="Arial"/>
          <w:sz w:val="14"/>
          <w:szCs w:val="14"/>
          <w:color w:val="auto"/>
        </w:rPr>
      </w:pPr>
    </w:p>
    <w:p>
      <w:pPr>
        <w:ind w:left="520" w:hanging="260"/>
        <w:spacing w:after="0" w:line="245" w:lineRule="auto"/>
        <w:tabs>
          <w:tab w:leader="none" w:pos="516" w:val="left"/>
        </w:tabs>
        <w:numPr>
          <w:ilvl w:val="0"/>
          <w:numId w:val="2"/>
        </w:numPr>
        <w:rPr>
          <w:rFonts w:ascii="Arial" w:cs="Arial" w:eastAsia="Arial" w:hAnsi="Arial"/>
          <w:sz w:val="17"/>
          <w:szCs w:val="17"/>
          <w:color w:val="auto"/>
        </w:rPr>
      </w:pPr>
      <w:r>
        <w:rPr>
          <w:rFonts w:ascii="Arial" w:cs="Arial" w:eastAsia="Arial" w:hAnsi="Arial"/>
          <w:sz w:val="14"/>
          <w:szCs w:val="14"/>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166" w:lineRule="exact"/>
        <w:rPr>
          <w:rFonts w:ascii="Arial" w:cs="Arial" w:eastAsia="Arial" w:hAnsi="Arial"/>
          <w:sz w:val="17"/>
          <w:szCs w:val="17"/>
          <w:color w:val="auto"/>
        </w:rPr>
      </w:pPr>
    </w:p>
    <w:p>
      <w:pPr>
        <w:ind w:left="520" w:hanging="260"/>
        <w:spacing w:after="0" w:line="266" w:lineRule="auto"/>
        <w:tabs>
          <w:tab w:leader="none" w:pos="516" w:val="left"/>
        </w:tabs>
        <w:numPr>
          <w:ilvl w:val="0"/>
          <w:numId w:val="2"/>
        </w:numPr>
        <w:rPr>
          <w:rFonts w:ascii="Arial" w:cs="Arial" w:eastAsia="Arial" w:hAnsi="Arial"/>
          <w:sz w:val="16"/>
          <w:szCs w:val="16"/>
          <w:color w:val="auto"/>
        </w:rPr>
      </w:pPr>
      <w:r>
        <w:rPr>
          <w:rFonts w:ascii="Arial" w:cs="Arial" w:eastAsia="Arial" w:hAnsi="Arial"/>
          <w:sz w:val="13"/>
          <w:szCs w:val="13"/>
          <w:color w:val="auto"/>
        </w:rPr>
        <w:t>If clinical experience with our iFuse Bedrock technique or iFuse Bedrock Granite does not result in positive outcomes for patients, or if clinical trials involving the use of iFuse Bedrock and/or iFuse Bedrock Granite fail to show meaningful patient benefit, sales of our iFuse, iFuse-3D, iFuse-TORQ and/or iFuse Bedrock Granite implants could be adversely impacted;</w:t>
      </w:r>
    </w:p>
    <w:p>
      <w:pPr>
        <w:spacing w:after="0" w:line="139" w:lineRule="exact"/>
        <w:rPr>
          <w:rFonts w:ascii="Arial" w:cs="Arial" w:eastAsia="Arial" w:hAnsi="Arial"/>
          <w:sz w:val="16"/>
          <w:szCs w:val="16"/>
          <w:color w:val="auto"/>
        </w:rPr>
      </w:pPr>
    </w:p>
    <w:p>
      <w:pPr>
        <w:ind w:left="520" w:hanging="260"/>
        <w:spacing w:after="0"/>
        <w:tabs>
          <w:tab w:leader="none" w:pos="520" w:val="left"/>
        </w:tabs>
        <w:numPr>
          <w:ilvl w:val="0"/>
          <w:numId w:val="2"/>
        </w:numPr>
        <w:rPr>
          <w:rFonts w:ascii="Arial" w:cs="Arial" w:eastAsia="Arial" w:hAnsi="Arial"/>
          <w:sz w:val="14"/>
          <w:szCs w:val="14"/>
          <w:b w:val="1"/>
          <w:bCs w:val="1"/>
          <w:i w:val="1"/>
          <w:iCs w:val="1"/>
          <w:color w:val="auto"/>
        </w:rPr>
      </w:pPr>
      <w:r>
        <w:rPr>
          <w:rFonts w:ascii="Arial" w:cs="Arial" w:eastAsia="Arial" w:hAnsi="Arial"/>
          <w:sz w:val="14"/>
          <w:szCs w:val="14"/>
          <w:color w:val="auto"/>
        </w:rPr>
        <w:t>If we are unable to maintain our network of direct sales representatives and third-party distributors, we may not be able to</w:t>
      </w:r>
    </w:p>
    <w:p>
      <w:pPr>
        <w:spacing w:after="0" w:line="34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4" w:name="page5"/>
    <w:bookmarkEnd w:id="4"/>
    <w:p>
      <w:pPr>
        <w:ind w:left="520"/>
        <w:spacing w:after="0"/>
        <w:rPr>
          <w:sz w:val="20"/>
          <w:szCs w:val="20"/>
          <w:color w:val="auto"/>
        </w:rPr>
      </w:pPr>
      <w:r>
        <w:rPr>
          <w:rFonts w:ascii="Arial" w:cs="Arial" w:eastAsia="Arial" w:hAnsi="Arial"/>
          <w:sz w:val="14"/>
          <w:szCs w:val="14"/>
          <w:color w:val="auto"/>
        </w:rPr>
        <w:t>generate anticipated sales;</w:t>
      </w:r>
    </w:p>
    <w:p>
      <w:pPr>
        <w:spacing w:after="0" w:line="168"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color w:val="auto"/>
        </w:rPr>
        <w:t>Our business could suffer if we lose the services of key members of our senior management, key advisors or personnel;</w:t>
      </w:r>
    </w:p>
    <w:p>
      <w:pPr>
        <w:spacing w:after="0" w:line="178" w:lineRule="exact"/>
        <w:rPr>
          <w:rFonts w:ascii="Arial" w:cs="Arial" w:eastAsia="Arial" w:hAnsi="Arial"/>
          <w:sz w:val="14"/>
          <w:szCs w:val="14"/>
          <w:b w:val="1"/>
          <w:bCs w:val="1"/>
          <w:i w:val="1"/>
          <w:iCs w:val="1"/>
          <w:color w:val="auto"/>
        </w:rPr>
      </w:pPr>
    </w:p>
    <w:p>
      <w:pPr>
        <w:ind w:left="520" w:hanging="260"/>
        <w:spacing w:after="0"/>
        <w:tabs>
          <w:tab w:leader="none" w:pos="520"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color w:val="auto"/>
        </w:rPr>
        <w:t>If use of our products results in adverse events, this may require them to be taken off the market, require them to include safety warnings or otherwise limit their sales;</w:t>
      </w:r>
    </w:p>
    <w:p>
      <w:pPr>
        <w:spacing w:after="0" w:line="167" w:lineRule="exact"/>
        <w:rPr>
          <w:rFonts w:ascii="Arial" w:cs="Arial" w:eastAsia="Arial" w:hAnsi="Arial"/>
          <w:sz w:val="14"/>
          <w:szCs w:val="14"/>
          <w:b w:val="1"/>
          <w:bCs w:val="1"/>
          <w:i w:val="1"/>
          <w:iCs w:val="1"/>
          <w:color w:val="auto"/>
        </w:rPr>
      </w:pPr>
    </w:p>
    <w:p>
      <w:pPr>
        <w:ind w:left="520" w:hanging="260"/>
        <w:spacing w:after="0"/>
        <w:tabs>
          <w:tab w:leader="none" w:pos="520"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color w:val="auto"/>
        </w:rPr>
        <w:t>Various factors outside our direct control may adversely affect manufacturing, sterilization, and distribution of our products;</w:t>
      </w:r>
    </w:p>
    <w:p>
      <w:pPr>
        <w:spacing w:after="0" w:line="167" w:lineRule="exact"/>
        <w:rPr>
          <w:rFonts w:ascii="Arial" w:cs="Arial" w:eastAsia="Arial" w:hAnsi="Arial"/>
          <w:sz w:val="14"/>
          <w:szCs w:val="14"/>
          <w:b w:val="1"/>
          <w:bCs w:val="1"/>
          <w:i w:val="1"/>
          <w:iCs w:val="1"/>
          <w:color w:val="auto"/>
        </w:rPr>
      </w:pPr>
    </w:p>
    <w:p>
      <w:pPr>
        <w:ind w:left="520" w:hanging="260"/>
        <w:spacing w:after="0" w:line="321" w:lineRule="auto"/>
        <w:tabs>
          <w:tab w:leader="none" w:pos="516" w:val="left"/>
        </w:tabs>
        <w:numPr>
          <w:ilvl w:val="0"/>
          <w:numId w:val="3"/>
        </w:numPr>
        <w:rPr>
          <w:rFonts w:ascii="Arial" w:cs="Arial" w:eastAsia="Arial" w:hAnsi="Arial"/>
          <w:sz w:val="13"/>
          <w:szCs w:val="13"/>
          <w:b w:val="1"/>
          <w:bCs w:val="1"/>
          <w:i w:val="1"/>
          <w:iCs w:val="1"/>
          <w:color w:val="auto"/>
        </w:rPr>
      </w:pPr>
      <w:r>
        <w:rPr>
          <w:rFonts w:ascii="Arial" w:cs="Arial" w:eastAsia="Arial" w:hAnsi="Arial"/>
          <w:sz w:val="13"/>
          <w:szCs w:val="13"/>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98" w:lineRule="exact"/>
        <w:rPr>
          <w:rFonts w:ascii="Arial" w:cs="Arial" w:eastAsia="Arial" w:hAnsi="Arial"/>
          <w:sz w:val="13"/>
          <w:szCs w:val="13"/>
          <w:b w:val="1"/>
          <w:bCs w:val="1"/>
          <w:i w:val="1"/>
          <w:iCs w:val="1"/>
          <w:color w:val="auto"/>
        </w:rPr>
      </w:pPr>
    </w:p>
    <w:p>
      <w:pPr>
        <w:ind w:left="520" w:hanging="260"/>
        <w:spacing w:after="0" w:line="265" w:lineRule="auto"/>
        <w:tabs>
          <w:tab w:leader="none" w:pos="516"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color w:val="auto"/>
        </w:rPr>
        <w:t>We, our suppliers, and our third-party manufacturers are subject to extensive governmental regulation both in the U.S. and abroad, and failure to comply with applicable requirements could cause our business to suffer;</w:t>
      </w:r>
    </w:p>
    <w:p>
      <w:pPr>
        <w:spacing w:after="0" w:line="143" w:lineRule="exact"/>
        <w:rPr>
          <w:rFonts w:ascii="Arial" w:cs="Arial" w:eastAsia="Arial" w:hAnsi="Arial"/>
          <w:sz w:val="14"/>
          <w:szCs w:val="14"/>
          <w:b w:val="1"/>
          <w:bCs w:val="1"/>
          <w:i w:val="1"/>
          <w:iCs w:val="1"/>
          <w:color w:val="auto"/>
        </w:rPr>
      </w:pPr>
    </w:p>
    <w:p>
      <w:pPr>
        <w:ind w:left="520" w:hanging="260"/>
        <w:spacing w:after="0" w:line="265" w:lineRule="auto"/>
        <w:tabs>
          <w:tab w:leader="none" w:pos="516"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and</w:t>
      </w:r>
    </w:p>
    <w:p>
      <w:pPr>
        <w:spacing w:after="0" w:line="132" w:lineRule="exact"/>
        <w:rPr>
          <w:rFonts w:ascii="Arial" w:cs="Arial" w:eastAsia="Arial" w:hAnsi="Arial"/>
          <w:sz w:val="14"/>
          <w:szCs w:val="14"/>
          <w:b w:val="1"/>
          <w:bCs w:val="1"/>
          <w:i w:val="1"/>
          <w:iCs w:val="1"/>
          <w:color w:val="auto"/>
        </w:rPr>
      </w:pPr>
    </w:p>
    <w:p>
      <w:pPr>
        <w:ind w:left="520" w:hanging="260"/>
        <w:spacing w:after="0" w:line="281" w:lineRule="auto"/>
        <w:tabs>
          <w:tab w:leader="none" w:pos="516"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214" w:lineRule="exact"/>
        <w:rPr>
          <w:sz w:val="20"/>
          <w:szCs w:val="20"/>
          <w:color w:val="auto"/>
        </w:rPr>
      </w:pPr>
    </w:p>
    <w:p>
      <w:pPr>
        <w:jc w:val="both"/>
        <w:ind w:firstLine="318"/>
        <w:spacing w:after="0" w:line="182" w:lineRule="exact"/>
        <w:rPr>
          <w:sz w:val="20"/>
          <w:szCs w:val="20"/>
          <w:color w:val="auto"/>
        </w:rPr>
      </w:pPr>
      <w:r>
        <w:rPr>
          <w:rFonts w:ascii="Arial" w:cs="Arial" w:eastAsia="Arial" w:hAnsi="Arial"/>
          <w:sz w:val="13"/>
          <w:szCs w:val="13"/>
          <w:color w:val="auto"/>
        </w:rPr>
        <w:t>This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contains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Annual Report on Form 10-K and are subject to a number of risks, uncertainties and assumptions, including those described under the sections in this Annual Report on Form 10-K entitled “Risk Factors” and “Management’s Discussion and Analysis of Financial Condition and Results of Operations.” These forward-looking statements include, but are not limited to, statements about the following:</w:t>
      </w:r>
    </w:p>
    <w:p>
      <w:pPr>
        <w:spacing w:after="0" w:line="120" w:lineRule="exact"/>
        <w:rPr>
          <w:sz w:val="20"/>
          <w:szCs w:val="20"/>
          <w:color w:val="auto"/>
        </w:rPr>
      </w:pPr>
    </w:p>
    <w:p>
      <w:pPr>
        <w:jc w:val="both"/>
        <w:ind w:left="520" w:hanging="260"/>
        <w:spacing w:after="0" w:line="241"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4"/>
          <w:szCs w:val="14"/>
          <w:color w:val="auto"/>
        </w:rPr>
        <w:t>the impact the COVID-19 pandemic and governmental actions taken to combat the COVID-19 pandemic will have on us, including our operations, financial results, liquidity and capital resources, the ability and desire of patients and physicians to undergo and perform such procedures, the duration and any potential resurgence of the COVID-19 pandemic, and whether the COVID-19 pandemic will recur in the future;</w:t>
      </w:r>
    </w:p>
    <w:p>
      <w:pPr>
        <w:spacing w:after="0" w:line="212"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4"/>
          <w:szCs w:val="14"/>
          <w:color w:val="auto"/>
        </w:rPr>
        <w:t>the impact the COVID-19 pandemic has on the global supply chain and our third-party manufacturers and suppliers, which could adversely impact the availability or cost of materials, which could disrupt our supply chain related to implants and instruments.</w:t>
      </w:r>
    </w:p>
    <w:p>
      <w:pPr>
        <w:spacing w:after="0" w:line="117" w:lineRule="exact"/>
        <w:rPr>
          <w:rFonts w:ascii="Arial" w:cs="Arial" w:eastAsia="Arial" w:hAnsi="Arial"/>
          <w:sz w:val="17"/>
          <w:szCs w:val="17"/>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maintain a healthy workforce in light of the ongoing COVID-19 pandemic;</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expectation that a significant portion of our revenues will be derived from sales of the iFuse Implant System, or iFuse;</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develop and commercialize additional revenue opportunities, including new indications for use and new devices;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retain and grow our sales team based on the demand for our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identify, train, and retain surgeons to perform procedures using our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obtain and maintain favorable coverage and reimbursement determinations from third-party payors;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estimates of our market opportunity;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expectations regarding the scope of protection from intellectual property rights covering our products;</w:t>
      </w:r>
    </w:p>
    <w:p>
      <w:pPr>
        <w:spacing w:after="0" w:line="189"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5" w:name="page6"/>
    <w:bookmarkEnd w:id="5"/>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or other proprietary rights;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timing of and results from clinical and other trials;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marketing clearances and authorization from the FDA and regulators in other jurisdictions;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timing of regulatory filings and feedback;</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competition in the markets we serve;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expectations of the reliability and performance of our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expectations of the benefits to patients, providers, and payors of our products;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factors impacting the supply chains we rely on, including the availability of raw materials and skilled labor serving our suppliers, and the cost of these factors of production which may in turn impact the prices we pay for our devices;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reliance on a limited number of suppliers, including sole source suppliers, which may impact the availability of instruments and materials;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sustain or increase demand for our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estimates regarding our costs and risks associated with our international operations and expansion;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expectations regarding our ability to retain and recruit key personnel;</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attract and retain employees, including those with specialized skills and experience;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expectations regarding acquisitions and strategic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access capital 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fund our working capital requirements;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compliance with, and the cost of, federal, state, and foreign regulatory requirements;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factors that may impact our financial results;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anticipated trends and challenges in our business and the markets in which we operate.</w:t>
      </w:r>
    </w:p>
    <w:p>
      <w:pPr>
        <w:spacing w:after="0" w:line="200"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9"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PART I</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1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fusion, fixation and management of pelvic fractures. Our products include a series of patented titanium implants and the instruments used to implant them. Since launching our first generation iFuse in 2009, we have launched three new implant product lines, iFuse-3D in 2017, iFuse-TORQ in 2021 and iFuse Bedrock Granite in 2022. Within the United States, our iFuse, iFuse-3D and iFuse-TORQ implant systems have clearances for applications across sacroiliac joint dysfunction and fusion, adult deformity and degeneration, and pelvic trauma.</w:t>
      </w:r>
    </w:p>
    <w:p>
      <w:pPr>
        <w:spacing w:after="0" w:line="157" w:lineRule="exact"/>
        <w:rPr>
          <w:sz w:val="20"/>
          <w:szCs w:val="20"/>
          <w:color w:val="auto"/>
        </w:rPr>
      </w:pPr>
    </w:p>
    <w:p>
      <w:pPr>
        <w:jc w:val="both"/>
        <w:ind w:firstLine="318"/>
        <w:spacing w:after="0" w:line="349" w:lineRule="auto"/>
        <w:rPr>
          <w:sz w:val="20"/>
          <w:szCs w:val="20"/>
          <w:color w:val="auto"/>
        </w:rPr>
      </w:pPr>
      <w:r>
        <w:rPr>
          <w:rFonts w:ascii="Arial" w:cs="Arial" w:eastAsia="Arial" w:hAnsi="Arial"/>
          <w:sz w:val="12"/>
          <w:szCs w:val="12"/>
          <w:color w:val="auto"/>
        </w:rPr>
        <w:t>We market our products primarily with a direct sales force as well as a number of agents in the U.S., and with a combination of a direct sales force, agents and distributors in other countries. As of December 31, 2022, more than 75,000 procedures have been performed using our products by over 3,000 surgeons in the United States and 38 other countries since we introduced iFuse in 2009.</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and Applications</w:t>
      </w:r>
    </w:p>
    <w:p>
      <w:pPr>
        <w:spacing w:after="0" w:line="204" w:lineRule="exact"/>
        <w:rPr>
          <w:sz w:val="20"/>
          <w:szCs w:val="20"/>
          <w:color w:val="auto"/>
        </w:rPr>
      </w:pPr>
    </w:p>
    <w:p>
      <w:pPr>
        <w:jc w:val="both"/>
        <w:ind w:firstLine="255"/>
        <w:spacing w:after="0" w:line="309" w:lineRule="auto"/>
        <w:rPr>
          <w:sz w:val="20"/>
          <w:szCs w:val="20"/>
          <w:color w:val="auto"/>
        </w:rPr>
      </w:pPr>
      <w:r>
        <w:rPr>
          <w:rFonts w:ascii="Arial" w:cs="Arial" w:eastAsia="Arial" w:hAnsi="Arial"/>
          <w:sz w:val="12"/>
          <w:szCs w:val="12"/>
          <w:color w:val="auto"/>
        </w:rPr>
        <w:t>Our first-generation iFuse, a machined triangular titanium implant launched in 2009, has a triangular cross section that resists twisting or rotation of the implant. The triangular shape of this implant helps stabilize the joint, and the implant’s porous surface facilitates biologic fixation of the bone onto the implant, or bony on-growth and in-growth that results in fusion. The implant has at least three times the strength of a typical eight-millimeter cannulated surgical screw, and the large porous surface area of our implants allows for bony ingrowth. Our second generation iFuse product, the iFuse-3D implant, launched in 2017, is a patented titanium implant that combines the triangular cross-section of the first generation iFuse implant with a proprietary 3D-printed porous surface and</w:t>
      </w:r>
    </w:p>
    <w:p>
      <w:pPr>
        <w:jc w:val="both"/>
        <w:spacing w:after="0" w:line="267" w:lineRule="auto"/>
        <w:rPr>
          <w:sz w:val="20"/>
          <w:szCs w:val="20"/>
          <w:color w:val="auto"/>
        </w:rPr>
      </w:pPr>
      <w:r>
        <w:rPr>
          <w:rFonts w:ascii="Arial" w:cs="Arial" w:eastAsia="Arial" w:hAnsi="Arial"/>
          <w:sz w:val="14"/>
          <w:szCs w:val="14"/>
          <w:color w:val="auto"/>
        </w:rPr>
        <w:t>fenestrated design. This design, with its open and porous structure, also allows the implant to self-harvest bone as it is impacted through the ilium. We hold patents on implants with cross-sections of many non-round shapes, including the triangular shape, as well as the fenestration configuration we use with our iFuse-3D implants. We also hold patents for the method of placing the implant across the sacroiliac joint, as well as other parts of the spine and pelvis.</w:t>
      </w:r>
    </w:p>
    <w:p>
      <w:pPr>
        <w:spacing w:after="0" w:line="152"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3"/>
          <w:szCs w:val="13"/>
          <w:color w:val="auto"/>
        </w:rPr>
        <w:t>In April 2019, we received clearance from the United States Food and Drug Administration, or FDA, to promote the use of our iFuse-3D implants for fusion of the sacroiliac joint in conjunction with multi-level spinal fusion procedures to provide further stabilization and immobilization of the sacroiliac joint, which we call the Bedrock technique. We received CE marking and began marketing iFuse for this indication and surgical technique in Europe in December 2019. In late-2019, we introduced iFuse Bone, an implantable bone product manufactured from sterilized recovered cadaveric bone tissue, to meet the demand of some of our surgeon customers to use implantable bone products to support and augment the patient's own bone tissue in orthopedic procedures. In March 2020, we received FDA 510(k) clearance for an expanded indication for our triangular iFuse implants to support our trauma initiative.</w:t>
      </w:r>
    </w:p>
    <w:p>
      <w:pPr>
        <w:spacing w:after="0" w:line="155"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In February 2021, we launched iFuse-TORQ, a line of 3D-printed threaded implants designed for use in pelvic trauma, as well as applications in sacroiliac joint dysfunction and degeneration. Relative to competitive trauma products, iFuse-TORQ is roughly four times as strong in bending and requires 10 times the rotational force, or torque, to insert due to its porosity and other design features. We believe that this rotational resistance gives surgeons confidence in the strength of mechanical fixation that iFuse-TORQ provides, and that the technological advancements incorporated into iFuse-TORQ represent a significant improvement compared to conventional trauma screws. iFuse-TORQ has a larger surface area for bone in-growth and was specifically designed to allow for osteointegration, or incorporation of the bone in the implant's porous surface and structure. In 2022, the FDA provided clearance for an expanded indication for iFuse-TORQ to include acute, non-acute and non-traumatic fractures as well as for placement across the sacroiliac joint using our Bedrock technique.</w:t>
      </w:r>
    </w:p>
    <w:p>
      <w:pPr>
        <w:spacing w:after="0" w:line="156"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2"/>
          <w:szCs w:val="12"/>
          <w:color w:val="auto"/>
        </w:rPr>
        <w:t>In May 2022, we launched our iFuse Bedrock Granite Implant System. The iFuse Bedrock Granite implant provides sacroiliac fusion and sacropelvic fixation as a foundational element for segmental spinal fusion. The iFuse Bedrock Granite implant has a machined titanium core surrounded by a fusion sleeve that is additively manufactured. The fusion sleeve offers greater surface area for both microporous and macroporous surface features as well as self-harvesting cutting flutes. The fusion sleeve provides numerous means for biological fixation (bony on-growth, in-growth and through-growth). The robust neck and the set screw design also provide more strength and reliability to the iFuse Bedrock Granite implant. Based on the implant's ability to drive fusion and fixation, iFuse Bedrock Granite is designated by the FDA as a breakthrough device. In August 2022, the Centers for Medicare and Medicaid Services, or CMS, issued a final decision for a New Technology Add-on Payment, or NTAP, of up to $9,828 for eligible cases using iFuse Bedrock Granite. The Breakthrough Device Designation and NTAP award were based on the FDA's recognition of iFuse Bedrock Granite as a new technology that can provide substantial clinical improvement over already available therapies. The NTAP became effective October 1, 2022 and will be effective for a period of up to three years and is exclusive to iFuse Bedrock Granite. In December 2022, we received FDA clearance for promotion of general rod compatibility for iFuse Bedrock Granite.</w:t>
      </w:r>
    </w:p>
    <w:p>
      <w:pPr>
        <w:spacing w:after="0" w:line="136"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sectPr>
      </w:pPr>
    </w:p>
    <w:bookmarkStart w:id="7" w:name="page8"/>
    <w:bookmarkEnd w:id="7"/>
    <w:p>
      <w:pPr>
        <w:jc w:val="both"/>
        <w:ind w:firstLine="255"/>
        <w:spacing w:after="0" w:line="321" w:lineRule="auto"/>
        <w:rPr>
          <w:sz w:val="20"/>
          <w:szCs w:val="20"/>
          <w:color w:val="auto"/>
        </w:rPr>
      </w:pPr>
      <w:r>
        <w:rPr>
          <w:rFonts w:ascii="Arial" w:cs="Arial" w:eastAsia="Arial" w:hAnsi="Arial"/>
          <w:sz w:val="13"/>
          <w:szCs w:val="13"/>
          <w:color w:val="auto"/>
        </w:rPr>
        <w:t>In addition to our implants and instruments, we also provide enabling technologies that are cleared and compatible with Medtronic’s surgical navigation systems and Medtronic Mazor surgical robots. We also market decortication and graft delivery systems that allow surgeons to remove intra-articular cartilage and deliver flowable bone graft materials to the SI joint.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214"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As a sacropelvic solutions company, our products have applications across sacroiliac joint dysfunction and degeneration, spinopelvic fixation, and pelvic fractures. We estimate that our total addressable market in the United States is approximately $3.0 billion.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Sacroiliac Joint Dysfunction and Degeneration</w:t>
      </w:r>
    </w:p>
    <w:p>
      <w:pPr>
        <w:spacing w:after="0" w:line="20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Over 30 million American adults are estimated to have chronic lower back pain. Studies indicate that 15% to 30% of patients with chronic low back pain may have symptoms originating with the sacroiliac joint. Our experience in both clinical trials and commercial settings indicates that at least 30% of these patients may be candidates for surgical treatment with our implants. Based on our market experience and internal estimates, and the assumption that the average person suffering from sacroiliac joint dysfunction has been in pain for five years, we estimate that the potential market for sacroiliac joint fusion in the United States could be approximately 279,000 patients for a potential annual market in the United States of approximately $2.4 billion.</w:t>
      </w:r>
    </w:p>
    <w:p>
      <w:pPr>
        <w:spacing w:after="0" w:line="152"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Sacroiliac joint patients may have experienced one or more events that have contributed to disruption and/or degeneration of the sacroiliac joint, such as pregnancy, falls, previous lumbar surgery, automobile accidents, and aging, which may cause degeneration of the cushioning in the joint much like other joints. Patients with sacroiliac joint dysfunction frequently experience significant pain simply from sitting, standing, or rolling over in bed. The pain can be exacerbated with activity - when a patient walks or runs. We believe that approximately 65% of people who suffer from sacroiliac pain are women. Although several non-surgical treatments exist for sacroiliac joint pain, including physical therapy, opiates and non-steroidal anti-inflammatory medications, intra-articular injection of steroid medications and radio frequency ablation, these treatments did not provide long-term pain or disability relief in our randomized controlled clinical trials.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Adult Deformity and Degeneration</w:t>
      </w:r>
    </w:p>
    <w:p>
      <w:pPr>
        <w:spacing w:after="0" w:line="20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4"/>
          <w:szCs w:val="14"/>
          <w:color w:val="auto"/>
        </w:rPr>
        <w:t>To strengthen the base of spinal constructs, spine surgeons have been using longer and larger diameter pedicle screws in iliac and sacro-alar iliac trajectories. Third party data has shown that the use of pedicle screws to anchor to the pelvis has delivered sub-optimal patient outcomes resulting in revision surgeries. Acute set screw failure of sacro-alar iliac screws has been reported in approximately 5% of cases. Screw loosening within the sacrum/ilium is another common failure, occurring in 4-27% of cases and screw fracture has been reported in up to 20% of cases. Building on our experience with the Bedrock technique which we introduced in 2019, we introduced iFuse Bedrock Granite, a novel, patent-protected device designed for the specific demands of the sacro-pelvic anatomy at the end of spinal fusion constructs. We believe there are over 30,000 surgeries involving fixation of five or more spinal segments that involve fixation to the pelvis, which we estimate to be an approximately $250 million annual market opportunity.</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Pelvic Trauma</w:t>
      </w:r>
    </w:p>
    <w:p>
      <w:pPr>
        <w:spacing w:after="0" w:line="20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3"/>
          <w:szCs w:val="13"/>
          <w:color w:val="auto"/>
        </w:rPr>
        <w:t>Current treatment options for pelvic fragility fractures are sub-optimal. Sacroplasty has high rates of cement leakage and therefore lacks consistent coverage by payors. Traditional trauma screws do not integrate with bone and therefore loosen in more than 20% of the cases in which they are used. As a result, most patients are prescribed bed-rest, involving significant capacity and</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financial burdens on the health care system, and a one-year mortality rate range of 14%-27%. With the introduction of iFuse-TORQ in 2021, we are specifically targeting the pelvic trauma market, which we estimate to be an approximately $350 million market opportunity.</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Clinical Evidence</w:t>
      </w:r>
    </w:p>
    <w:p>
      <w:pPr>
        <w:spacing w:after="0" w:line="172"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4"/>
          <w:szCs w:val="14"/>
          <w:color w:val="auto"/>
        </w:rPr>
        <w:t>Our triangular iFuse implants are the only minimally invasive products for sacroiliac joint fusion commercially available in the United States that, to our knowledge, are supported by substantial high-quality published evidence of safety, clinical effectiveness, durability, and economic utility. The safety, effectiveness and cost-effectiveness of our triangular iFuse implants are supported by more than 100 publications and several large prospective clinical studies, including two randomized trials, two large prospective multicenter trials and one long-term follow-up study. Additional long-term independent studies have reported follow-up data as far out as six years.</w:t>
      </w:r>
    </w:p>
    <w:p>
      <w:pPr>
        <w:spacing w:after="0" w:line="160"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9"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i w:val="1"/>
          <w:iCs w:val="1"/>
          <w:color w:val="auto"/>
        </w:rPr>
        <w:t>INSITE</w:t>
      </w:r>
    </w:p>
    <w:p>
      <w:pPr>
        <w:spacing w:after="0" w:line="125"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4"/>
          <w:szCs w:val="14"/>
          <w:color w:val="auto"/>
        </w:rPr>
        <w:t xml:space="preserve">Investigation of Sacroiliac Fusion Treatment (“INSITE”) is a prospective randomized controlled trial conducted in the US. 148 patients with chronic SI joint pain were randomly assigned to immediate SI joint fusion using iFuse implants or individually tailored non-surgical management. In the SI joint fusion group, large improvements were seen in pain, disability related to pain and quality of life. In contrast, in the control group, only small, clinically unimportant improvements in these parameters were observed. Moreover, after six months, more than 90% of subjects still participating in the non-surgical group decided to cross over to SI joint fusion surgery, indicating that non-surgical treatment provided ineffective relief of pain and disability related to pain. Two-year follow-up, published in International Journal of Spine Surgery in August 2016, showed sustained improvements in pain, disability and quality of life in the surgery group, with high levels of satisfaction. An embedded cost-effectiveness analysis within INSITE, </w:t>
      </w:r>
      <w:r>
        <w:rPr>
          <w:rFonts w:ascii="Arial" w:cs="Arial" w:eastAsia="Arial" w:hAnsi="Arial"/>
          <w:sz w:val="14"/>
          <w:szCs w:val="14"/>
          <w:i w:val="1"/>
          <w:iCs w:val="1"/>
          <w:color w:val="auto"/>
        </w:rPr>
        <w:t>Clinicoeconomics and Outcomes Research</w:t>
      </w:r>
      <w:r>
        <w:rPr>
          <w:rFonts w:ascii="Arial" w:cs="Arial" w:eastAsia="Arial" w:hAnsi="Arial"/>
          <w:sz w:val="14"/>
          <w:szCs w:val="14"/>
          <w:color w:val="auto"/>
        </w:rPr>
        <w:t xml:space="preserve"> in December 2015, showed the procedure to be highly cost-effective for the treatment of chronic SI joint pain.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iMIA</w:t>
      </w:r>
    </w:p>
    <w:p>
      <w:pPr>
        <w:spacing w:after="0" w:line="16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4"/>
          <w:szCs w:val="14"/>
          <w:color w:val="auto"/>
        </w:rPr>
        <w:t xml:space="preserve">iMIA iFuse Implant System Minimally Invasive Arthrodesis (“iMIA”) is a second prospective, randomized controlled trial of sacroiliac joint fusion using iFuse compared to non-surgical management with a design very similar to that of INSITE. iMIA was conducted at nine centers in Europe. Results, published in </w:t>
      </w:r>
      <w:r>
        <w:rPr>
          <w:rFonts w:ascii="Arial" w:cs="Arial" w:eastAsia="Arial" w:hAnsi="Arial"/>
          <w:sz w:val="14"/>
          <w:szCs w:val="14"/>
          <w:i w:val="1"/>
          <w:iCs w:val="1"/>
          <w:color w:val="auto"/>
        </w:rPr>
        <w:t>Journal of Bone and Joint Surgery</w:t>
      </w:r>
      <w:r>
        <w:rPr>
          <w:rFonts w:ascii="Arial" w:cs="Arial" w:eastAsia="Arial" w:hAnsi="Arial"/>
          <w:sz w:val="14"/>
          <w:szCs w:val="14"/>
          <w:color w:val="auto"/>
        </w:rPr>
        <w:t xml:space="preserve"> in March 2019, were very similar to INSITE, with large, clinically important and statistically significant improvements in the SI joint fusion group and very few, clinically unimportant changes in the non-surgical control group. Improvements in the surgery group were sustained at 24 months.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SIFI</w:t>
      </w:r>
    </w:p>
    <w:p>
      <w:pPr>
        <w:spacing w:after="0" w:line="16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4"/>
          <w:szCs w:val="14"/>
          <w:color w:val="auto"/>
        </w:rPr>
        <w:t xml:space="preserve">Sacroiliac Joint Fusion with iFuse Implant System (“SIFI”), is a prospective, multicenter single-arm clinical trial conducted at 26 centers in the U.S. Eligibility criteria and endpoints were identical to INSITE. Results from SIFI, published in </w:t>
      </w:r>
      <w:r>
        <w:rPr>
          <w:rFonts w:ascii="Arial" w:cs="Arial" w:eastAsia="Arial" w:hAnsi="Arial"/>
          <w:sz w:val="14"/>
          <w:szCs w:val="14"/>
          <w:i w:val="1"/>
          <w:iCs w:val="1"/>
          <w:color w:val="auto"/>
        </w:rPr>
        <w:t>International Journal of Spine Surgery</w:t>
      </w:r>
      <w:r>
        <w:rPr>
          <w:rFonts w:ascii="Arial" w:cs="Arial" w:eastAsia="Arial" w:hAnsi="Arial"/>
          <w:sz w:val="14"/>
          <w:szCs w:val="14"/>
          <w:color w:val="auto"/>
        </w:rPr>
        <w:t xml:space="preserve"> in April 2016, showed marked, immediate and sustained improvements in pain, disability and quality of life similar to the above two studies. Like the other studies, improvements were sustained at 24 months.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LOIS</w:t>
      </w:r>
    </w:p>
    <w:p>
      <w:pPr>
        <w:spacing w:after="0" w:line="16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4"/>
          <w:szCs w:val="14"/>
          <w:color w:val="auto"/>
        </w:rPr>
        <w:t>Subjects participating in INSITE and SIFI were enrolled in a long-term follow-up study (“LOIS”). Five-year results, published in Medical Devices Evidence and Research in April 2018, showed sustained improvements in pain, disability and quality of life as well as a high satisfaction rate. Moreover, independent radiographic analysis showed a high rate of bony apposition to implants on both the sacral and iliac sides (98%) as well as a high rate of SI joint fusion (88% bridging bone) at five years. There were no reported adverse events related to the study device or procedure at five years.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SALLY</w:t>
      </w:r>
    </w:p>
    <w:p>
      <w:pPr>
        <w:spacing w:after="0" w:line="16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4"/>
          <w:szCs w:val="14"/>
          <w:color w:val="auto"/>
        </w:rPr>
        <w:t>Study of Bone Growth in the Sacroiliac Joint After Minimally Invasive Surgery with Titanium Implants (“SALLY”) is another prospective single-arm clinical study of the same patient population (chronic SI joint pain) who underwent SI joint fusion using iFuse-3D. Two-year results, published in Medical Devices Evidence and Research in June 2021, showed similar improvements in pain, disability and quality of life compared to prior studies of iFuse-3D as well as CT evidence of earlier fusion of the SI joint. The study also showed marked reduction in opioid use and improvement in objective functional tests. The five year follow-up is starting and expected to be completed in late 2024.</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SILVIA</w:t>
      </w:r>
    </w:p>
    <w:p>
      <w:pPr>
        <w:spacing w:after="0" w:line="17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3"/>
          <w:szCs w:val="13"/>
          <w:color w:val="auto"/>
        </w:rPr>
        <w:t>SI Joint Stabilization in Long Fusion to the Pelvis: Randomized Controlled Trial (“SILVIA”) is an ongoing prospective randomized trial of iFuse-3D placement during multilevel spine fusion with fixation to the pelvis. The target patient population of this trial is patients undergoing multilevel spine fusion surgery primarily for degenerative scoliosis of the spine. All participants undergo pelvic fixation. At random, approximately 50% of participants are assigned to additional placement of iFuse-3D in the sacro-alar-iliac trajectory using the Bedrock technique. The goal of this study is to show that placement of iFuse-3D in the Bedrock configuration reduces the rate of postoperative SI joint pain and improves the longevity of pelvic fixation hardware, failures of which are fairly common. Enrollment in this trial was completed in 2022 and follow-up is on going. Long-term results are expected to be completed in 2024.</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SAFFRON</w:t>
      </w:r>
    </w:p>
    <w:p>
      <w:pPr>
        <w:spacing w:after="0" w:line="210" w:lineRule="exact"/>
        <w:rPr>
          <w:sz w:val="20"/>
          <w:szCs w:val="20"/>
          <w:color w:val="auto"/>
        </w:rPr>
      </w:pPr>
    </w:p>
    <w:p>
      <w:pPr>
        <w:jc w:val="both"/>
        <w:ind w:firstLine="318"/>
        <w:spacing w:after="0" w:line="287" w:lineRule="auto"/>
        <w:rPr>
          <w:sz w:val="20"/>
          <w:szCs w:val="20"/>
          <w:color w:val="auto"/>
        </w:rPr>
      </w:pPr>
      <w:r>
        <w:rPr>
          <w:rFonts w:ascii="Arial" w:cs="Arial" w:eastAsia="Arial" w:hAnsi="Arial"/>
          <w:sz w:val="13"/>
          <w:szCs w:val="13"/>
          <w:color w:val="auto"/>
        </w:rPr>
        <w:t>We are currently enrolling subjects in Sacral Fracture Fusion/Fixation for Rapid Rehabilitation ("SAFFRON"), a prospective randomized controlled trial comparing pelvic fracture fixation and SI joint fusion using our iFuse-TORQ device with non-surgical management in patients with debilitating sacral fragility or insufficiency fractures. We anticipate results to be available in late 2024.</w:t>
      </w:r>
    </w:p>
    <w:p>
      <w:pPr>
        <w:spacing w:after="0" w:line="131"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Other Published Clinical Studies</w:t>
      </w:r>
    </w:p>
    <w:p>
      <w:pPr>
        <w:spacing w:after="0" w:line="168"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14"/>
          <w:szCs w:val="14"/>
          <w:color w:val="auto"/>
        </w:rPr>
        <w:t>To date, several independent clinical studies have provided evidence to support the long-term safety and effectiveness of iFuse for SI joint fusion. These studies demonstrated pain reduction and/or ODI improvement that is statistically significant and clinically important and a safety profile that was similar to that observed in prospective studies. One study showed marked reduction in opioid use after SI joint fusion compared to similar subjects who underwent non-surgical treatment, and in whom opioid use increased.</w:t>
      </w:r>
    </w:p>
    <w:p>
      <w:pPr>
        <w:spacing w:after="0" w:line="14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9"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Coverage and Reimbursement</w:t>
      </w:r>
    </w:p>
    <w:p>
      <w:pPr>
        <w:spacing w:after="0" w:line="19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4"/>
          <w:szCs w:val="14"/>
          <w:color w:val="auto"/>
        </w:rPr>
        <w:t>Coverage and reimbursement for procedures using our implants vary by setting of care, payor type and region. Outside the United States, reimbursement levels vary significantly by country and by region within some countries.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4"/>
          <w:szCs w:val="14"/>
          <w:color w:val="auto"/>
        </w:rPr>
        <w:t>In addition to coverage policies, third-party payors regularly update reimbursement amounts and sometimes revise the methodologies used to determine reimbursement amounts. This includes annual updates to payments to physicians, hospitals and ambulatory surgical centers for procedures requiring our products.</w:t>
      </w:r>
    </w:p>
    <w:p>
      <w:pPr>
        <w:spacing w:after="0" w:line="16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Substantially all U.S. payors reimburse for sacroiliac joint fusion, and a significant number of U.S. payors have issued positive coverage policies exclusive to our patented design of triangular titanium implants for sacroiliac joint fusion because of the clinical evidence. We believe that it generally takes between six and 24 months for a surgeon to fully incorporate sacroiliac joint diagnosis and treatment into his or her practice after payors initiate coverage and the surgeon is trained. We believe that the coverage and reimbursement for our procedures is generally adequate given the time and complexity of our procedures.</w:t>
      </w:r>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Healthcare Professional Training and Education</w:t>
      </w:r>
    </w:p>
    <w:p>
      <w:pPr>
        <w:spacing w:after="0" w:line="20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Since our inception, we have made considerable investments in teaching healthcare professionals to accurately diagnose sacroiliac joint disorders. Our surgeon training programs are for orthopedic spine surgeons, neurosurgeons, general orthopedic surgeons, and orthopedic trauma surgeons. Our medical affairs team works with leading spine surgeons to educate other orthopedic and neurosurgeons on the differential diagnosis of sacroiliac joint disorders and the use of our implants. We also work closely with medical specialty societies to raise the awareness of and teach the appropriate diagnosis of sacroiliac joint dysfunction and the associated treatment options.</w:t>
      </w:r>
    </w:p>
    <w:p>
      <w:pPr>
        <w:spacing w:after="0" w:line="167"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We conduct many educational programs for the broader medical community including, primary care physicians, pain management physicians and other healthcare practitioners that may manage a sacroiliac joint patient non-surgically, such as physical therapists and chiropractors. Our educational programs are focusing on helping healthcare professionals learn about the sacroiliac joint as a component of lower back pain, proper diagnosis of SI joint dysfunction, non-surgical treatment options and surgical treatment with our implants. In addition to these general educational programs, we provide continuing education programs focused on SI joint diagnosis and treatment. We can provide these programs in all 50 states and the District of Columbia.</w:t>
      </w:r>
    </w:p>
    <w:p>
      <w:pPr>
        <w:spacing w:after="0" w:line="142"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4"/>
          <w:szCs w:val="14"/>
          <w:color w:val="auto"/>
        </w:rPr>
        <w:t>In early 2020, we implemented a virtual education series for surgeons and mid-level practitioners. In July 2020, we began using the SI-BONE SImulator; an innovative, fully portable surgeon training simulator. The computer-based surgeon training simulator provides quality haptics, or the realistic feel during the surgeon’s use of the implants and instruments, and the training is performed without need for an operating room or a fluoroscope. The simulator is used to train surgeons to perform SI joint injections, sacroiliac joint fusions as well as iFuse Bedrock technique using iFuse-3D and iFuse-TORQ and procedures using iFuse Bedrock Granite. We currently have 25 simulators used worldwide. We utilize the simulators and our existing programs to train new surgeons, increase the knowledge and proficiency of existing iFuse surgeons and re-engage inactive surgeons.</w:t>
      </w:r>
    </w:p>
    <w:p>
      <w:pPr>
        <w:spacing w:after="0" w:line="168"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14"/>
          <w:szCs w:val="14"/>
          <w:color w:val="auto"/>
        </w:rPr>
        <w:t>As of December 31, 2022 and 2021, in the U.S., more than 2,200 surgeons and 1,800 surgeons, respectively, have been trained on our products and have treated at least one patient. Outside the U.S., as of December 31, 2022 and 2021, more than 800 surgeons and 700 surgeons, respectively, have been trained on iFuse and have treated at least one patient. We will continue to pursue the remainder of the approximately 5,300 target surgeons in the United States, as well as international surgeons, for training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Sales and Marketing</w:t>
      </w:r>
    </w:p>
    <w:p>
      <w:pPr>
        <w:spacing w:after="0" w:line="18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We market and sell our implants primarily through a direct sales force and third-party distributors. Our target customer base includes approximately 7,500 surgeons who perform spine and/or pelvic surgery, including orthopedic spine surgeons, neurosurgeons, general orthopedic surgeons, and orthopedic trauma surgeons.</w:t>
      </w:r>
    </w:p>
    <w:p>
      <w:pPr>
        <w:spacing w:after="0" w:line="132"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Our direct sales organization in the United States covered eighteen sales regions as of December 31, 2022. In each region, a number of territory sales managers act as the primary customer contact. Our territory sales managers have extensive training and experience selling medical devices for spine problems and pain management, generally focusing on emerging technologies and markets. For large and/or high volume territories, we also employ territory representatives who cover cases. As of December 31, 2022, our U.S. sales force consisted of 88 territory sales managers and 73 clinical specialists directly employed by us, and 105 third-party distributors. As of December 31, 2022, we had 35 employees working in our European operations across multiple countries. As of December 31, 2022, our international sales force consisted of 18 sales representatives directly employed by us and 30 third-party distributors, which together had sales in 38 countries through December 31, 2022. We intend to continue to grow our specialized sales force to foster relationships with surgeons and support revenue growth.</w:t>
      </w:r>
    </w:p>
    <w:p>
      <w:pPr>
        <w:spacing w:after="0" w:line="13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We believe it is essential to raise awareness among lower back pain sufferers that their symptoms may be the result of sacroiliac joint disorders and that minimally invasive surgical treatments are available. To raise patient awareness, we have implemented targeted marketing, education and direct outreach programs. We continually update our social media initiatives and post content to educate and engage patients who may be candidates for our procedures. We plan to make additional investments to further increase patient awareness, primarily through digital marketing, including paid search, display advertising, social media and public relations.</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remain focused on the development of products and techniques to help surgeons improve the treatment of their patients and anticipate continuing to build products and pursue additional</w:t>
      </w:r>
    </w:p>
    <w:p>
      <w:pPr>
        <w:spacing w:after="0" w:line="41"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indications. Our development team, in consultation with surgeons, has a pipeline of products in various stages to provide solutions that respond to the needs of our surgeon customers and their patients. We plan to seek regulatory clearances for additional indications as required. We anticipate that research and development expenses will continue to increase in the future.</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93"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2"/>
          <w:szCs w:val="12"/>
          <w:color w:val="auto"/>
        </w:rPr>
        <w:t>We believe we are an industry leader in solving musculoskeletal disorders of the sacropelvic anatomy with our proprietary minimally invasive surgical implant systems. Over the past several years, other companies have subsequently recognized the multi-billion addressable market opportunity and have entered the minimally invasive sacroiliac joint fusion market.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create a barrier to entry for us. For example, some of our competitors offer sacroiliac joint fusion products which integrate with their surgical navigation and robotics platforms, enabling navigation of their procedures or performance of aspects of these procedures by surgical robots. Many of these companies also have much larger sales forces than ours, which allow them to reach more surgeons. Other competitors have entered the market with allograft bone implants marketed as human tissue products and intended for</w:t>
      </w:r>
    </w:p>
    <w:p>
      <w:pPr>
        <w:jc w:val="both"/>
        <w:spacing w:after="0" w:line="313" w:lineRule="auto"/>
        <w:rPr>
          <w:sz w:val="20"/>
          <w:szCs w:val="20"/>
          <w:color w:val="auto"/>
        </w:rPr>
      </w:pPr>
      <w:r>
        <w:rPr>
          <w:rFonts w:ascii="Arial" w:cs="Arial" w:eastAsia="Arial" w:hAnsi="Arial"/>
          <w:sz w:val="14"/>
          <w:szCs w:val="14"/>
          <w:color w:val="auto"/>
        </w:rPr>
        <w:t>sacroiliac stabilization and/or fusion. Many of these competitors are smaller companies and target interventional pain and other physicians not trained as orthopedic and neurological surgeons for use of these products. We also expect there to be a continued push for non-surgical alternatives.</w:t>
      </w:r>
    </w:p>
    <w:p>
      <w:pPr>
        <w:spacing w:after="0" w:line="132"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In the United States, we believe that our primary competitors currently are Globus Medical, Inc. and Medtronic plc. Our primary competitors in Europe are Globus Medical and SIGNUS Medizintechnik GmbH. However, these competitors sell screw-based products, which we believe lack the features, evidence and advantages of our implants. We also compete against non-hardware products, such as allograft bone implants. These allograft products comprise human cells or tissues and are generally regulated by the FDA differently from implantable medical devices made of metallic or other non-tissue based materials, unless these competitors' allograft products fail to meet the FDA's criteria for regulation as a human cell or tissue product.</w:t>
      </w:r>
    </w:p>
    <w:p>
      <w:pPr>
        <w:spacing w:after="0" w:line="142"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3" w:name="page14"/>
    <w:bookmarkEnd w:id="13"/>
    <w:p>
      <w:pPr>
        <w:jc w:val="both"/>
        <w:ind w:firstLine="318"/>
        <w:spacing w:after="0" w:line="242" w:lineRule="auto"/>
        <w:rPr>
          <w:sz w:val="20"/>
          <w:szCs w:val="20"/>
          <w:color w:val="auto"/>
        </w:rPr>
      </w:pPr>
      <w:r>
        <w:rPr>
          <w:rFonts w:ascii="Arial" w:cs="Arial" w:eastAsia="Arial" w:hAnsi="Arial"/>
          <w:sz w:val="14"/>
          <w:szCs w:val="14"/>
          <w:color w:val="auto"/>
        </w:rPr>
        <w:t>Based on our commercial experience and market research, we believe our implants are currently used in the majority of minimally invasive surgical fusions of the sacroiliac joint in the United States. Our triangular titanium implant is differentiated from other screw-based technologies on the market. Our triangular iFuse is the only minimally invasive product for sacroiliac joint fusion commercially available in the United States that, to our knowledge, is supported by published clinical evidence including randomized controlled studies that demonstrate the safety, clinical effectiveness, durability, and economic utility. These benefits are supported by more than 100 published papers. We have received exclusive reimbursement coverage in the United States by certain payors based upon our differentiated product and quality of our evidence. We believe these factors provide competitive advantages to us in the market. The following are the primary competitive factors on which companies compete in our industry:</w:t>
      </w:r>
    </w:p>
    <w:p>
      <w:pPr>
        <w:spacing w:after="0" w:line="182" w:lineRule="exact"/>
        <w:rPr>
          <w:sz w:val="20"/>
          <w:szCs w:val="20"/>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 and clinical procedure effectiveness;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ease of surgical technique and use of associated instruments;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safety;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published clinical outcomes and evidence;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sales force effectiveness;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 support and service, and customer service;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comprehensive training, including disease, anatomy, diagnosis and treatment;</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 innovation and the speed of innovation;</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intellectual property;</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accountability and responsiveness to customers’ demands;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scientific (biomechanics) data;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pricing and reimbursement.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protect our intellectual property through our pending patent applications and issued patents. As of December 31, 2022, we had been issued 51 issued U.S. patents and had 32 pending U.S.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patent applications, and we owned 16 issued foreign patents and had 18 pending foreign patent applications. We have focused the majority of our foreign patent efforts in China, Europe, and Japan.</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Our current U.S. patents on iFuse, including the triangular shape, expire in November 2024. Competitors may market similar triangular shaped devices upon the expiration of the patents in late 2024.</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Our current U.S. patents on iFuse-3D, including the fenestrated design, expire in September 2035. Our foreign patents will expire between August 2025 and September 2035.</w:t>
      </w:r>
    </w:p>
    <w:p>
      <w:pPr>
        <w:spacing w:after="0" w:line="168"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As of December 31, 2022, we have 19 registered trademarks in the United States and have filed for four more. We have sought protection for at least two of these trademarks in 60 countries including the 27 European member countries of the Madrid Protocol.</w:t>
      </w:r>
    </w:p>
    <w:p>
      <w:pPr>
        <w:spacing w:after="0" w:line="132"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agreements.</w:t>
      </w:r>
    </w:p>
    <w:p>
      <w:pPr>
        <w:spacing w:after="0" w:line="124"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that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currently unknown to us, which may later result in issued patents that our existing or future products or proprietary technologies may be alleged and/or found to infringe.</w:t>
      </w:r>
    </w:p>
    <w:p>
      <w:pPr>
        <w:spacing w:after="0" w:line="134"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7" w:right="319" w:bottom="1440" w:gutter="0" w:footer="0" w:header="0"/>
        </w:sectPr>
      </w:pPr>
    </w:p>
    <w:bookmarkStart w:id="14" w:name="page15"/>
    <w:bookmarkEnd w:id="14"/>
    <w:p>
      <w:pPr>
        <w:jc w:val="both"/>
        <w:ind w:firstLine="318"/>
        <w:spacing w:after="0" w:line="260" w:lineRule="auto"/>
        <w:rPr>
          <w:sz w:val="20"/>
          <w:szCs w:val="20"/>
          <w:color w:val="auto"/>
        </w:rPr>
      </w:pPr>
      <w:r>
        <w:rPr>
          <w:rFonts w:ascii="Arial" w:cs="Arial" w:eastAsia="Arial" w:hAnsi="Arial"/>
          <w:sz w:val="14"/>
          <w:szCs w:val="14"/>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157"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Regulation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Domestic Regulation of Our Products and Business</w:t>
      </w:r>
    </w:p>
    <w:p>
      <w:pPr>
        <w:spacing w:after="0" w:line="20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4"/>
          <w:szCs w:val="14"/>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(“FDCA”) as implemented and enforced by the FDA.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The FDA governs the following activities that we perform or that are performed on our behalf, to ensure that medical products distributed domestically or exported internationally are safe and effective for their intended uses:</w:t>
      </w:r>
    </w:p>
    <w:p>
      <w:pPr>
        <w:spacing w:after="0" w:line="176" w:lineRule="exact"/>
        <w:rPr>
          <w:sz w:val="20"/>
          <w:szCs w:val="20"/>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 design, research, development, and manufacture;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 safety, testing, labeling, and storage;</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record keeping procedures;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 marketing, promotion, advertising, sales, distribution, export, and import; and</w:t>
      </w:r>
    </w:p>
    <w:p>
      <w:pPr>
        <w:spacing w:after="0" w:line="93" w:lineRule="exact"/>
        <w:rPr>
          <w:rFonts w:ascii="Arial" w:cs="Arial" w:eastAsia="Arial" w:hAnsi="Arial"/>
          <w:sz w:val="14"/>
          <w:szCs w:val="14"/>
          <w:color w:val="auto"/>
        </w:rPr>
      </w:pPr>
    </w:p>
    <w:p>
      <w:pPr>
        <w:ind w:left="320" w:right="1180" w:firstLine="67"/>
        <w:spacing w:after="0" w:line="407" w:lineRule="auto"/>
        <w:tabs>
          <w:tab w:leader="none" w:pos="635" w:val="left"/>
        </w:tabs>
        <w:numPr>
          <w:ilvl w:val="0"/>
          <w:numId w:val="7"/>
        </w:numPr>
        <w:rPr>
          <w:rFonts w:ascii="Arial" w:cs="Arial" w:eastAsia="Arial" w:hAnsi="Arial"/>
          <w:sz w:val="14"/>
          <w:szCs w:val="14"/>
          <w:color w:val="auto"/>
        </w:rPr>
      </w:pPr>
      <w:r>
        <w:rPr>
          <w:rFonts w:ascii="Arial" w:cs="Arial" w:eastAsia="Arial" w:hAnsi="Arial"/>
          <w:sz w:val="14"/>
          <w:szCs w:val="14"/>
          <w:color w:val="auto"/>
        </w:rPr>
        <w:t>post-marketing surveillance, complaint handling, medical device reporting, reporting of deaths, serious injuries or device malfunctions, and repair or recall of products. There are numerous FDA regulatory requirements governing the clearance or approval and marketing of our products. These include:</w:t>
      </w:r>
    </w:p>
    <w:p>
      <w:pPr>
        <w:spacing w:after="0" w:line="69" w:lineRule="exact"/>
        <w:rPr>
          <w:rFonts w:ascii="Arial" w:cs="Arial" w:eastAsia="Arial" w:hAnsi="Arial"/>
          <w:sz w:val="14"/>
          <w:szCs w:val="14"/>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 listing and establishment registration, which helps facilitate FDA inspections and other regulatory action;</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investigational device exemptions to conduct premarket clinical trials, which include extensive monitoring, recordkeeping, and reporting requirements;</w:t>
      </w:r>
    </w:p>
    <w:p>
      <w:pPr>
        <w:spacing w:after="0" w:line="93"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7"/>
        </w:numPr>
        <w:rPr>
          <w:rFonts w:ascii="Arial" w:cs="Arial" w:eastAsia="Arial" w:hAnsi="Arial"/>
          <w:sz w:val="14"/>
          <w:szCs w:val="14"/>
          <w:color w:val="auto"/>
        </w:rPr>
      </w:pPr>
      <w:r>
        <w:rPr>
          <w:rFonts w:ascii="Arial" w:cs="Arial" w:eastAsia="Arial" w:hAnsi="Arial"/>
          <w:sz w:val="14"/>
          <w:szCs w:val="14"/>
          <w:color w:val="auto"/>
        </w:rPr>
        <w:t>Quality System Regulation (“QSR”), which requires manufacturers, including third-party manufacturers, to follow stringent design, testing, control, documentation and other quality assurance procedures during all aspects of the manufacturing process;</w:t>
      </w:r>
    </w:p>
    <w:p>
      <w:pPr>
        <w:spacing w:after="0" w:line="47" w:lineRule="exact"/>
        <w:rPr>
          <w:rFonts w:ascii="Arial" w:cs="Arial" w:eastAsia="Arial" w:hAnsi="Arial"/>
          <w:sz w:val="14"/>
          <w:szCs w:val="14"/>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labeling regulations and FDA prohibitions against the promotion of products for uncleared, unapproved or off-label use or indication;</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clearance of product modifications that could significantly affect safety or effectiveness or that would constitute a major change in intended use of one of our cleared devices;</w:t>
      </w:r>
    </w:p>
    <w:p>
      <w:pPr>
        <w:spacing w:after="0" w:line="105" w:lineRule="exact"/>
        <w:rPr>
          <w:rFonts w:ascii="Arial" w:cs="Arial" w:eastAsia="Arial" w:hAnsi="Arial"/>
          <w:sz w:val="13"/>
          <w:szCs w:val="13"/>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approval of product modifications that affect the safety or effectiveness of one of our approved devices;</w:t>
      </w:r>
    </w:p>
    <w:p>
      <w:pPr>
        <w:spacing w:after="0" w:line="93" w:lineRule="exact"/>
        <w:rPr>
          <w:rFonts w:ascii="Arial" w:cs="Arial" w:eastAsia="Arial" w:hAnsi="Arial"/>
          <w:sz w:val="14"/>
          <w:szCs w:val="14"/>
          <w:color w:val="auto"/>
        </w:rPr>
      </w:pPr>
    </w:p>
    <w:p>
      <w:pPr>
        <w:ind w:left="640" w:hanging="253"/>
        <w:spacing w:after="0" w:line="321" w:lineRule="auto"/>
        <w:tabs>
          <w:tab w:leader="none" w:pos="636" w:val="left"/>
        </w:tabs>
        <w:numPr>
          <w:ilvl w:val="0"/>
          <w:numId w:val="7"/>
        </w:numPr>
        <w:rPr>
          <w:rFonts w:ascii="Arial" w:cs="Arial" w:eastAsia="Arial" w:hAnsi="Arial"/>
          <w:sz w:val="13"/>
          <w:szCs w:val="13"/>
          <w:color w:val="auto"/>
        </w:rPr>
      </w:pPr>
      <w:r>
        <w:rPr>
          <w:rFonts w:ascii="Arial" w:cs="Arial" w:eastAsia="Arial" w:hAnsi="Arial"/>
          <w:sz w:val="13"/>
          <w:szCs w:val="13"/>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24" w:lineRule="exact"/>
        <w:rPr>
          <w:rFonts w:ascii="Arial" w:cs="Arial" w:eastAsia="Arial" w:hAnsi="Arial"/>
          <w:sz w:val="13"/>
          <w:szCs w:val="13"/>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post-approval restrictions or conditions, including post-approval study commitments;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post-market surveillance regulations, which apply when necessary to protect the public health or to provide additional safety and effectiveness data for the device;</w:t>
      </w:r>
    </w:p>
    <w:p>
      <w:pPr>
        <w:spacing w:after="0" w:line="93"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FDA’s recall authority, whereby it can ask, or under certain conditions order, device manufacturers to recall from the market a product that is in violation of governing laws and regulations;</w:t>
      </w:r>
    </w:p>
    <w:p>
      <w:pPr>
        <w:spacing w:after="0" w:line="47" w:lineRule="exact"/>
        <w:rPr>
          <w:rFonts w:ascii="Arial" w:cs="Arial" w:eastAsia="Arial" w:hAnsi="Arial"/>
          <w:sz w:val="14"/>
          <w:szCs w:val="14"/>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regulations pertaining to voluntary recalls;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notices of corrections or removals.</w:t>
      </w:r>
    </w:p>
    <w:p>
      <w:pPr>
        <w:spacing w:after="0" w:line="359"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i w:val="1"/>
          <w:iCs w:val="1"/>
          <w:color w:val="auto"/>
        </w:rPr>
        <w:t>FDA Premarket Clearance and Approval Requirements</w:t>
      </w:r>
    </w:p>
    <w:p>
      <w:pPr>
        <w:spacing w:after="0" w:line="16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Unless an exemption applies, each medical device we wish to commercially distribute in the United States will require either premarket notification, or 510(k), clearance or approval of a pre-market approval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w:t>
      </w:r>
    </w:p>
    <w:p>
      <w:pPr>
        <w:spacing w:after="0" w:line="146"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24"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may place the device, or the particular use of the device, into Class III, and the device sponsor must then fulfill much more rigorous premarketing requirements.</w:t>
      </w:r>
    </w:p>
    <w:p>
      <w:pPr>
        <w:spacing w:after="0" w:line="15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510(k) Clearance</w:t>
      </w:r>
    </w:p>
    <w:p>
      <w:pPr>
        <w:spacing w:after="0" w:line="17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2"/>
          <w:szCs w:val="12"/>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w:t>
      </w:r>
    </w:p>
    <w:p>
      <w:pPr>
        <w:spacing w:after="0" w:line="2" w:lineRule="exact"/>
        <w:rPr>
          <w:sz w:val="20"/>
          <w:szCs w:val="20"/>
          <w:color w:val="auto"/>
        </w:rPr>
      </w:pPr>
    </w:p>
    <w:p>
      <w:pPr>
        <w:ind w:firstLine="5"/>
        <w:spacing w:after="0" w:line="305" w:lineRule="auto"/>
        <w:tabs>
          <w:tab w:leader="none" w:pos="191"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1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By regulation, the FDA has 90 days from acceptance of the 510(k) submission for review to review and issue a determination. As a practical matter, clearance often takes longer. The FDA may require additional information, including clinical data, to make a determination regarding substantial equivalence.</w:t>
      </w:r>
    </w:p>
    <w:p>
      <w:pPr>
        <w:spacing w:after="0" w:line="1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After a device receives 510(k) marketing clearance, any modification that could significantly affect its safety or effectiveness, or that would constitute a major change or modification in its intended use, will require a new 510(k) marketing clearance or, if the modification changes the classification of the product to Class III, PMA approval. The determination as to whether or not a modification could significantly affect the device’s safety or effectiveness is initially left to the manufacturer using available FDA</w:t>
      </w:r>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17" w:name="page18"/>
    <w:bookmarkEnd w:id="17"/>
    <w:p>
      <w:pPr>
        <w:jc w:val="both"/>
        <w:spacing w:after="0" w:line="267" w:lineRule="auto"/>
        <w:rPr>
          <w:sz w:val="20"/>
          <w:szCs w:val="20"/>
          <w:color w:val="auto"/>
        </w:rPr>
      </w:pPr>
      <w:r>
        <w:rPr>
          <w:rFonts w:ascii="Arial" w:cs="Arial" w:eastAsia="Arial" w:hAnsi="Arial"/>
          <w:sz w:val="14"/>
          <w:szCs w:val="14"/>
          <w:color w:val="auto"/>
        </w:rPr>
        <w:t>guidance. Many minor modifications today are accomplished by a “letter to file” in which the manufacturer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is obtained. The manufacturer may also be subject to significant regulatory fines or penalties.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 of Human Cell and Tissue Based Products</w:t>
      </w:r>
    </w:p>
    <w:p>
      <w:pPr>
        <w:spacing w:after="0" w:line="168"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3"/>
          <w:szCs w:val="13"/>
          <w:color w:val="auto"/>
        </w:rPr>
        <w:t>Our iFuse Bone products are derived from human tissue (demineralized bone tissue). The FDA has specific regulations governing human cells, tissues, and cellular and tissue-based products ("HCT/Ps"). HCT/Ps regulated by the FDA under the authority of section 361 of the Public Health Service Act must be not more than minimally manipulated and be for homologous use. They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 Our bone tissue products are regulated as 361 HCT/Ps.</w:t>
      </w:r>
    </w:p>
    <w:p>
      <w:pPr>
        <w:spacing w:after="0" w:line="159"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4"/>
          <w:szCs w:val="14"/>
          <w:color w:val="auto"/>
        </w:rPr>
        <w:t>The AATB has issued operating standards for tissue banking. Accreditation is voluntary, but compliance with these standards is a requirement to become an AATB-accredited tissue establishment. In addition, some states have their own tissue banking regulations. We are licensed or have permits for tissue banking in California, Florida, New York, Maryland, and other states that require specific licensing or registration.</w:t>
      </w:r>
    </w:p>
    <w:p>
      <w:pPr>
        <w:spacing w:after="0" w:line="174" w:lineRule="exact"/>
        <w:rPr>
          <w:sz w:val="20"/>
          <w:szCs w:val="20"/>
          <w:color w:val="auto"/>
        </w:rPr>
      </w:pPr>
    </w:p>
    <w:p>
      <w:pPr>
        <w:jc w:val="both"/>
        <w:ind w:firstLine="509"/>
        <w:spacing w:after="0" w:line="349" w:lineRule="auto"/>
        <w:rPr>
          <w:sz w:val="20"/>
          <w:szCs w:val="20"/>
          <w:color w:val="auto"/>
        </w:rPr>
      </w:pPr>
      <w:r>
        <w:rPr>
          <w:rFonts w:ascii="Arial" w:cs="Arial" w:eastAsia="Arial" w:hAnsi="Arial"/>
          <w:sz w:val="12"/>
          <w:szCs w:val="12"/>
          <w:color w:val="auto"/>
        </w:rPr>
        <w:t>Procurement of certain human organs and tissue for transplantation is subject to the restrictions of the National Organ Transplant Act (NOTA), which prohibits the transfer of certain human organs, including bone tissue for valuable consideration, but permits reasonable payments associated with removal, transportation, implantation, processing, preservation, quality control and storage.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Trials</w:t>
      </w:r>
    </w:p>
    <w:p>
      <w:pPr>
        <w:spacing w:after="0" w:line="179"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14"/>
          <w:szCs w:val="14"/>
          <w:color w:val="auto"/>
        </w:rPr>
        <w:t>Clinical trials are generally required to support a PMA application and are sometimes required for 510(k) clearance. Such trials for implanted devices such as iFuse generally require an investigational device exemption application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(“IRB”), and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 risk devices, by the ministry of health in the applicable country.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Pervasive and Continuing Regulation</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After a device is placed on the market, numerous regulatory requirements continue to apply. These include:</w:t>
      </w:r>
    </w:p>
    <w:p>
      <w:pPr>
        <w:spacing w:after="0" w:line="200" w:lineRule="exact"/>
        <w:rPr>
          <w:sz w:val="20"/>
          <w:szCs w:val="20"/>
          <w:color w:val="auto"/>
        </w:rPr>
      </w:pPr>
    </w:p>
    <w:p>
      <w:pPr>
        <w:ind w:left="640" w:hanging="253"/>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Product listing and establishment registration, which helps facilitate FDA inspections and other regulatory action;</w:t>
      </w:r>
    </w:p>
    <w:p>
      <w:pPr>
        <w:spacing w:after="0" w:line="93"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9"/>
        </w:numPr>
        <w:rPr>
          <w:rFonts w:ascii="Arial" w:cs="Arial" w:eastAsia="Arial" w:hAnsi="Arial"/>
          <w:sz w:val="14"/>
          <w:szCs w:val="14"/>
          <w:color w:val="auto"/>
        </w:rPr>
      </w:pPr>
      <w:r>
        <w:rPr>
          <w:rFonts w:ascii="Arial" w:cs="Arial" w:eastAsia="Arial" w:hAnsi="Arial"/>
          <w:sz w:val="14"/>
          <w:szCs w:val="14"/>
          <w:color w:val="auto"/>
        </w:rPr>
        <w:t>QSR, which requires manufacturers, including third-party manufacturers, to follow stringent design, testing, control, documentation, and other quality assurance procedures during all aspects of the manufacturing process;</w:t>
      </w:r>
    </w:p>
    <w:p>
      <w:pPr>
        <w:spacing w:after="0" w:line="47" w:lineRule="exact"/>
        <w:rPr>
          <w:rFonts w:ascii="Arial" w:cs="Arial" w:eastAsia="Arial" w:hAnsi="Arial"/>
          <w:sz w:val="14"/>
          <w:szCs w:val="14"/>
          <w:color w:val="auto"/>
        </w:rPr>
      </w:pPr>
    </w:p>
    <w:p>
      <w:pPr>
        <w:ind w:left="640" w:hanging="253"/>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labeling regulations and FDA prohibitions against the promotion of products for uncleared, unapproved or off-label use or indications;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clearance of product modifications that could significantly affect safety or effectiveness or that would constitute a major change in intended use of one of our cleared devices;</w:t>
      </w:r>
    </w:p>
    <w:p>
      <w:pPr>
        <w:spacing w:after="0" w:line="105" w:lineRule="exact"/>
        <w:rPr>
          <w:rFonts w:ascii="Arial" w:cs="Arial" w:eastAsia="Arial" w:hAnsi="Arial"/>
          <w:sz w:val="13"/>
          <w:szCs w:val="13"/>
          <w:color w:val="auto"/>
        </w:rPr>
      </w:pPr>
    </w:p>
    <w:p>
      <w:pPr>
        <w:ind w:left="640" w:hanging="253"/>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approval of product modifications that affect the safety or effectiveness of one of our approved devices;</w:t>
      </w:r>
    </w:p>
    <w:p>
      <w:pPr>
        <w:spacing w:after="0" w:line="93" w:lineRule="exact"/>
        <w:rPr>
          <w:rFonts w:ascii="Arial" w:cs="Arial" w:eastAsia="Arial" w:hAnsi="Arial"/>
          <w:sz w:val="14"/>
          <w:szCs w:val="14"/>
          <w:color w:val="auto"/>
        </w:rPr>
      </w:pPr>
    </w:p>
    <w:p>
      <w:pPr>
        <w:ind w:left="640" w:hanging="253"/>
        <w:spacing w:after="0" w:line="321" w:lineRule="auto"/>
        <w:tabs>
          <w:tab w:leader="none" w:pos="636" w:val="left"/>
        </w:tabs>
        <w:numPr>
          <w:ilvl w:val="0"/>
          <w:numId w:val="9"/>
        </w:numPr>
        <w:rPr>
          <w:rFonts w:ascii="Arial" w:cs="Arial" w:eastAsia="Arial" w:hAnsi="Arial"/>
          <w:sz w:val="13"/>
          <w:szCs w:val="13"/>
          <w:color w:val="auto"/>
        </w:rPr>
      </w:pPr>
      <w:r>
        <w:rPr>
          <w:rFonts w:ascii="Arial" w:cs="Arial" w:eastAsia="Arial" w:hAnsi="Arial"/>
          <w:sz w:val="13"/>
          <w:szCs w:val="13"/>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24" w:lineRule="exact"/>
        <w:rPr>
          <w:rFonts w:ascii="Arial" w:cs="Arial" w:eastAsia="Arial" w:hAnsi="Arial"/>
          <w:sz w:val="13"/>
          <w:szCs w:val="13"/>
          <w:color w:val="auto"/>
        </w:rPr>
      </w:pPr>
    </w:p>
    <w:p>
      <w:pPr>
        <w:ind w:left="640" w:hanging="253"/>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post-approval restrictions or conditions, including post-approval study commitments;</w:t>
      </w:r>
    </w:p>
    <w:p>
      <w:pPr>
        <w:spacing w:after="0" w:line="359"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18" w:name="page19"/>
    <w:bookmarkEnd w:id="18"/>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post-market surveillance regulations, which apply when necessary to protect the public health or to provide additional safety and effectiveness data for the device;</w:t>
      </w:r>
    </w:p>
    <w:p>
      <w:pPr>
        <w:spacing w:after="0" w:line="93" w:lineRule="exact"/>
        <w:rPr>
          <w:rFonts w:ascii="Arial" w:cs="Arial" w:eastAsia="Arial" w:hAnsi="Arial"/>
          <w:sz w:val="14"/>
          <w:szCs w:val="14"/>
          <w:color w:val="auto"/>
        </w:rPr>
      </w:pPr>
    </w:p>
    <w:p>
      <w:pPr>
        <w:ind w:left="640" w:hanging="253"/>
        <w:spacing w:after="0" w:line="281" w:lineRule="auto"/>
        <w:tabs>
          <w:tab w:leader="none" w:pos="63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FDA’s recall authority, whereby it can ask, or under certain conditions order, device manufacturers to recall from the market a product that is in violation of governing laws and regulations;</w:t>
      </w:r>
    </w:p>
    <w:p>
      <w:pPr>
        <w:spacing w:after="0" w:line="47"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regulations pertaining to voluntary recalls; and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notices of corrections or removals.</w:t>
      </w:r>
    </w:p>
    <w:p>
      <w:pPr>
        <w:spacing w:after="0" w:line="17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We have registered our facility with the FDA as a medical device manufacturer. The FDA has broad post-market and regulatory enforcement powers. We are subject to announced and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252" w:lineRule="exact"/>
        <w:rPr>
          <w:sz w:val="20"/>
          <w:szCs w:val="20"/>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untitled letters, warning letters, fines, injunctions, consent decrees, and civil penalties;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unanticipated expenditures to address or defend such actions;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customer notifications for repair, replacement, refunds;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recall, detention or seizure of our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operating restrictions or partial suspension or total shutdown of production;</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refusing or delaying our requests for 510(k) clearance or PMA approval of new products or modified products;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operating restrictions;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withdrawing 510(k) clearances or PMA approvals that have already been granted;</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refusal to grant export approval for our products; or</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criminal prosecution.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Promotional Materials - “Off-Label” Promotion</w:t>
      </w:r>
    </w:p>
    <w:p>
      <w:pPr>
        <w:spacing w:after="0" w:line="179"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we could be subject to additional significant penalties, such as exclusion from participation in federal healthcare programs, and our reputation could be damaged and adoption of the products would be impaired.</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addition, under the federal Lanham Act and similar state laws, competitors, and others can initiate litigation relating to advertising claims.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International Regulation of Our Products</w:t>
      </w:r>
    </w:p>
    <w:p>
      <w:pPr>
        <w:spacing w:after="0" w:line="17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Our research, development and clinical programs, as well as our manufacturing and marketing operations, are subject to extensive regulation in other countries. For example, in the European Economic Area (“EEA”) our devices are currently required to comply with the Medical Device Regulation (Regulations 2017/745) in the EU Member States, Iceland, Lichtenstein and Norway. The Medical Device Regulation is, among other things, intended to establish a uniform, transparent, predictable and sustainable regulatory framework across the EEA for medical devices and ensure a high level of safety and health while supporting innovation. The Medical Device Regulation, among other things:</w:t>
      </w:r>
    </w:p>
    <w:p>
      <w:pPr>
        <w:spacing w:after="0" w:line="146"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strengthens the rules on placing medical devices on the market and reinforce surveillance once they are available;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establishes explicit provisions on manufacturers’ responsibilities for the follow-up of the quality, performance and safety of devices placed on the market;</w:t>
      </w: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9" w:name="page20"/>
    <w:bookmarkEnd w:id="19"/>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improves the traceability of medical devices throughout the supply chain to the end-user or patient through a unique identification number;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sets up a central database to provide patients, healthcare professionals and the public with comprehensive information on products available in the European Union;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strengthens the rules for the assessment of certain high-risk devices, such as implants, which may have to undergo an additional check by experts before they are placed on the market.</w:t>
      </w:r>
    </w:p>
    <w:p>
      <w:pPr>
        <w:spacing w:after="0" w:line="190"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The Medical Device Regulation substantially augments those aspects of the Medical Device Directive governing clinical investigations of medical devices.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exist to compensate clinical investigation participants who are harmed in that jurisdiction due to their participation.</w:t>
      </w:r>
    </w:p>
    <w:p>
      <w:pPr>
        <w:spacing w:after="0" w:line="124"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Further, the advertising and promotion of our products in the EEA is currently subject to the provisions of Directive 2006/114/EC concerning misleading and comparative advertising, Directive 2005/29/EC on unfair commercial practices, and the Medical Device Regulation,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Status</w:t>
      </w:r>
    </w:p>
    <w:p>
      <w:pPr>
        <w:spacing w:after="0" w:line="17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In November 2008, we received 510(k) clearance to market our first generation iFuse implant from the FDA. Since 2008, we have received additional FDA 510(k) clearances for new instruments, additional implant sizes and labeling changes. In the United States, our first-generation iFuse implants and our iFuse-3D implants are intended for sacroiliac fusion for the following conditions: sacroiliac joint dysfunction that is a direct result of sacroiliac joint disruptions and degenerative sacroiliitis, which includes conditions where symptoms began during pregnancy or in the peripartum period and have persisted postpartum for more than six months; to augment immobilization and stabilization of the sacroiliac joint in skeletally mature patients undergoing sacropelvic fixation as part of a lumbar or thoracolumbar fusion; and acute, non-acute, and non-traumatic fractures involving the sacroiliac joint.</w:t>
      </w:r>
    </w:p>
    <w:p>
      <w:pPr>
        <w:spacing w:after="0" w:line="14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In February 2021, we received 510(k) clearance to market our iFuse-TORQ from the FDA. In the United States, iFuse-TORQ is intended for fusion of the sacroiliac joint for sacroiliac joint dysfunction including sacroiliac joint disruption and degenerative sacroilitis; and for fracture fixation of small and large bones of the pelvis.</w:t>
      </w:r>
    </w:p>
    <w:p>
      <w:pPr>
        <w:spacing w:after="0" w:line="12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4"/>
          <w:szCs w:val="14"/>
          <w:color w:val="auto"/>
        </w:rPr>
        <w:t>In June 2022, we received an additional 510(k) clearance from the FDA to extend the use of iFuse-TORQ to include fragility fractures. This clearance opens a new population that can benefit from SI joint fusion and fracture fixation using iFuse-TORQ.</w:t>
      </w:r>
    </w:p>
    <w:p>
      <w:pPr>
        <w:spacing w:after="0" w:line="16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4"/>
          <w:szCs w:val="14"/>
          <w:color w:val="auto"/>
        </w:rPr>
        <w:t>In September 2022, we received 510(k) clearance from the FDA for use of iFuse-TORQ using the Bedrock technique. This clearance allows us to promote the use of a threaded implant (iFuse-TORQ) in a trajectory that is familiar to surgeons through a previous clearance for the same use for iFuse-3D.</w:t>
      </w:r>
    </w:p>
    <w:p>
      <w:pPr>
        <w:spacing w:after="0" w:line="154"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4"/>
          <w:szCs w:val="14"/>
          <w:color w:val="auto"/>
        </w:rPr>
        <w:t>In May 2022, we received 510(k) clearance from the FDA for iFuse Bedrock Granite. This implant combines benefits of a pelvic fixation screw with attachment to posterior rods of pedicle screw systems and simultaneous fusion of the SI joint related to the device’s porous surface. This device previously received breakthrough device designation from the FDA in November 2021. The combination of breakthrough designation and FDA clearance allowed us to obtain a new technology add-on payment (NTAP) from CMS. NTAP provides an additional payment to hospitals for eligible cases that use iFuse Bedrock Granite.</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the future, we plan to pursue additional 510(k) clearances for new products and changes to the current indication for iFuse.</w:t>
      </w:r>
    </w:p>
    <w:p>
      <w:pPr>
        <w:spacing w:after="0" w:line="16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In November 2010, we obtained a CE Certificate of Conformity and affixed a CE mark to our iFuse Implant System to allow commercialization of our triangular iFuse implants in the EEA. In the EEA and Switzerland, iFuse is intended for sacroiliac joint fusion, including use in high and low energy fractures of the pelvic ring. Since 2010, we have added additional instruments, implant sizes and labeling updates and iFuse-3D, our second generation iFuse implant, to our product offerings in Europe. We plan to continue to work with our Notified Body to incorporate new products and labeling updates in our Technical Files for CE marking in Europe.</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3"/>
          <w:szCs w:val="13"/>
          <w:color w:val="auto"/>
        </w:rPr>
        <w:t>As of January 1, 2021, the United Kingdom has entered a transition period following Brexit. During that period, the UK Medical Devices Regulations (UK MDR) 2002 remains applicable in England, Scotland and Wales (Great Britain). During 2021, a UK Responsible Person was appointed and we registered the iFuse Implant System with the Medicines and Healthcare products regulatory agency. Valid CE marks will continue to be accepted in Great Britain and the requirement to obtain a UK Conformity Assessed (UKCA) mark has been delayed until July 2024.</w:t>
      </w: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0" w:name="page21"/>
    <w:bookmarkEnd w:id="20"/>
    <w:p>
      <w:pPr>
        <w:jc w:val="both"/>
        <w:ind w:firstLine="318"/>
        <w:spacing w:after="0" w:line="251" w:lineRule="auto"/>
        <w:rPr>
          <w:sz w:val="20"/>
          <w:szCs w:val="20"/>
          <w:color w:val="auto"/>
        </w:rPr>
      </w:pPr>
      <w:r>
        <w:rPr>
          <w:rFonts w:ascii="Arial" w:cs="Arial" w:eastAsia="Arial" w:hAnsi="Arial"/>
          <w:sz w:val="14"/>
          <w:szCs w:val="14"/>
          <w:color w:val="auto"/>
        </w:rPr>
        <w:t>As of May 26, 2021, the European Union no longer applies the Mutual Recognition Agreement between the EEA and Switzerland. Accordingly, manufacturers outside of Switzerland are required to appoint a Swiss authorized representative in compliance with the Swiss Medical Device Ordinance. As a consequence, we have appointed an authorized representative in Switzerland and continue to work to meet Swiss requirements for the import of medical devices.</w:t>
      </w:r>
    </w:p>
    <w:p>
      <w:pPr>
        <w:spacing w:after="0" w:line="16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4"/>
          <w:szCs w:val="14"/>
          <w:color w:val="auto"/>
        </w:rPr>
        <w:t>We maintain approval for iFuse in regions beyond the United States and the EEA, including Australia, New Zealand, Hong Kong, and Israel. We are currently collecting information to determine our regulatory strategy in Japan.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Regulations</w:t>
      </w:r>
    </w:p>
    <w:p>
      <w:pPr>
        <w:spacing w:after="0" w:line="179"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We outsource substantially all the manufacturing of our products, therefore we have not incurred significant expenses relating to our compliance with federal, state, or local environmental laws and do not expect to incur significant expenses in the foreseeable future. However, due to the nature of our operations and the frequently changing nature of environmental compliance standards and technology, we cannot predict with any certainty that future material capital or operating expenditures will not be required in order to comply with applicable environmental laws and regulations.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Healthcare Fraud and Abuse</w:t>
      </w:r>
    </w:p>
    <w:p>
      <w:pPr>
        <w:spacing w:after="0" w:line="183"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purchasers and prescribers of our products. Federal healthcare fraud and abuse laws apply to our business when a customer submits a claim for an item or service that is reimbursable under Medicare, Medicaid, or other federally funded healthcare programs. The laws that may affect our ability to operate include:</w:t>
      </w:r>
    </w:p>
    <w:p>
      <w:pPr>
        <w:spacing w:after="0" w:line="131" w:lineRule="exact"/>
        <w:rPr>
          <w:sz w:val="20"/>
          <w:szCs w:val="20"/>
          <w:color w:val="auto"/>
        </w:rPr>
      </w:pPr>
    </w:p>
    <w:p>
      <w:pPr>
        <w:jc w:val="both"/>
        <w:ind w:left="520" w:hanging="260"/>
        <w:spacing w:after="0" w:line="288" w:lineRule="auto"/>
        <w:tabs>
          <w:tab w:leader="none" w:pos="516"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lease, order, arrangement for, or recommendation of, items or services for which payment may be made, in whole or in part, under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or a specific intent to violate, the law;</w:t>
      </w:r>
    </w:p>
    <w:p>
      <w:pPr>
        <w:spacing w:after="0" w:line="131" w:lineRule="exact"/>
        <w:rPr>
          <w:rFonts w:ascii="Arial" w:cs="Arial" w:eastAsia="Arial" w:hAnsi="Arial"/>
          <w:sz w:val="13"/>
          <w:szCs w:val="13"/>
          <w:color w:val="auto"/>
        </w:rPr>
      </w:pPr>
    </w:p>
    <w:p>
      <w:pPr>
        <w:jc w:val="both"/>
        <w:ind w:left="520" w:hanging="260"/>
        <w:spacing w:after="0" w:line="284" w:lineRule="auto"/>
        <w:tabs>
          <w:tab w:leader="none" w:pos="516" w:val="left"/>
        </w:tabs>
        <w:numPr>
          <w:ilvl w:val="0"/>
          <w:numId w:val="14"/>
        </w:numPr>
        <w:rPr>
          <w:rFonts w:ascii="Arial" w:cs="Arial" w:eastAsia="Arial" w:hAnsi="Arial"/>
          <w:sz w:val="13"/>
          <w:szCs w:val="13"/>
          <w:color w:val="auto"/>
        </w:rPr>
      </w:pPr>
      <w:r>
        <w:rPr>
          <w:rFonts w:ascii="Arial" w:cs="Arial" w:eastAsia="Arial" w:hAnsi="Arial"/>
          <w:sz w:val="13"/>
          <w:szCs w:val="13"/>
          <w:color w:val="auto"/>
        </w:rPr>
        <w:t xml:space="preserve">the federal civil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Actions under the False Claims Act may be brought by the government or as a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by a private individual in the name of the government and to share in any monetary recovery. There are also criminal penalties for making or presenting a false or fictitious or fraudulent claim to the federal government;</w:t>
      </w:r>
    </w:p>
    <w:p>
      <w:pPr>
        <w:spacing w:after="0" w:line="134" w:lineRule="exact"/>
        <w:rPr>
          <w:rFonts w:ascii="Arial" w:cs="Arial" w:eastAsia="Arial" w:hAnsi="Arial"/>
          <w:sz w:val="13"/>
          <w:szCs w:val="13"/>
          <w:color w:val="auto"/>
        </w:rPr>
      </w:pPr>
    </w:p>
    <w:p>
      <w:pPr>
        <w:jc w:val="both"/>
        <w:ind w:left="520" w:hanging="260"/>
        <w:spacing w:after="0" w:line="262"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35" w:lineRule="exact"/>
        <w:rPr>
          <w:rFonts w:ascii="Arial" w:cs="Arial" w:eastAsia="Arial" w:hAnsi="Arial"/>
          <w:sz w:val="14"/>
          <w:szCs w:val="14"/>
          <w:color w:val="auto"/>
        </w:rPr>
      </w:pPr>
    </w:p>
    <w:p>
      <w:pPr>
        <w:jc w:val="both"/>
        <w:ind w:left="520" w:hanging="260"/>
        <w:spacing w:after="0" w:line="263" w:lineRule="auto"/>
        <w:tabs>
          <w:tab w:leader="none" w:pos="516"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federal Physician Payment Sunshine Act, implemented by the Centers for Medicare &amp; Medicaid Services (“CMS”) as the Open Payments program, which requires manufacturers of drugs, devices, biologics and medical supplies for which payment is available under Medicare, Medicaid, or the Children’s Health Insurance Program to report annually to the CMS, information related to payments and other “transfers of value” made to physicians (currently defined to include doctors, dentists, optometrists, podiatrists and chiropractors), other healthcare professionals (including physician assistants and nurse practitioners), and teaching hospitals, and requires applicable manufacturers to report annually to CMS ownership and investment interests held by physicians and their immediate family members and payments or other “transfers of value” to such physician owners;</w:t>
      </w:r>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21" w:name="page22"/>
    <w:bookmarkEnd w:id="21"/>
    <w:p>
      <w:pPr>
        <w:jc w:val="both"/>
        <w:ind w:left="520" w:hanging="260"/>
        <w:spacing w:after="0" w:line="284" w:lineRule="auto"/>
        <w:tabs>
          <w:tab w:leader="none" w:pos="516"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analogous state and foreign law equivalents of each of the above federal laws, such as anti-kickback and false claims laws, which may apply to items or services reimbursed by any third-party payor, including commercial insurers and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3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If we or our employees are found to have violated any of the above laws we may be subject to significant administrative, civil and criminal penalties, including imprisonment, exclusion from participation in federal health care programs, such as Medicare and Medicaid, significant fines, monetary penalties and damages, the restructuring or curtailment of our operations, imposition of compliance obligations and monitoring, and damage to our reputation. For a more detailed description of the federal and state health care fraud and abuse laws, see the risk factor “We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in the Risks Related to Our Legal and Regulatory Environment section of Item 1A of this Annual Report on Form 10-K.</w:t>
      </w:r>
    </w:p>
    <w:p>
      <w:pPr>
        <w:spacing w:after="0" w:line="1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U.S. Foreign Corrupt Practices Act (“FCPA”) and similar anti-bribery laws in other countries, such as the United Kingdom Bribery Act (“UKBA”), generally prohibit companies and their intermediaries from making improper payments to government officials and/or other persons for the purpose of obtaining or retaining business. Our policies mandate compliance with these anti-bribery laws.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Both the federal and state governments in the U.S. and foreign governments continue to propose and pass new legislation and regulations designed to contain or reduce the cost of healthcare.</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Such legislation and regulations may result in decreased reimbursement for medical devices, which may further exacerbate industry-wide pressure to reduce the prices charged for medical devices.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Data Privacy and Security Laws</w:t>
      </w:r>
    </w:p>
    <w:p>
      <w:pPr>
        <w:spacing w:after="0" w:line="183"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the Health Insurance Portability and Accountability Act, and its implementing regulations, as amended by Health Information Technology for Economic and Clinical Health Act enacted under the American Recovery and Reinvestment Act 2009 (“ARRA”) (collectively, “HIPAA”), in the United States.</w:t>
      </w:r>
    </w:p>
    <w:p>
      <w:pPr>
        <w:spacing w:after="0" w:line="12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4"/>
          <w:szCs w:val="14"/>
          <w:color w:val="auto"/>
        </w:rPr>
        <w:t>HIPAA imposes obligations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HIPAA also requires the notification of patients, reporting to the U.S. Department of Health and Human Services (“HHS”), and other compliance actions, in the event of a breach of unsecured Protected Health Information (“PHI”). Required notification must be provided without unreasonable delay and in no event later than 60 calendar days after discovery of the breach, under HIPAA. In addition, if the PHI of 500 or more individuals is improperly used or disclosed, HHS would post the notification on its website, and we may be required to notify the media. Failure to comply with the HIPAA privacy and security standards can result in significant civil monetary penalties, and, in certain circumstances, criminal penalties, including imprisonment.</w:t>
      </w:r>
    </w:p>
    <w:p>
      <w:pPr>
        <w:spacing w:after="0" w:line="14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In addition, even when HIPAA does not apply other federal and state laws impose security obligations. For example, according to the Federal Trade Commission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22" w:name="page23"/>
    <w:bookmarkEnd w:id="22"/>
    <w:p>
      <w:pPr>
        <w:jc w:val="both"/>
        <w:ind w:firstLine="318"/>
        <w:spacing w:after="0" w:line="282" w:lineRule="auto"/>
        <w:rPr>
          <w:sz w:val="20"/>
          <w:szCs w:val="20"/>
          <w:color w:val="auto"/>
        </w:rPr>
      </w:pPr>
      <w:r>
        <w:rPr>
          <w:rFonts w:ascii="Arial" w:cs="Arial" w:eastAsia="Arial" w:hAnsi="Arial"/>
          <w:sz w:val="13"/>
          <w:szCs w:val="13"/>
          <w:color w:val="auto"/>
        </w:rPr>
        <w:t>In the European Union (“EU”), we are subject to laws relating to our collection, control, processing and other use of personal data (i.e. data relating to an identifiable living individual). We process personal data in relation to our operations. We process data of our employees, consultants, certain individuals who may be affiliated with our customers, including physician users of our products and, in the context of clinical investigations, patients. The personal data may include sensitive personal data including health information. The data privacy regime in the EU includes the EU General Data Protection Regulation, or the GDPR, effective on May 25, 2018 and the E-Privacy Directive 2002/58/EC and the national laws implementing it. Each EU Member State may adopt additional legislation implementing these regulations into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34"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14"/>
          <w:szCs w:val="14"/>
          <w:color w:val="auto"/>
        </w:rPr>
        <w:t>The GDPR is directly applicable in each EU Member State. This should, in principle, result in a more uniform application of data privacy laws across the EU. The GDPR imposes onerous accountability obligations requiring data controllers and processors to maintain a record of their data processing and policies. It requires data controllers to be transparent and to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Each EU Member State may also adopt additional related legislation and guidance in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52"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We are subject to the supervision of local data protection authorities in those jurisdictions where we are established or otherwise subject to applicable law. We depend on a number of third parties in relation to our provision of our services, a number of which process personal data on our behalf. With each such provider we enter into contractual arrangements to ensure that they only process personal data according to our instructions and applicable laws, and that they have sufficient technical and organizational security measures in place to fulfil their related obligations.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auto"/>
        </w:rPr>
        <w:t>Manufacturing and Supply</w:t>
      </w:r>
    </w:p>
    <w:p>
      <w:pPr>
        <w:spacing w:after="0" w:line="18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use third-party manufacturers to produce our implants and instruments. To mitigate supply risk, we use a rolling twelve month forecast and take into consideration production lead times to maintain adequate levels of inventory for both our iFuse-3D and iFuse-TORQ. Most of our instruments have secondary manufacturing suppliers and we continually work with additional manufacturers as our secondary suppliers. Substantially all of our products, including all of our implants, are manufactured in the United States.</w:t>
      </w:r>
    </w:p>
    <w:p>
      <w:pPr>
        <w:spacing w:after="0" w:line="142"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Our primarily supplier for iFuse-3D and iFuse-TORQ is rms Company ("RMS"). We entered into a non-exclusive Manufacturing, Quality and Supply Agreement with RMS in January 2017, which was amended in July 2020, and amended and restated in June 2021. Pursuant to this agreement, RMS manufactures certain of our implants in accordance with our specifications, including both purchased and sterilized implants, as well as uncoated machined implants which are subsequently coated to become our finished first generation iFuse implants. While the agreement provides that we are required to purchase the amounts forecasted in a blanket purchase order, we are not required to purchase product in excess of such forecasted amounts. The prices we pay for products are fixed under the agreement provided that if order volumes deviate from forecasted amounts beyond certain thresholds, we or RMS may request to negotiate further price changes. The agreement automatically renews for successive one-year periods; provided, however, the agreement may be terminated early by either party, as specified in the agreement. RMS is currently our only supplier of iFuse-3D and iFuse-TORQ implants.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iFuse Bedrock Granite implant is manufactured and assembled by third-party suppliers, including RMS.</w:t>
      </w:r>
    </w:p>
    <w:p>
      <w:pPr>
        <w:spacing w:after="0" w:line="17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believe that our manufacturing operations, and those of our suppliers, comply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4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In the United States, products we sell are required to be manufactured in compliance with the FDA's Quality System Regulation, codified at 21 CFR Part 820,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including those issued by DEKRA Certification, B.V., our notified body. DEKRA has issued the following international certifications: Quality Management System ISO13485:2016 for our locations in Santa Clara, California, and Gallarate Italy; Full Quality Assurance Certification for the design and manufacture of iFuse; and a Design Examination certificate for iFuse.</w:t>
      </w:r>
    </w:p>
    <w:p>
      <w:pPr>
        <w:spacing w:after="0" w:line="146"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Liability and Insurance</w:t>
      </w:r>
    </w:p>
    <w:p>
      <w:pPr>
        <w:spacing w:after="0" w:line="18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42"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Resources</w:t>
      </w:r>
    </w:p>
    <w:p>
      <w:pPr>
        <w:spacing w:after="0" w:line="19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4"/>
          <w:szCs w:val="14"/>
          <w:color w:val="auto"/>
        </w:rPr>
        <w:t>Our ability to recruit, develop and retain highly skilled talent is a significant determinant of our success. To facilitate talent attraction, retention, and development, we strive to make SI-BONE an inclusive, diverse, and safe workplace with opportunities for our employees to grow and develop in their careers, supported by strong compensation, benefits, and health and wellness programs, as well as by programs that build connections between our employees and the communities in which they live and work. In response to</w:t>
      </w:r>
    </w:p>
    <w:p>
      <w:pPr>
        <w:spacing w:after="0" w:line="15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auto"/>
        </w:rPr>
        <w:t>intense competition in the labor markets in which we compete, we actively track and manage voluntary and involuntary employee turnover and attrition.</w:t>
      </w:r>
    </w:p>
    <w:p>
      <w:pPr>
        <w:spacing w:after="0" w:line="200"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3"/>
          <w:szCs w:val="13"/>
          <w:color w:val="auto"/>
        </w:rPr>
        <w:t>As of December 31, 2022, we had 357 employees, including sales and marketing, product development, general administrative and accounting, both domestically and internationally. As of December 31, 2022, we had a direct field sales organization of 161 in the United States and 18 in Europe. During 2022, our voluntary attrition rate was approximately 11%.</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Diversity and Inclusion</w:t>
      </w:r>
    </w:p>
    <w:p>
      <w:pPr>
        <w:spacing w:after="0" w:line="18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4"/>
          <w:szCs w:val="14"/>
          <w:color w:val="auto"/>
        </w:rPr>
        <w:t>To realize our mission and vision, we are committed to actively fostering workforce diversity and an environment of cultural inclusion throughout the company. We maintain a Diversity and Inclusion Plan which is overseen by our Nominating and Corporate Governance Committee. Our program goal is to increase gender and ethnic diversity in our workforce and leadership over three years, while continuing to provide equal employment opportunities to all candidates and employees without regard to any protected status. Accordingly, we track gender diversity among our global and U.S. workforce, the percentage of employees above director level who are female, the representation of women and underrepresented communities on our Board of Directors and the diversity of our U.S. workforce.</w:t>
      </w:r>
    </w:p>
    <w:p>
      <w:pPr>
        <w:spacing w:after="0" w:line="17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4"/>
          <w:szCs w:val="14"/>
          <w:color w:val="auto"/>
        </w:rPr>
        <w:t>We aim to maintain a mix of backgrounds, skills, and experiences in our board composition to understand and reflect the needs of our diverse stakeholders. Currently, four of our nine board members are women and two of our board members self-identify as Asian American.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Workplace Health and Safety</w:t>
      </w:r>
    </w:p>
    <w:p>
      <w:pPr>
        <w:spacing w:after="0" w:line="20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health and safety of our employees is a priority in which we have always invested and intend to continue to do. In light of the COVID-19 pandemic, the prioritization of employee health, safety, and wellness took on particular significance in 2022. We implemented significant changes that we determined were in the best interest of our employees, as well as the communities in which we operate, in compliance with government regulations. We have implemented health and safety measures that include maximizing personal workspaces, providing personal protective equipment and holding on-site vaccinations events.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and Benefits</w:t>
      </w:r>
    </w:p>
    <w:p>
      <w:pPr>
        <w:spacing w:after="0" w:line="20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provide competitive compensation and benefits programs to help meet the needs of our employees. In addition to base compensation, these programs, which vary by country, include annual bonuses, restricted stock unit awards, an Employee Stock Purchase Plan, 401(k), health and wellness benefits, health savings and flexible spending accounts, paid time off, family leave, paid parental leave, flexible work schedules, and others.</w:t>
      </w:r>
    </w:p>
    <w:p>
      <w:pPr>
        <w:spacing w:after="0" w:line="16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Our employees and their families have access to a variety of innovative, flexible, and convenient health and wellness programs. These benefits are intended to provide protection and security, so employees can have peace of mind concerning events that may require time away from work or that may impact their financial well-being. Additionally, we offer programs to help support employee physical and mental health and offer choices where possible, so they are customized to meet their needs and the needs of their families.</w:t>
      </w:r>
    </w:p>
    <w:p>
      <w:pPr>
        <w:spacing w:after="0" w:line="16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Ensuring fair and equitable pay is integral to our commitment to our employees. Our executive team and Board of Directors strongly support this commitment. On an ongoing basis we monitor pay equity to identify any pay disparities and then to determine appropriate adjustments.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Learning and Talent Development</w:t>
      </w:r>
    </w:p>
    <w:p>
      <w:pPr>
        <w:spacing w:after="0" w:line="20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We value our employees and the passion, commitment, and professional expertise they provide. To enhance employee retention and job satisfaction, we offer ongoing learning and leadership training opportunities that support growth and development.</w:t>
      </w:r>
    </w:p>
    <w:p>
      <w:pPr>
        <w:spacing w:after="0" w:line="15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also regularly evaluate our workforce and plan to address key skill and leadership gaps through a talent management process. In 2022 we implemented a new career development program which includes a formalized framework that reflects how an employee can advance their career within the company. This provides many benefits including clarity, structure, and direction for employees and managers for career advancement and their future at SI-BONE which increases employee motivation, engagement, and retention.</w:t>
      </w:r>
    </w:p>
    <w:p>
      <w:pPr>
        <w:spacing w:after="0" w:line="16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We have a robust annual performance review process for reviewing employees’ performance and compensation. To support our managers, we train them on conducting effective performance reviews and making compensation recommendations, which take into consideration external and internal benchmarks and performance.</w:t>
      </w:r>
    </w:p>
    <w:p>
      <w:pPr>
        <w:spacing w:after="0" w:line="334"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7"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Employee Engagement</w:t>
      </w:r>
    </w:p>
    <w:p>
      <w:pPr>
        <w:spacing w:after="0" w:line="20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believe that building connections between our employees, their families, and our communities creates a more meaningful and fulfilling workplace. Through our engagement programs, our employees can pursue their interests and connect to volunteering and giving opportunities. On an ongoing basis we sponsor philanthropic and volunteer events in which our employees can participate. During 2022, we organized employee cash donations to food banks to support the neediest individuals in San Francisco Bay Area communities.</w:t>
      </w:r>
    </w:p>
    <w:p>
      <w:pPr>
        <w:spacing w:after="0" w:line="163"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We encourage you to review our ESG Shareholder Letter in the Governance Documents of the Corporate Governance section of our Investor website for more detailed information regarding our human capital programs and initiatives. Nothing on our website, including our ESG Shareholder Letter, shall be deemed part of or incorporated by reference into this Annual Report.</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History</w:t>
      </w:r>
    </w:p>
    <w:p>
      <w:pPr>
        <w:spacing w:after="0" w:line="20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SI-BONE was founded in 2008 by the main inventor of iFuse, orthopedist Mark A. Reiley, M.D., our then President and Chief Executive Officer, Jeffrey W. Dunn, and orthopedic surgeon Leonard Rudolf, M.D. Dr. Reiley previously invented balloon kyphoplasty and founded Kyphon Inc., which was sold to Medtronic plc in 2007. Dr. Reiley also invented the INBONE total ankle replacement system, which was sold to Wright Medical Technology, Inc. in 2008.</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Information</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were incorporated in March 2008 in Delaware. Our principal executive offices are located at 471 El Camino Real, Suite 101, Santa Clara, California 95050 and our telephone number is</w:t>
      </w:r>
    </w:p>
    <w:p>
      <w:pPr>
        <w:spacing w:after="0" w:line="31" w:lineRule="exact"/>
        <w:rPr>
          <w:sz w:val="20"/>
          <w:szCs w:val="20"/>
          <w:color w:val="auto"/>
        </w:rPr>
      </w:pPr>
    </w:p>
    <w:p>
      <w:pPr>
        <w:ind w:firstLine="5"/>
        <w:spacing w:after="0" w:line="313" w:lineRule="auto"/>
        <w:tabs>
          <w:tab w:leader="none" w:pos="345"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207-0700. Our website address is </w:t>
      </w:r>
      <w:r>
        <w:rPr>
          <w:rFonts w:ascii="Arial" w:cs="Arial" w:eastAsia="Arial" w:hAnsi="Arial"/>
          <w:sz w:val="14"/>
          <w:szCs w:val="14"/>
          <w:u w:val="single" w:color="auto"/>
          <w:color w:val="auto"/>
        </w:rPr>
        <w:t>www.si-bone.com</w:t>
      </w:r>
      <w:r>
        <w:rPr>
          <w:rFonts w:ascii="Arial" w:cs="Arial" w:eastAsia="Arial" w:hAnsi="Arial"/>
          <w:sz w:val="14"/>
          <w:szCs w:val="14"/>
          <w:color w:val="auto"/>
          <w:highlight w:val="white"/>
        </w:rPr>
        <w:t>. We completed our initial public offering in</w:t>
      </w:r>
      <w:r>
        <w:rPr>
          <w:rFonts w:ascii="Arial" w:cs="Arial" w:eastAsia="Arial" w:hAnsi="Arial"/>
          <w:sz w:val="14"/>
          <w:szCs w:val="14"/>
          <w:color w:val="auto"/>
        </w:rPr>
        <w:t xml:space="preserve"> October 2018, and our common stock is listed on the Nasdaq Global Market under the symbol “SIBN.”</w:t>
      </w:r>
    </w:p>
    <w:p>
      <w:pPr>
        <w:spacing w:after="0" w:line="121" w:lineRule="exact"/>
        <w:rPr>
          <w:sz w:val="20"/>
          <w:szCs w:val="20"/>
          <w:color w:val="auto"/>
        </w:rPr>
      </w:pPr>
    </w:p>
    <w:p>
      <w:pPr>
        <w:jc w:val="both"/>
        <w:ind w:firstLine="318"/>
        <w:spacing w:after="0" w:line="290" w:lineRule="auto"/>
        <w:rPr>
          <w:sz w:val="20"/>
          <w:szCs w:val="20"/>
          <w:color w:val="auto"/>
        </w:rPr>
      </w:pPr>
      <w:r>
        <w:rPr>
          <w:rFonts w:ascii="Arial" w:cs="Arial" w:eastAsia="Arial" w:hAnsi="Arial"/>
          <w:sz w:val="14"/>
          <w:szCs w:val="14"/>
          <w:color w:val="auto"/>
        </w:rPr>
        <w:t>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w:t>
      </w:r>
    </w:p>
    <w:p>
      <w:pPr>
        <w:spacing w:after="0" w:line="200" w:lineRule="exact"/>
        <w:rPr>
          <w:sz w:val="20"/>
          <w:szCs w:val="20"/>
          <w:color w:val="auto"/>
        </w:rPr>
      </w:pPr>
    </w:p>
    <w:p>
      <w:pPr>
        <w:spacing w:after="0" w:line="299"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Item 1A. Risk Factors</w:t>
      </w:r>
    </w:p>
    <w:p>
      <w:pPr>
        <w:spacing w:after="0" w:line="183" w:lineRule="exact"/>
        <w:rPr>
          <w:sz w:val="20"/>
          <w:szCs w:val="20"/>
          <w:color w:val="auto"/>
        </w:rPr>
      </w:pPr>
    </w:p>
    <w:p>
      <w:pPr>
        <w:jc w:val="both"/>
        <w:ind w:firstLine="350"/>
        <w:spacing w:after="0" w:line="260" w:lineRule="auto"/>
        <w:rPr>
          <w:sz w:val="20"/>
          <w:szCs w:val="20"/>
          <w:color w:val="auto"/>
        </w:rPr>
      </w:pPr>
      <w:r>
        <w:rPr>
          <w:rFonts w:ascii="Arial" w:cs="Arial" w:eastAsia="Arial" w:hAnsi="Arial"/>
          <w:sz w:val="14"/>
          <w:szCs w:val="14"/>
          <w:i w:val="1"/>
          <w:iCs w:val="1"/>
          <w:color w:val="auto"/>
        </w:rPr>
        <w:t>Investing in our common stock involves a high degree of risk. Investors should carefully consider the risks described below, as well as the other information in this Annual Report on Form 10-K,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Our Industry</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202" w:lineRule="exact"/>
        <w:rPr>
          <w:sz w:val="20"/>
          <w:szCs w:val="20"/>
          <w:color w:val="auto"/>
        </w:rPr>
      </w:pPr>
    </w:p>
    <w:p>
      <w:pPr>
        <w:jc w:val="both"/>
        <w:ind w:firstLine="350"/>
        <w:spacing w:after="0" w:line="268" w:lineRule="auto"/>
        <w:rPr>
          <w:sz w:val="20"/>
          <w:szCs w:val="20"/>
          <w:color w:val="auto"/>
        </w:rPr>
      </w:pPr>
      <w:r>
        <w:rPr>
          <w:rFonts w:ascii="Arial" w:cs="Arial" w:eastAsia="Arial" w:hAnsi="Arial"/>
          <w:sz w:val="13"/>
          <w:szCs w:val="13"/>
          <w:color w:val="auto"/>
        </w:rPr>
        <w:t>We have incurred net losses since our inception in 2008. For the years ended December 31, 2022 and 2021, we had net losses of $61.3 million and $56.6 million, respectively. As of December 31, 2022, we had an accumulated deficit of $357.1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21"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3"/>
          <w:szCs w:val="13"/>
          <w:color w:val="auto"/>
        </w:rPr>
        <w:t>Our expected future capital requirements depend on many factors including expanding our surgeon base, the expansion of our sales force, investment in implants and instruments, and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The capital markets have deteriorated substantially since the beginning of 2022, especially with respect to securities issued by companies in the medical device and technology sectors. Equity and debt capital have become substantially more expensive and difficult to raise on attractive terms.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Prolonged inflation and supply chain disruptions could result in delayed product launches, lost revenue, higher costs and decreased profit margins.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A majority of our products are manufactured and sold inside of the United States, which increases our exposure to domestic inflation and fuel price increases. Recent inflationary pressures have resulted in increased fuel, raw materials and other costs which, if they continue for a prolonged period, may adversely affect our results of operations. We have experienced shortages in certain raw materials and component inputs of our products, primarily surgical instruments, as suppliers have been unable to meet delivery schedules due to excess demand and labor shortages, and lead times have lengthened throughout our supply chain. Our efforts to mitigate supply chain weaknesses may not be successful or may have unfavorable effects. For example, efforts to purchase raw materials in advance for product manufacturing may result in increased storage costs or excess supply. If our costs rise due to continuing significant inflationary pressures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w:t>
      </w:r>
    </w:p>
    <w:p>
      <w:pPr>
        <w:spacing w:after="0" w:line="314"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5" w:right="319" w:bottom="1440" w:gutter="0" w:footer="0" w:header="0"/>
        </w:sectPr>
      </w:pPr>
    </w:p>
    <w:bookmarkStart w:id="27" w:name="page28"/>
    <w:bookmarkEnd w:id="27"/>
    <w:p>
      <w:pPr>
        <w:jc w:val="both"/>
        <w:spacing w:after="0" w:line="265" w:lineRule="auto"/>
        <w:rPr>
          <w:sz w:val="20"/>
          <w:szCs w:val="20"/>
          <w:color w:val="auto"/>
        </w:rPr>
      </w:pPr>
      <w:r>
        <w:rPr>
          <w:rFonts w:ascii="Arial" w:cs="Arial" w:eastAsia="Arial" w:hAnsi="Arial"/>
          <w:sz w:val="14"/>
          <w:szCs w:val="14"/>
          <w:b w:val="1"/>
          <w:bCs w:val="1"/>
          <w:i w:val="1"/>
          <w:iCs w:val="1"/>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43"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3"/>
          <w:szCs w:val="13"/>
          <w:color w:val="auto"/>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 effective manner. A reduction or interruption in the supply of materials or components used in manufacturing our products, such as due to one or more suppliers experiencing reductions in operations and/or worker absences due to the COVID-19 pandemic or other health epidemics, an inability to timely develop and validate alternative sources if required, or a significant increase in the price of such materials or components, such as that caused by inflation and rising interest rates,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and such geopolitical events and factors relating thereto or resulting therefrom, including related sanctions, may negatively impact the ability of our suppliers’ third-party supply sources to timely supply titanium to our suppliers and may increase or result in additional costs to us.</w:t>
      </w:r>
    </w:p>
    <w:p>
      <w:pPr>
        <w:spacing w:after="0" w:line="148"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the COVID-19 pandemic or other health epidemics, we may be unable to transition to other contract sterilizers, sterilizer locations or sterilization methods in a timely or cost effective manner or at all, which could have a material impact on our results of operations and financial condition.</w:t>
      </w:r>
    </w:p>
    <w:p>
      <w:pPr>
        <w:spacing w:after="0" w:line="143" w:lineRule="exact"/>
        <w:rPr>
          <w:sz w:val="20"/>
          <w:szCs w:val="20"/>
          <w:color w:val="auto"/>
        </w:rPr>
      </w:pPr>
    </w:p>
    <w:p>
      <w:pPr>
        <w:jc w:val="both"/>
        <w:spacing w:after="0" w:line="349" w:lineRule="auto"/>
        <w:rPr>
          <w:sz w:val="20"/>
          <w:szCs w:val="20"/>
          <w:color w:val="auto"/>
        </w:rPr>
      </w:pPr>
      <w:r>
        <w:rPr>
          <w:rFonts w:ascii="Arial" w:cs="Arial" w:eastAsia="Arial" w:hAnsi="Arial"/>
          <w:sz w:val="12"/>
          <w:szCs w:val="12"/>
          <w:b w:val="1"/>
          <w:bCs w:val="1"/>
          <w:i w:val="1"/>
          <w:iCs w:val="1"/>
          <w:color w:val="auto"/>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97" w:lineRule="exact"/>
        <w:rPr>
          <w:sz w:val="20"/>
          <w:szCs w:val="20"/>
          <w:color w:val="auto"/>
        </w:rPr>
      </w:pPr>
    </w:p>
    <w:p>
      <w:pPr>
        <w:jc w:val="both"/>
        <w:ind w:firstLine="350"/>
        <w:spacing w:after="0" w:line="246" w:lineRule="auto"/>
        <w:rPr>
          <w:sz w:val="20"/>
          <w:szCs w:val="20"/>
          <w:color w:val="auto"/>
        </w:rPr>
      </w:pPr>
      <w:r>
        <w:rPr>
          <w:rFonts w:ascii="Arial" w:cs="Arial" w:eastAsia="Arial" w:hAnsi="Arial"/>
          <w:sz w:val="14"/>
          <w:szCs w:val="14"/>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 When a procedure using our implants is performed, both the surgeon and the healthcare facility, either a hospital or ambulatory surgical center, submit claims for reimbursement to the healthcare payor. We may be unable to sell our products on a profitable basis if third-party payors deny coverage, or if reimbursement levels are insufficient to support use of our products by healthcare facilities or to compensate surgeons for their time spent diagnosing patients and performing procedures using our products.</w:t>
      </w:r>
    </w:p>
    <w:p>
      <w:pPr>
        <w:spacing w:after="0" w:line="166"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4"/>
          <w:szCs w:val="14"/>
          <w:color w:val="auto"/>
        </w:rPr>
        <w:t>While all Medicare Administrative Contractors are regularly reimbursing for minimally invasive sacroiliac joint fusion utilizing laterally placed transfixing devices, a small number of private payors still have policies that treat the procedure as experimental or investigational and do not regularly reimburse for the procedure. Future action by the Centers for Medicare and Medicaid Services (“CMS”) or third-party payors may further reduce the availability of payments to physicians, outpatient surgery centers, and/or hospitals for procedures using our products. Volatility in the payment rates that physicians and hospitals receive from CMS may have a material impact on their willingness to perform procedures including our products, as well as place additional pressure on pricing of our implants.</w:t>
      </w:r>
    </w:p>
    <w:p>
      <w:pPr>
        <w:spacing w:after="0" w:line="173" w:lineRule="exact"/>
        <w:rPr>
          <w:sz w:val="20"/>
          <w:szCs w:val="20"/>
          <w:color w:val="auto"/>
        </w:rPr>
      </w:pPr>
    </w:p>
    <w:p>
      <w:pPr>
        <w:jc w:val="both"/>
        <w:ind w:firstLine="350"/>
        <w:spacing w:after="0" w:line="307" w:lineRule="auto"/>
        <w:rPr>
          <w:sz w:val="20"/>
          <w:szCs w:val="20"/>
          <w:color w:val="auto"/>
        </w:rPr>
      </w:pPr>
      <w:r>
        <w:rPr>
          <w:rFonts w:ascii="Arial" w:cs="Arial" w:eastAsia="Arial" w:hAnsi="Arial"/>
          <w:sz w:val="12"/>
          <w:szCs w:val="12"/>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32" w:lineRule="exact"/>
        <w:rPr>
          <w:sz w:val="20"/>
          <w:szCs w:val="20"/>
          <w:color w:val="auto"/>
        </w:rPr>
      </w:pPr>
    </w:p>
    <w:p>
      <w:pPr>
        <w:jc w:val="both"/>
        <w:ind w:firstLine="350"/>
        <w:spacing w:after="0" w:line="277" w:lineRule="auto"/>
        <w:rPr>
          <w:sz w:val="20"/>
          <w:szCs w:val="20"/>
          <w:color w:val="auto"/>
        </w:rPr>
      </w:pPr>
      <w:r>
        <w:rPr>
          <w:rFonts w:ascii="Arial" w:cs="Arial" w:eastAsia="Arial" w:hAnsi="Arial"/>
          <w:sz w:val="13"/>
          <w:szCs w:val="13"/>
          <w:color w:val="auto"/>
        </w:rPr>
        <w:t>Effective January 1, 2023, the Medicare physician fee reimbursement for minimally invasive fusion with our laterally placed transfixing iFuse implants, described as Current Procedural Terminology (“CPT”) Code 27279, is $827. Commercial payors generally set their physician fee reimbursement with reference to Medicare reimbursement rates. 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We believe that some private payors apply their own coverage policies and criteria inconsistently, and surgeons may not be able to consistently have minimally invasive sacroiliac fusion procedures utilizing laterally placed transfixing devices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spacing w:after="0" w:line="140"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8" w:name="page29"/>
    <w:bookmarkEnd w:id="28"/>
    <w:p>
      <w:pPr>
        <w:ind w:left="360"/>
        <w:spacing w:after="0"/>
        <w:rPr>
          <w:sz w:val="20"/>
          <w:szCs w:val="20"/>
          <w:color w:val="auto"/>
        </w:rPr>
      </w:pPr>
      <w:r>
        <w:rPr>
          <w:rFonts w:ascii="Arial" w:cs="Arial" w:eastAsia="Arial" w:hAnsi="Arial"/>
          <w:sz w:val="13"/>
          <w:szCs w:val="13"/>
          <w:color w:val="auto"/>
        </w:rPr>
        <w:t>The American Medical Association (AMA) develops and maintains CPT codes that are used by third-party payors to determine the amount of reimbursement that a healthcare provider and</w:t>
      </w:r>
    </w:p>
    <w:p>
      <w:pPr>
        <w:spacing w:after="0" w:line="31"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facility will receive for a particular service. CPT codes are divided into three categories: Category I codes represent existing services or procedures that are widely used. Category II codes are supplemental tracking codes, and Category III codes are temporary codes that represent new technologies, services, and procedures. A Category III code does not have a payment rate established and reimbursement is at the payor’s discretion. CPT Code 27279, which describes minimally-invasive surgical fusion of the sacroiliac joint performed with our laterally placed transfixing iFuse implants, is a Category I CPT code. As the number of products and surgical procedures to address sacroiliac joint dysfunction has expanded and diversified, certain medical societies requested that the AMA create additional codes representing some of these newer, and different procedures utilizing non-transfixing technologies. In May 2022, the AMA CPT Editorial Panel adopted a proposal for a new Category III code to become effective January 1, 2023, describing a different sacroiliac joint procedure to place interpositional, intra-articular and non-transfixing implants typically using a dorsal, or posterior, approach. In September 2022, the AMA CPT Editorial Panel subsequently approved a proposal to create another Category III tracking code to describe the implantation of both lateral transfixing implants, as well as intra-articular (dorsal, or non-transfixing) implants during the same operative session (“hybrid” sacroiliac procedures) effective July 1, 2023; and also voted to convert</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Category III Code to describe procedures to implant the newer, non-transfixing (dorsally placed) implants to a Category I Code effective January 1, 2024. If the levels of reimbursement for, and consistency of coverage associated with, procedures performed with our medical devices under the existing Category I CPT Code decrease as a result of or in connection with these coding changes, it could make the procedures in which our implants are used less attractive to healthcare professionals, decreasing the number of devices we are able to sell and adversely affecting our business, results of operations and financial condition.</w:t>
      </w:r>
    </w:p>
    <w:p>
      <w:pPr>
        <w:spacing w:after="0" w:line="160" w:lineRule="exact"/>
        <w:rPr>
          <w:sz w:val="20"/>
          <w:szCs w:val="20"/>
          <w:color w:val="auto"/>
        </w:rPr>
      </w:pPr>
    </w:p>
    <w:p>
      <w:pPr>
        <w:jc w:val="both"/>
        <w:ind w:firstLine="350"/>
        <w:spacing w:after="0" w:line="260" w:lineRule="auto"/>
        <w:rPr>
          <w:sz w:val="20"/>
          <w:szCs w:val="20"/>
          <w:color w:val="auto"/>
        </w:rPr>
      </w:pPr>
      <w:r>
        <w:rPr>
          <w:rFonts w:ascii="Arial" w:cs="Arial" w:eastAsia="Arial" w:hAnsi="Arial"/>
          <w:sz w:val="13"/>
          <w:szCs w:val="13"/>
          <w:color w:val="auto"/>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CMS budget neutrality requirements may impose cuts to the Medicare physician fee schedule, which may be mitigated by acts of Congress or other changes to regulations. Other federal laws, known as budget sequestration, further reduce Medicare’s payments to providers. Under current legislation, the reduction in Medicare payments will vary from 2% under the Budget Control Act of 2011 (currently set to expire in 2031) to 4% if budget sequestration is triggered under the Statutory Pay-As-You-Go Act of 2010.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spacing w:after="0" w:line="17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4"/>
          <w:szCs w:val="14"/>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165" w:lineRule="exact"/>
        <w:rPr>
          <w:sz w:val="20"/>
          <w:szCs w:val="20"/>
          <w:color w:val="auto"/>
        </w:rPr>
      </w:pPr>
    </w:p>
    <w:p>
      <w:pPr>
        <w:ind w:right="560"/>
        <w:spacing w:after="0" w:line="265" w:lineRule="auto"/>
        <w:rPr>
          <w:sz w:val="20"/>
          <w:szCs w:val="20"/>
          <w:color w:val="auto"/>
        </w:rPr>
      </w:pPr>
      <w:r>
        <w:rPr>
          <w:rFonts w:ascii="Arial" w:cs="Arial" w:eastAsia="Arial" w:hAnsi="Arial"/>
          <w:sz w:val="14"/>
          <w:szCs w:val="14"/>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54" w:lineRule="exact"/>
        <w:rPr>
          <w:sz w:val="20"/>
          <w:szCs w:val="20"/>
          <w:color w:val="auto"/>
        </w:rPr>
      </w:pPr>
    </w:p>
    <w:p>
      <w:pPr>
        <w:jc w:val="both"/>
        <w:ind w:firstLine="350"/>
        <w:spacing w:after="0" w:line="239" w:lineRule="auto"/>
        <w:rPr>
          <w:sz w:val="20"/>
          <w:szCs w:val="20"/>
          <w:color w:val="auto"/>
        </w:rPr>
      </w:pPr>
      <w:r>
        <w:rPr>
          <w:rFonts w:ascii="Arial" w:cs="Arial" w:eastAsia="Arial" w:hAnsi="Arial"/>
          <w:sz w:val="14"/>
          <w:szCs w:val="14"/>
          <w:color w:val="auto"/>
        </w:rPr>
        <w:t>As of December 31, 2022, a significant number of the largest U.S. payors that we track and target have issued positive coverage policies covering the patented design of our triangular iFuse implants and excluding coverage of other products that are intended to fuse the sacroiliac joint because of the clinical evidence supporting the use of triangular titanium implants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our triangular iFuse implants. Payors could also abandon their decisions to cover triangular implants exclusively for other reasons.</w:t>
      </w:r>
    </w:p>
    <w:p>
      <w:pPr>
        <w:spacing w:after="0" w:line="184" w:lineRule="exact"/>
        <w:rPr>
          <w:sz w:val="20"/>
          <w:szCs w:val="20"/>
          <w:color w:val="auto"/>
        </w:rPr>
      </w:pPr>
    </w:p>
    <w:p>
      <w:pPr>
        <w:jc w:val="both"/>
        <w:ind w:firstLine="350"/>
        <w:spacing w:after="0" w:line="264" w:lineRule="auto"/>
        <w:rPr>
          <w:sz w:val="20"/>
          <w:szCs w:val="20"/>
          <w:color w:val="auto"/>
        </w:rPr>
      </w:pPr>
      <w:r>
        <w:rPr>
          <w:rFonts w:ascii="Arial" w:cs="Arial" w:eastAsia="Arial" w:hAnsi="Arial"/>
          <w:sz w:val="14"/>
          <w:szCs w:val="14"/>
          <w:color w:val="auto"/>
        </w:rPr>
        <w:t>Healthcare payors which have adopted sacroiliac joint fusion coverage policies exclusive to titanium triangular implants could reverse the exclusive nature of their policies and allow surgeons to use other types of products when performing sacroiliac fusion procedures. For example, AIM, a clinical evidence evaluation organization which influences Anthem, among other payors, promulgated such a policy, effective September 11, 2022, that is no longer exclusive to titanium triangles. If healthcare payors covering a significant number of covered lives reverse their policies of covering minimally invasive sacroiliac joint fusion exclusively when performed with triangular titanium implants, sales of our triangular iFuse implants could decline or fail to grow, which could adversely affect our business, results of operations and financial condition.</w:t>
      </w:r>
    </w:p>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Epidemic diseases, or the perception of their effects, may continue to adversely affect our business, financial condition, results of operations, or cash flows.</w:t>
      </w:r>
    </w:p>
    <w:p>
      <w:pPr>
        <w:spacing w:after="0" w:line="168" w:lineRule="exact"/>
        <w:rPr>
          <w:sz w:val="20"/>
          <w:szCs w:val="20"/>
          <w:color w:val="auto"/>
        </w:rPr>
      </w:pPr>
    </w:p>
    <w:p>
      <w:pPr>
        <w:jc w:val="both"/>
        <w:ind w:firstLine="350"/>
        <w:spacing w:after="0" w:line="268" w:lineRule="auto"/>
        <w:rPr>
          <w:sz w:val="20"/>
          <w:szCs w:val="20"/>
          <w:color w:val="auto"/>
        </w:rPr>
      </w:pPr>
      <w:r>
        <w:rPr>
          <w:rFonts w:ascii="Arial" w:cs="Arial" w:eastAsia="Arial" w:hAnsi="Arial"/>
          <w:sz w:val="13"/>
          <w:szCs w:val="13"/>
          <w:color w:val="auto"/>
        </w:rPr>
        <w:t>As the COVID-19 global pandemic enters its fourth year, the impact of COVID-19 on our business remains highly dependent on future developments, which are uncertain and unpredictable. An outbreak of an infectious disease, or an escalation of the COVID-19 pandemic could continue to divert medical resources toward the treatment of that disease, and negatively affect hospital admission rates and the decision by patients to undergo elective surgery, which could decrease demand for procedures using our implants and cause other disruptions to our business. Business disruptions have included, and could continue to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implants that are performed and have a material adverse effect on our business, financial condition, results of operations, or cash flows.</w:t>
      </w:r>
    </w:p>
    <w:p>
      <w:pPr>
        <w:spacing w:after="0" w:line="131" w:lineRule="exact"/>
        <w:rPr>
          <w:sz w:val="20"/>
          <w:szCs w:val="20"/>
          <w:color w:val="auto"/>
        </w:rPr>
      </w:pPr>
    </w:p>
    <w:p>
      <w:pPr>
        <w:jc w:val="both"/>
        <w:ind w:firstLine="350"/>
        <w:spacing w:after="0" w:line="272" w:lineRule="auto"/>
        <w:rPr>
          <w:sz w:val="20"/>
          <w:szCs w:val="20"/>
          <w:color w:val="auto"/>
        </w:rPr>
      </w:pPr>
      <w:r>
        <w:rPr>
          <w:rFonts w:ascii="Arial" w:cs="Arial" w:eastAsia="Arial" w:hAnsi="Arial"/>
          <w:sz w:val="13"/>
          <w:szCs w:val="13"/>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existence and further duration of the COVID-19 pandemic may also further exacerbate certain of the risks described herein.</w:t>
      </w:r>
    </w:p>
    <w:p>
      <w:pPr>
        <w:spacing w:after="0" w:line="179"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b w:val="1"/>
          <w:bCs w:val="1"/>
          <w:i w:val="1"/>
          <w:iCs w:val="1"/>
          <w:color w:val="auto"/>
        </w:rPr>
        <w:t>We may not be able to convince physicians that our products are attractive alternatives to our competitors’ products and that our procedures are attractive alternatives to existing surgical and non-surgical treatments for their respective indications.</w:t>
      </w:r>
    </w:p>
    <w:p>
      <w:pPr>
        <w:spacing w:after="0" w:line="133" w:lineRule="exact"/>
        <w:rPr>
          <w:sz w:val="20"/>
          <w:szCs w:val="20"/>
          <w:color w:val="auto"/>
        </w:rPr>
      </w:pPr>
    </w:p>
    <w:p>
      <w:pPr>
        <w:jc w:val="both"/>
        <w:ind w:firstLine="350"/>
        <w:spacing w:after="0" w:line="288" w:lineRule="auto"/>
        <w:rPr>
          <w:sz w:val="20"/>
          <w:szCs w:val="20"/>
          <w:color w:val="auto"/>
        </w:rPr>
      </w:pPr>
      <w:r>
        <w:rPr>
          <w:rFonts w:ascii="Arial" w:cs="Arial" w:eastAsia="Arial" w:hAnsi="Arial"/>
          <w:sz w:val="13"/>
          <w:szCs w:val="13"/>
          <w:color w:val="auto"/>
        </w:rPr>
        <w:t>Surgeons, in consultation with their patients, play the primary role in determining the course of treatment and, ultimately, any product that will be used in treatment. In order for us to sell our products successfully, we must demonstrate to surgeons through education and training that treatment with iFuse is beneficial, safe, and cost-effective for patients as compared to our competitors’ products. If we are not successful in demonstrating the merits of our products to surgeons, their use of our products may decline, adversely affecting our revenues and profitability.</w:t>
      </w:r>
    </w:p>
    <w:p>
      <w:pPr>
        <w:spacing w:after="0" w:line="120"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Historically, most spine surgeons did not include an evaluation of the sacroiliac joint in their diagnostic work-up because they did not have an adequate surgical procedure to perform for patients diagnosed with sacroiliac joint dysfunction.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Surgeons may also hesitate to change their medical treatment practices for other reasons, including the following:</w:t>
      </w:r>
    </w:p>
    <w:p>
      <w:pPr>
        <w:spacing w:after="0" w:line="19" w:lineRule="exact"/>
        <w:rPr>
          <w:sz w:val="20"/>
          <w:szCs w:val="20"/>
          <w:color w:val="auto"/>
        </w:rPr>
      </w:pPr>
    </w:p>
    <w:p>
      <w:pPr>
        <w:ind w:left="800" w:hanging="95"/>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lack of experience with minimally invasive procedures;</w:t>
      </w:r>
    </w:p>
    <w:p>
      <w:pPr>
        <w:spacing w:after="0" w:line="29" w:lineRule="exact"/>
        <w:rPr>
          <w:rFonts w:ascii="Arial" w:cs="Arial" w:eastAsia="Arial" w:hAnsi="Arial"/>
          <w:sz w:val="14"/>
          <w:szCs w:val="14"/>
          <w:color w:val="auto"/>
        </w:rPr>
      </w:pPr>
    </w:p>
    <w:p>
      <w:pPr>
        <w:ind w:left="800" w:hanging="95"/>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perceived liability risks generally associated with the use of new products and procedures;</w:t>
      </w:r>
    </w:p>
    <w:p>
      <w:pPr>
        <w:spacing w:after="0" w:line="40" w:lineRule="exact"/>
        <w:rPr>
          <w:rFonts w:ascii="Arial" w:cs="Arial" w:eastAsia="Arial" w:hAnsi="Arial"/>
          <w:sz w:val="14"/>
          <w:szCs w:val="14"/>
          <w:color w:val="auto"/>
        </w:rPr>
      </w:pPr>
    </w:p>
    <w:p>
      <w:pPr>
        <w:ind w:left="800" w:hanging="95"/>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associated with the purchase of new products; and</w:t>
      </w:r>
    </w:p>
    <w:p>
      <w:pPr>
        <w:spacing w:after="0" w:line="29" w:lineRule="exact"/>
        <w:rPr>
          <w:rFonts w:ascii="Arial" w:cs="Arial" w:eastAsia="Arial" w:hAnsi="Arial"/>
          <w:sz w:val="14"/>
          <w:szCs w:val="14"/>
          <w:color w:val="auto"/>
        </w:rPr>
      </w:pPr>
    </w:p>
    <w:p>
      <w:pPr>
        <w:ind w:left="800" w:hanging="95"/>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time commitment that may be required for training.</w:t>
      </w:r>
    </w:p>
    <w:p>
      <w:pPr>
        <w:spacing w:after="0" w:line="179" w:lineRule="exact"/>
        <w:rPr>
          <w:sz w:val="20"/>
          <w:szCs w:val="20"/>
          <w:color w:val="auto"/>
        </w:rPr>
      </w:pPr>
    </w:p>
    <w:p>
      <w:pPr>
        <w:jc w:val="both"/>
        <w:ind w:firstLine="350"/>
        <w:spacing w:after="0" w:line="322" w:lineRule="auto"/>
        <w:rPr>
          <w:sz w:val="20"/>
          <w:szCs w:val="20"/>
          <w:color w:val="auto"/>
        </w:rPr>
      </w:pPr>
      <w:r>
        <w:rPr>
          <w:rFonts w:ascii="Arial" w:cs="Arial" w:eastAsia="Arial" w:hAnsi="Arial"/>
          <w:sz w:val="12"/>
          <w:szCs w:val="12"/>
          <w:color w:val="auto"/>
        </w:rPr>
        <w:t>Furthermore, we believe surgeons will not widely use our products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9" w:right="319" w:bottom="1440" w:gutter="0" w:footer="0" w:header="0"/>
        </w:sectPr>
      </w:pPr>
    </w:p>
    <w:bookmarkStart w:id="30" w:name="page31"/>
    <w:bookmarkEnd w:id="30"/>
    <w:p>
      <w:pPr>
        <w:jc w:val="both"/>
        <w:ind w:firstLine="350"/>
        <w:spacing w:after="0" w:line="246" w:lineRule="auto"/>
        <w:rPr>
          <w:sz w:val="20"/>
          <w:szCs w:val="20"/>
          <w:color w:val="auto"/>
        </w:rPr>
      </w:pPr>
      <w:r>
        <w:rPr>
          <w:rFonts w:ascii="Arial" w:cs="Arial" w:eastAsia="Arial" w:hAnsi="Arial"/>
          <w:sz w:val="14"/>
          <w:szCs w:val="14"/>
          <w:color w:val="auto"/>
        </w:rPr>
        <w:t>Many patients with sacroiliac joint dysfunction are cared for by pain physicians and other interventionalists, who are generally trained as anesthesiologists or physical medicine and rehabilitation specialists. These physicians often offer a variety of non-surgical and surgical interventions to sacroiliac joint dysfunction patients, including, but not limited to, steroid injections, radiofrequency ablation of the nerves serving the sacroiliac joint and implantation of neurostimulation devices, allografts, and other products intended to treat the sacroiliac joint or the pain it can cause. Our professional education program seeks to teach these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because they feel that these interventions are superior or because they have a financial interest in offering additional treatments to these patients. If we are unable to demonstrate to potential referring health care providers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149"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4"/>
          <w:szCs w:val="14"/>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43" w:lineRule="exact"/>
        <w:rPr>
          <w:sz w:val="20"/>
          <w:szCs w:val="20"/>
          <w:color w:val="auto"/>
        </w:rPr>
      </w:pPr>
    </w:p>
    <w:p>
      <w:pPr>
        <w:jc w:val="both"/>
        <w:ind w:firstLine="350"/>
        <w:spacing w:after="0" w:line="244" w:lineRule="auto"/>
        <w:rPr>
          <w:sz w:val="20"/>
          <w:szCs w:val="20"/>
          <w:color w:val="auto"/>
        </w:rPr>
      </w:pPr>
      <w:r>
        <w:rPr>
          <w:rFonts w:ascii="Arial" w:cs="Arial" w:eastAsia="Arial" w:hAnsi="Arial"/>
          <w:sz w:val="14"/>
          <w:szCs w:val="14"/>
          <w:color w:val="auto"/>
        </w:rPr>
        <w:t>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133"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4"/>
          <w:szCs w:val="14"/>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37" w:lineRule="exact"/>
        <w:rPr>
          <w:sz w:val="20"/>
          <w:szCs w:val="20"/>
          <w:color w:val="auto"/>
        </w:rPr>
      </w:pPr>
    </w:p>
    <w:p>
      <w:pPr>
        <w:jc w:val="both"/>
        <w:ind w:firstLine="350"/>
        <w:spacing w:after="0" w:line="321" w:lineRule="auto"/>
        <w:rPr>
          <w:sz w:val="20"/>
          <w:szCs w:val="20"/>
          <w:color w:val="auto"/>
        </w:rPr>
      </w:pPr>
      <w:r>
        <w:rPr>
          <w:rFonts w:ascii="Arial" w:cs="Arial" w:eastAsia="Arial" w:hAnsi="Arial"/>
          <w:sz w:val="13"/>
          <w:szCs w:val="13"/>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spacing w:after="0" w:line="99"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3"/>
          <w:szCs w:val="13"/>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31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31" w:name="page32"/>
    <w:bookmarkEnd w:id="31"/>
    <w:p>
      <w:pPr>
        <w:jc w:val="both"/>
        <w:spacing w:after="0" w:line="265" w:lineRule="auto"/>
        <w:rPr>
          <w:sz w:val="20"/>
          <w:szCs w:val="20"/>
          <w:color w:val="auto"/>
        </w:rPr>
      </w:pPr>
      <w:r>
        <w:rPr>
          <w:rFonts w:ascii="Arial" w:cs="Arial" w:eastAsia="Arial" w:hAnsi="Arial"/>
          <w:sz w:val="14"/>
          <w:szCs w:val="14"/>
          <w:b w:val="1"/>
          <w:bCs w:val="1"/>
          <w:i w:val="1"/>
          <w:iCs w:val="1"/>
          <w:color w:val="auto"/>
        </w:rPr>
        <w:t>Practice trends or other factors, including the COVID-19 pandemic, have caused, and may continue to cause, procedures to shift from the hospital environment to ambulatory surgical centers, or ASCs, where pressure on the prices of our products is generally more acute.</w:t>
      </w:r>
    </w:p>
    <w:p>
      <w:pPr>
        <w:spacing w:after="0" w:line="143" w:lineRule="exact"/>
        <w:rPr>
          <w:sz w:val="20"/>
          <w:szCs w:val="20"/>
          <w:color w:val="auto"/>
        </w:rPr>
      </w:pPr>
    </w:p>
    <w:p>
      <w:pPr>
        <w:jc w:val="both"/>
        <w:ind w:firstLine="350"/>
        <w:spacing w:after="0" w:line="246" w:lineRule="auto"/>
        <w:rPr>
          <w:sz w:val="20"/>
          <w:szCs w:val="20"/>
          <w:color w:val="auto"/>
        </w:rPr>
      </w:pPr>
      <w:r>
        <w:rPr>
          <w:rFonts w:ascii="Arial" w:cs="Arial" w:eastAsia="Arial" w:hAnsi="Arial"/>
          <w:sz w:val="14"/>
          <w:szCs w:val="14"/>
          <w:color w:val="auto"/>
        </w:rPr>
        <w:t>We anticipate that more outpatient eligible procedures will be performed in ASCs as a cost control measure within the healthcare system. This shift accelerated during the COVID-19 pandemic, and we expect it to continue because ASCs are generally a more economically favorable site of service, and surgeons performing the procedures sometimes have ownership interests in the ASC. Because ASC facility fee reimbursement is typically less than facility fee reimbursement for hospitals and due to surgeons’ economic interest in ASCs, we typically experience more pressure on the pricing of our products by ASCs than by hospitals, and the average price for which we sell our products to ASCs is less than the average prices we charge to hospitals. In addition, some surgeons may choose to use fewer implants due to their interest in the profitability of the ASC. An accelerated shift of procedures using our products to ASCs could adversely impact the average selling prices of our products and our revenues could suffer as a result.</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33" w:lineRule="exact"/>
        <w:rPr>
          <w:sz w:val="20"/>
          <w:szCs w:val="20"/>
          <w:color w:val="auto"/>
        </w:rPr>
      </w:pPr>
    </w:p>
    <w:p>
      <w:pPr>
        <w:jc w:val="both"/>
        <w:ind w:firstLine="350"/>
        <w:spacing w:after="0" w:line="252" w:lineRule="auto"/>
        <w:rPr>
          <w:sz w:val="20"/>
          <w:szCs w:val="20"/>
          <w:color w:val="auto"/>
        </w:rPr>
      </w:pPr>
      <w:r>
        <w:rPr>
          <w:rFonts w:ascii="Arial" w:cs="Arial" w:eastAsia="Arial" w:hAnsi="Arial"/>
          <w:sz w:val="14"/>
          <w:szCs w:val="14"/>
          <w:color w:val="auto"/>
        </w:rPr>
        <w:t>Our currently marketed products are, and any future products we commercialize will likely be, subject to intense competition. Our field is subject to rapid change and is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viewed as safer, less invasive, and more effective than alternatives available for similar purposes as demonstrated in peer-reviewed clinical publications. Because of the size of the potential market, other companies have dedicated, and likely will continue to dedicate, significant resources to developing competing products.</w:t>
      </w:r>
    </w:p>
    <w:p>
      <w:pPr>
        <w:spacing w:after="0" w:line="141" w:lineRule="exact"/>
        <w:rPr>
          <w:sz w:val="20"/>
          <w:szCs w:val="20"/>
          <w:color w:val="auto"/>
        </w:rPr>
      </w:pPr>
    </w:p>
    <w:p>
      <w:pPr>
        <w:jc w:val="both"/>
        <w:ind w:firstLine="350"/>
        <w:spacing w:after="0" w:line="269" w:lineRule="auto"/>
        <w:rPr>
          <w:sz w:val="20"/>
          <w:szCs w:val="20"/>
          <w:color w:val="auto"/>
        </w:rPr>
      </w:pPr>
      <w:r>
        <w:rPr>
          <w:rFonts w:ascii="Arial" w:cs="Arial" w:eastAsia="Arial" w:hAnsi="Arial"/>
          <w:sz w:val="13"/>
          <w:szCs w:val="13"/>
          <w:color w:val="auto"/>
        </w:rPr>
        <w:t>The number of competitors that we are aware of marketing sacroiliac joint fusion products in the United States has grown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w:t>
      </w:r>
    </w:p>
    <w:p>
      <w:pPr>
        <w:spacing w:after="0" w:line="132" w:lineRule="exact"/>
        <w:rPr>
          <w:sz w:val="20"/>
          <w:szCs w:val="20"/>
          <w:color w:val="auto"/>
        </w:rPr>
      </w:pPr>
    </w:p>
    <w:p>
      <w:pPr>
        <w:jc w:val="both"/>
        <w:ind w:firstLine="350"/>
        <w:spacing w:after="0" w:line="249" w:lineRule="auto"/>
        <w:rPr>
          <w:sz w:val="20"/>
          <w:szCs w:val="20"/>
          <w:color w:val="auto"/>
        </w:rPr>
      </w:pPr>
      <w:r>
        <w:rPr>
          <w:rFonts w:ascii="Arial" w:cs="Arial" w:eastAsia="Arial" w:hAnsi="Arial"/>
          <w:sz w:val="14"/>
          <w:szCs w:val="14"/>
          <w:color w:val="auto"/>
        </w:rPr>
        <w:t>In the United States, we believe that our primary competitors marketing implantable devices currently are Globus Medical, Inc. and Medtronic plc.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44"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54"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In addition, a number of companies selling allograft implants for use by a variety of physicians have collectively become a much larger presence in our market. If customers view allograft implants and our products as interchangeable, we risk increased pricing pressure on our products. It is unclear how the creation of the Category III code for these procedures effective January 1, 2023, and the conversion of the Category III Code to a Category I Code effective January 1, 2024, will impact the market for these products and procedures.</w:t>
      </w:r>
    </w:p>
    <w:p>
      <w:pPr>
        <w:spacing w:after="0" w:line="142"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4"/>
          <w:szCs w:val="14"/>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317"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32" w:name="page33"/>
    <w:bookmarkEnd w:id="32"/>
    <w:p>
      <w:pPr>
        <w:jc w:val="both"/>
        <w:spacing w:after="0" w:line="265" w:lineRule="auto"/>
        <w:rPr>
          <w:sz w:val="20"/>
          <w:szCs w:val="20"/>
          <w:color w:val="auto"/>
        </w:rPr>
      </w:pPr>
      <w:r>
        <w:rPr>
          <w:rFonts w:ascii="Arial" w:cs="Arial" w:eastAsia="Arial" w:hAnsi="Arial"/>
          <w:sz w:val="14"/>
          <w:szCs w:val="14"/>
          <w:b w:val="1"/>
          <w:bCs w:val="1"/>
          <w:i w:val="1"/>
          <w:iCs w:val="1"/>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143"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Substantially all of our revenue comes from the sale of iFuse, iFuse-3D, iFuse-TORQ, and iFuse Bedrock Granite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143" w:lineRule="exact"/>
        <w:rPr>
          <w:sz w:val="20"/>
          <w:szCs w:val="20"/>
          <w:color w:val="auto"/>
        </w:rPr>
      </w:pPr>
    </w:p>
    <w:p>
      <w:pPr>
        <w:ind w:right="80"/>
        <w:spacing w:after="0" w:line="349" w:lineRule="auto"/>
        <w:rPr>
          <w:sz w:val="20"/>
          <w:szCs w:val="20"/>
          <w:color w:val="auto"/>
        </w:rPr>
      </w:pPr>
      <w:r>
        <w:rPr>
          <w:rFonts w:ascii="Arial" w:cs="Arial" w:eastAsia="Arial" w:hAnsi="Arial"/>
          <w:sz w:val="12"/>
          <w:szCs w:val="12"/>
          <w:b w:val="1"/>
          <w:bCs w:val="1"/>
          <w:i w:val="1"/>
          <w:iCs w:val="1"/>
          <w:color w:val="auto"/>
        </w:rPr>
        <w:t>If clinical experience with our iFuse Bedrock technique or iFuse Bedrock Granite does not result in positive outcomes for patients, or if clinical trials involving the use of iFuse Bedrock and/or iFuse Bedrock Granite fail to show meaningful patient benefit, sales of our iFuse, iFuse-3D, iFuse-TORQ and/or iFuse Bedrock Granite implants could be adversely impacted.</w:t>
      </w:r>
    </w:p>
    <w:p>
      <w:pPr>
        <w:spacing w:after="0" w:line="119" w:lineRule="exact"/>
        <w:rPr>
          <w:sz w:val="20"/>
          <w:szCs w:val="20"/>
          <w:color w:val="auto"/>
        </w:rPr>
      </w:pPr>
    </w:p>
    <w:p>
      <w:pPr>
        <w:jc w:val="both"/>
        <w:ind w:firstLine="350"/>
        <w:spacing w:after="0" w:line="274" w:lineRule="auto"/>
        <w:rPr>
          <w:sz w:val="20"/>
          <w:szCs w:val="20"/>
          <w:color w:val="auto"/>
        </w:rPr>
      </w:pPr>
      <w:r>
        <w:rPr>
          <w:rFonts w:ascii="Arial" w:cs="Arial" w:eastAsia="Arial" w:hAnsi="Arial"/>
          <w:sz w:val="13"/>
          <w:szCs w:val="13"/>
          <w:color w:val="auto"/>
        </w:rPr>
        <w:t>In November 2018, we introduced our iFuse Bedrock technique, in which spine surgeons place iFuse triangular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In May 2022, we introduced iFuse Bedrock Granite, an implant which fuses the sacroiliac joint and attaches to the rods placed in a multi-segment spinal fusion construct, and which is used in substantially similar procedures as the iFuse Bedrock technique. To date, clinical experience with the iFuse Bedrock technique and with iFuse Bedrock Granite is limited and we have yet to complete a clinical trial to evaluate the iFuse Bedrock technique or the iFuse Bedrock Granite implant. Surgeons do not know if the addition of sacroiliac fusion devices to the implants used to fuse multiple levels of the lumbar spine will result in patient benefit. If surgeons'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maintain our network of direct sales representatives and third-party distributors, we may not be able to generate anticipated sales.</w:t>
      </w:r>
    </w:p>
    <w:p>
      <w:pPr>
        <w:spacing w:after="0" w:line="179"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As of December 31, 2022, our U.S. sales force consisted of 88 territory sales managers and 73 clinical support specialists directly employed by us and 105 third-party distributors. As of December 31, 2022, our international sales force consisted of 18 sales representatives directly employed by us and 30 exclusive third-party distributors, which together have had sales in 38 countries through December 31, 2022. Our operating results are directly dependent upon the sales and marketing efforts of both our direct sales force and of our third-party distributors.</w:t>
      </w:r>
    </w:p>
    <w:p>
      <w:pPr>
        <w:spacing w:after="0" w:line="124"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3"/>
          <w:szCs w:val="13"/>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and pelvic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distributor departs and is retained by one of our competitors, we may be unable to prevent them from helping competitors solicit business from our existing customers, which could further adversely affect our sales. The launch of new products or entrance into new markets could distract our sales representatives from existing customers and markets and redirect resources from existing to novel markets. Furthermore, any such change affects our ability to hire, contract with and retain members of our direct sales force and third-party distributors.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 If our direct sales representatives or third-party distributors fail to adequately promote, market and sell our products or decide to leave or cease to do business with us, our sales could significantly decrease.</w:t>
      </w:r>
    </w:p>
    <w:p>
      <w:pPr>
        <w:spacing w:after="0" w:line="136"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302"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i w:val="1"/>
          <w:iCs w:val="1"/>
          <w:color w:val="auto"/>
        </w:rPr>
        <w:t>Our business could suffer if we lose the services of key members of our senior management, key advisors or personnel.</w:t>
      </w:r>
    </w:p>
    <w:p>
      <w:pPr>
        <w:spacing w:after="0" w:line="168" w:lineRule="exact"/>
        <w:rPr>
          <w:sz w:val="20"/>
          <w:szCs w:val="20"/>
          <w:color w:val="auto"/>
        </w:rPr>
      </w:pPr>
    </w:p>
    <w:p>
      <w:pPr>
        <w:jc w:val="both"/>
        <w:ind w:firstLine="350"/>
        <w:spacing w:after="0" w:line="252" w:lineRule="auto"/>
        <w:rPr>
          <w:sz w:val="20"/>
          <w:szCs w:val="20"/>
          <w:color w:val="auto"/>
        </w:rPr>
      </w:pPr>
      <w:r>
        <w:rPr>
          <w:rFonts w:ascii="Arial" w:cs="Arial" w:eastAsia="Arial" w:hAnsi="Arial"/>
          <w:sz w:val="14"/>
          <w:szCs w:val="14"/>
          <w:color w:val="auto"/>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6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Our business is highly reliant on a base of skilled employees, including those serving in engineering, information technology, operational, strategic marketing and sales functions. Many of these employees have developed specialized skills which are valuable within the medical device and life sciences industry, and, in some cases, in a broader variety of industries. Competition for skilled employees is significant, and some of the labor markets we compete in have experienced tightening in the past year. In addition, rates of employee turnover have increased among our employees, consistent with the rates experienced by other companies in these industries. If these conditions persist, we could experience further turnover among our employees which could become difficult and more costly to manage, adversely impacting our results of operation. Sustained pressure in these labor markets could also cause prevailing wages to rise, which could adversely impact our business, results of operation and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use of our products results in adverse events, this may require them to be taken off the market, require them to include safety warnings or otherwise limit their sales.</w:t>
      </w:r>
    </w:p>
    <w:p>
      <w:pPr>
        <w:spacing w:after="0" w:line="168"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we or others later identify adverse events caused by our products:</w:t>
      </w:r>
    </w:p>
    <w:p>
      <w:pPr>
        <w:spacing w:after="0" w:line="168" w:lineRule="exact"/>
        <w:rPr>
          <w:sz w:val="20"/>
          <w:szCs w:val="20"/>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sales of the product may decrease significantly, and we may not achieve the anticipated market share;</w:t>
      </w:r>
    </w:p>
    <w:p>
      <w:pPr>
        <w:spacing w:after="0" w:line="125" w:lineRule="exact"/>
        <w:rPr>
          <w:rFonts w:ascii="Arial" w:cs="Arial" w:eastAsia="Arial" w:hAnsi="Arial"/>
          <w:sz w:val="14"/>
          <w:szCs w:val="14"/>
          <w:color w:val="auto"/>
        </w:rPr>
      </w:pPr>
    </w:p>
    <w:p>
      <w:pPr>
        <w:ind w:left="700" w:hanging="313"/>
        <w:spacing w:after="0" w:line="281" w:lineRule="auto"/>
        <w:tabs>
          <w:tab w:leader="none" w:pos="71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79"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be required to change instructions regarding the way the product is implanted or conduct additional clinical trials;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be subject to limitations on how we may promote the product;</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regulatory authorities may require us to temporarily or permanently take our approved product off the market or to conduct other field safety corrective actions;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be required to modify our product;</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be subject to litigation fines or product liability claims; and</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25"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4"/>
          <w:szCs w:val="14"/>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4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Unfavorable media reports or other negative publicity concerning both alleged improper methods of tissue recovery from donors and disease transmission from donated tissue could limit widespread acceptance of some of our products.</w:t>
      </w:r>
    </w:p>
    <w:p>
      <w:pPr>
        <w:spacing w:after="0" w:line="13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4"/>
          <w:szCs w:val="14"/>
          <w:color w:val="auto"/>
        </w:rPr>
        <w:t>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spacing w:after="0" w:line="155"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i w:val="1"/>
          <w:iCs w:val="1"/>
          <w:color w:val="auto"/>
        </w:rPr>
        <w:t>Various factors outside our direct control may adversely affect manufacturing, sterilization, and distribution of our products.</w:t>
      </w:r>
    </w:p>
    <w:p>
      <w:pPr>
        <w:spacing w:after="0" w:line="168"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4"/>
          <w:szCs w:val="14"/>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94" w:lineRule="exact"/>
        <w:rPr>
          <w:sz w:val="20"/>
          <w:szCs w:val="20"/>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failure to complete sterilization on time or in compliance with the required regulatory standards;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transportation and import and export risk;</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delays in analytical results or failure of analytical techniques that we depend on for quality control and release of products;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large-scale epidemics of communicable diseases such as COVID-19;</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supply chain disruptions, including those caused by material and labor supply shortages in the wake of COVID-19;</w:t>
      </w:r>
    </w:p>
    <w:p>
      <w:pPr>
        <w:spacing w:after="0" w:line="125" w:lineRule="exact"/>
        <w:rPr>
          <w:rFonts w:ascii="Arial" w:cs="Arial" w:eastAsia="Arial" w:hAnsi="Arial"/>
          <w:sz w:val="14"/>
          <w:szCs w:val="14"/>
          <w:color w:val="auto"/>
        </w:rPr>
      </w:pPr>
    </w:p>
    <w:p>
      <w:pPr>
        <w:ind w:left="700" w:hanging="313"/>
        <w:spacing w:after="0" w:line="265" w:lineRule="auto"/>
        <w:tabs>
          <w:tab w:leader="none" w:pos="673" w:val="left"/>
        </w:tabs>
        <w:numPr>
          <w:ilvl w:val="0"/>
          <w:numId w:val="19"/>
        </w:numPr>
        <w:rPr>
          <w:rFonts w:ascii="Arial" w:cs="Arial" w:eastAsia="Arial" w:hAnsi="Arial"/>
          <w:sz w:val="14"/>
          <w:szCs w:val="14"/>
          <w:color w:val="auto"/>
        </w:rPr>
      </w:pPr>
      <w:r>
        <w:rPr>
          <w:rFonts w:ascii="Arial" w:cs="Arial" w:eastAsia="Arial" w:hAnsi="Arial"/>
          <w:sz w:val="14"/>
          <w:szCs w:val="14"/>
          <w:color w:val="auto"/>
        </w:rPr>
        <w:t>natural disasters, labor disputes, financial distress, raw material availability, issues with facilities and equipment, or other forms of disruption to business operations affecting our manufacturers or suppliers; and</w:t>
      </w:r>
    </w:p>
    <w:p>
      <w:pPr>
        <w:spacing w:after="0" w:line="100"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latent defects that may become apparent after products have been released and that may result in a recall or field safety corrective action with respect to such products.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any of these risks were to materialize, our ability to provide our products to customers on a timely basis could be adversely impacted.</w:t>
      </w:r>
    </w:p>
    <w:p>
      <w:pPr>
        <w:spacing w:after="0" w:line="168"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75"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spacing w:after="0" w:line="143"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4"/>
          <w:szCs w:val="14"/>
          <w:color w:val="auto"/>
        </w:rPr>
        <w:t>In addition, future growth could strain the ability of our suppliers to deliver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37"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We generally use a small number of suppliers for our instruments and currently rely on RMS for iFuse-3D implants and Orchid for iFuse implants. Our dependence on such a limited number of suppliers exposes us to risks, including, among other things:</w:t>
      </w:r>
    </w:p>
    <w:p>
      <w:pPr>
        <w:spacing w:after="0" w:line="122" w:lineRule="exact"/>
        <w:rPr>
          <w:sz w:val="20"/>
          <w:szCs w:val="20"/>
          <w:color w:val="auto"/>
        </w:rPr>
      </w:pPr>
    </w:p>
    <w:p>
      <w:pPr>
        <w:ind w:left="700" w:hanging="313"/>
        <w:spacing w:after="0" w:line="265" w:lineRule="auto"/>
        <w:tabs>
          <w:tab w:leader="none" w:pos="597"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00" w:lineRule="exact"/>
        <w:rPr>
          <w:rFonts w:ascii="Arial" w:cs="Arial" w:eastAsia="Arial" w:hAnsi="Arial"/>
          <w:sz w:val="14"/>
          <w:szCs w:val="14"/>
          <w:color w:val="auto"/>
        </w:rPr>
      </w:pPr>
    </w:p>
    <w:p>
      <w:pPr>
        <w:ind w:left="700" w:hanging="313"/>
        <w:spacing w:after="0" w:line="265" w:lineRule="auto"/>
        <w:tabs>
          <w:tab w:leader="none" w:pos="585"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90" w:lineRule="exact"/>
        <w:rPr>
          <w:rFonts w:ascii="Arial" w:cs="Arial" w:eastAsia="Arial" w:hAnsi="Arial"/>
          <w:sz w:val="14"/>
          <w:szCs w:val="14"/>
          <w:color w:val="auto"/>
        </w:rPr>
      </w:pPr>
    </w:p>
    <w:p>
      <w:pPr>
        <w:ind w:left="700" w:hanging="313"/>
        <w:spacing w:after="0" w:line="281" w:lineRule="auto"/>
        <w:tabs>
          <w:tab w:leader="none" w:pos="604"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79" w:lineRule="exact"/>
        <w:rPr>
          <w:rFonts w:ascii="Arial" w:cs="Arial" w:eastAsia="Arial" w:hAnsi="Arial"/>
          <w:sz w:val="14"/>
          <w:szCs w:val="14"/>
          <w:color w:val="auto"/>
        </w:rPr>
      </w:pPr>
    </w:p>
    <w:p>
      <w:pPr>
        <w:ind w:left="480" w:hanging="93"/>
        <w:spacing w:after="0"/>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or our third-party manufacturers and suppliers may be subject to price fluctuations due to a lack of long-term supply arrangements for key components;</w:t>
      </w:r>
    </w:p>
    <w:p>
      <w:pPr>
        <w:spacing w:after="0" w:line="125" w:lineRule="exact"/>
        <w:rPr>
          <w:rFonts w:ascii="Arial" w:cs="Arial" w:eastAsia="Arial" w:hAnsi="Arial"/>
          <w:sz w:val="14"/>
          <w:szCs w:val="14"/>
          <w:color w:val="auto"/>
        </w:rPr>
      </w:pPr>
    </w:p>
    <w:p>
      <w:pPr>
        <w:ind w:left="700" w:hanging="313"/>
        <w:spacing w:after="0" w:line="281" w:lineRule="auto"/>
        <w:tabs>
          <w:tab w:leader="none" w:pos="477"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or our third-party manufacturers and suppliers may lose access to critical services, raw materials and components, or experience significant delays in obtaining them, resulting in an interruption in the manufacture, assembly and shipment of our systems;</w:t>
      </w:r>
    </w:p>
    <w:p>
      <w:pPr>
        <w:spacing w:after="0" w:line="260"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35" w:name="page36"/>
    <w:bookmarkEnd w:id="35"/>
    <w:p>
      <w:pPr>
        <w:ind w:left="700" w:hanging="313"/>
        <w:spacing w:after="0" w:line="265" w:lineRule="auto"/>
        <w:tabs>
          <w:tab w:leader="none" w:pos="6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spacing w:after="0" w:line="100" w:lineRule="exact"/>
        <w:rPr>
          <w:rFonts w:ascii="Arial" w:cs="Arial" w:eastAsia="Arial" w:hAnsi="Arial"/>
          <w:sz w:val="14"/>
          <w:szCs w:val="14"/>
          <w:color w:val="auto"/>
        </w:rPr>
      </w:pPr>
    </w:p>
    <w:p>
      <w:pPr>
        <w:ind w:left="480" w:hanging="93"/>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experience delays in delivery by our third-party manufacturers and suppliers due to changes in demand from us or their other customers;</w:t>
      </w:r>
    </w:p>
    <w:p>
      <w:pPr>
        <w:spacing w:after="0" w:line="125" w:lineRule="exact"/>
        <w:rPr>
          <w:rFonts w:ascii="Arial" w:cs="Arial" w:eastAsia="Arial" w:hAnsi="Arial"/>
          <w:sz w:val="14"/>
          <w:szCs w:val="14"/>
          <w:color w:val="auto"/>
        </w:rPr>
      </w:pPr>
    </w:p>
    <w:p>
      <w:pPr>
        <w:ind w:left="700" w:hanging="313"/>
        <w:spacing w:after="0" w:line="265" w:lineRule="auto"/>
        <w:tabs>
          <w:tab w:leader="none" w:pos="6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fluctuations in demand for products that our third-party manufacturers and suppliers manufacture for others may affect their ability or willingness to deliver components to us in a timely manner;</w:t>
      </w:r>
    </w:p>
    <w:p>
      <w:pPr>
        <w:spacing w:after="0" w:line="100"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third-party manufacturers and suppliers may wish to discontinue supplying components or services to us for risk management reasons;</w:t>
      </w:r>
    </w:p>
    <w:p>
      <w:pPr>
        <w:spacing w:after="0" w:line="125" w:lineRule="exact"/>
        <w:rPr>
          <w:rFonts w:ascii="Arial" w:cs="Arial" w:eastAsia="Arial" w:hAnsi="Arial"/>
          <w:sz w:val="14"/>
          <w:szCs w:val="14"/>
          <w:color w:val="auto"/>
        </w:rPr>
      </w:pPr>
    </w:p>
    <w:p>
      <w:pPr>
        <w:ind w:left="700" w:hanging="313"/>
        <w:spacing w:after="0" w:line="265" w:lineRule="auto"/>
        <w:tabs>
          <w:tab w:leader="none" w:pos="6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not be able to find new or alternative components or reconfigure our system and manufacturing processes in a timely manner if the necessary components become unavailable; and</w:t>
      </w:r>
    </w:p>
    <w:p>
      <w:pPr>
        <w:spacing w:after="0" w:line="100"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third-party manufacturers and suppliers may encounter financial hardships unrelated to our demand, which could inhibit their ability to fulfill our orders and meet our requirements.</w:t>
      </w:r>
    </w:p>
    <w:p>
      <w:pPr>
        <w:spacing w:after="0" w:line="137"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4"/>
          <w:szCs w:val="14"/>
          <w:color w:val="auto"/>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37" w:lineRule="exact"/>
        <w:rPr>
          <w:sz w:val="20"/>
          <w:szCs w:val="20"/>
          <w:color w:val="auto"/>
        </w:rPr>
      </w:pPr>
    </w:p>
    <w:p>
      <w:pPr>
        <w:jc w:val="both"/>
        <w:ind w:firstLine="350"/>
        <w:spacing w:after="0" w:line="246" w:lineRule="auto"/>
        <w:rPr>
          <w:sz w:val="20"/>
          <w:szCs w:val="20"/>
          <w:color w:val="auto"/>
        </w:rPr>
      </w:pPr>
      <w:r>
        <w:rPr>
          <w:rFonts w:ascii="Arial" w:cs="Arial" w:eastAsia="Arial" w:hAnsi="Arial"/>
          <w:sz w:val="14"/>
          <w:szCs w:val="14"/>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49"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55" w:lineRule="exact"/>
        <w:rPr>
          <w:sz w:val="20"/>
          <w:szCs w:val="20"/>
          <w:color w:val="auto"/>
        </w:rPr>
      </w:pPr>
    </w:p>
    <w:p>
      <w:pPr>
        <w:jc w:val="both"/>
        <w:ind w:firstLine="350"/>
        <w:spacing w:after="0" w:line="272" w:lineRule="auto"/>
        <w:rPr>
          <w:sz w:val="20"/>
          <w:szCs w:val="20"/>
          <w:color w:val="auto"/>
        </w:rPr>
      </w:pPr>
      <w:r>
        <w:rPr>
          <w:rFonts w:ascii="Arial" w:cs="Arial" w:eastAsia="Arial" w:hAnsi="Arial"/>
          <w:sz w:val="13"/>
          <w:szCs w:val="13"/>
          <w:color w:val="auto"/>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29" w:lineRule="exact"/>
        <w:rPr>
          <w:sz w:val="20"/>
          <w:szCs w:val="20"/>
          <w:color w:val="auto"/>
        </w:rPr>
      </w:pPr>
    </w:p>
    <w:p>
      <w:pPr>
        <w:jc w:val="both"/>
        <w:ind w:firstLine="350"/>
        <w:spacing w:after="0" w:line="277" w:lineRule="auto"/>
        <w:rPr>
          <w:sz w:val="20"/>
          <w:szCs w:val="20"/>
          <w:color w:val="auto"/>
        </w:rPr>
      </w:pPr>
      <w:r>
        <w:rPr>
          <w:rFonts w:ascii="Arial" w:cs="Arial" w:eastAsia="Arial" w:hAnsi="Arial"/>
          <w:sz w:val="13"/>
          <w:szCs w:val="13"/>
          <w:color w:val="auto"/>
        </w:rPr>
        <w:t>In addition, each of our third-party suppliers operates at a facility in a single location and substantially all of our inventory of component supplies and finished goods is held at these locations. A local outbreak of COVID-19 cases,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307"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36" w:name="page37"/>
    <w:bookmarkEnd w:id="36"/>
    <w:p>
      <w:pPr>
        <w:spacing w:after="0" w:line="265" w:lineRule="auto"/>
        <w:rPr>
          <w:sz w:val="20"/>
          <w:szCs w:val="20"/>
          <w:color w:val="auto"/>
        </w:rPr>
      </w:pPr>
      <w:r>
        <w:rPr>
          <w:rFonts w:ascii="Arial" w:cs="Arial" w:eastAsia="Arial" w:hAnsi="Arial"/>
          <w:sz w:val="14"/>
          <w:szCs w:val="14"/>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43" w:lineRule="exact"/>
        <w:rPr>
          <w:sz w:val="20"/>
          <w:szCs w:val="20"/>
          <w:color w:val="auto"/>
        </w:rPr>
      </w:pPr>
    </w:p>
    <w:p>
      <w:pPr>
        <w:ind w:firstLine="350"/>
        <w:spacing w:after="0" w:line="265" w:lineRule="auto"/>
        <w:rPr>
          <w:sz w:val="20"/>
          <w:szCs w:val="20"/>
          <w:color w:val="auto"/>
        </w:rPr>
      </w:pPr>
      <w:r>
        <w:rPr>
          <w:rFonts w:ascii="Arial" w:cs="Arial" w:eastAsia="Arial" w:hAnsi="Arial"/>
          <w:sz w:val="14"/>
          <w:szCs w:val="14"/>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90" w:lineRule="exact"/>
        <w:rPr>
          <w:sz w:val="20"/>
          <w:szCs w:val="20"/>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managing production yields;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maintaining quality control and assurance;</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providing component and service availability;</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maintaining adequate control policies and procedures;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hiring and retaining qualified personnel; and</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complying with state, federal, and foreign regulations.</w:t>
      </w:r>
    </w:p>
    <w:p>
      <w:pPr>
        <w:spacing w:after="0" w:line="125"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If we are unable to satisfy commercial demand for our products due to our inability to assemble and test, our ability to generate revenue would be impaired, market acceptance of our products could be adversely affected and customers may instead purchase or use our competitors’ products.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enhance and broaden our product offerings through our research and development efforts, we may be unable to compete effectively.</w:t>
      </w:r>
    </w:p>
    <w:p>
      <w:pPr>
        <w:spacing w:after="0" w:line="168"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112" w:lineRule="exact"/>
        <w:rPr>
          <w:sz w:val="20"/>
          <w:szCs w:val="20"/>
          <w:color w:val="auto"/>
        </w:rPr>
      </w:pPr>
    </w:p>
    <w:p>
      <w:pPr>
        <w:ind w:left="580" w:hanging="193"/>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properly identify and anticipate surgeon and patient needs;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develop and introduce new products or product enhancements in a timely manner;</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create sufficient product differentiation to expand overall market share and minimize cannibalization of existing product markets;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adequately protect our intellectual property and avoid infringing upon the intellectual property rights of third parties;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demonstrate the safety and effectiveness of new products; and</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obtain the necessary domestic and international regulatory clearances or approvals and CE Certificates of Conformity for new products or product enhancements.</w:t>
      </w:r>
    </w:p>
    <w:p>
      <w:pPr>
        <w:spacing w:after="0" w:line="179" w:lineRule="exact"/>
        <w:rPr>
          <w:sz w:val="20"/>
          <w:szCs w:val="20"/>
          <w:color w:val="auto"/>
        </w:rPr>
      </w:pPr>
    </w:p>
    <w:p>
      <w:pPr>
        <w:jc w:val="both"/>
        <w:ind w:firstLine="350"/>
        <w:spacing w:after="0" w:line="272" w:lineRule="auto"/>
        <w:rPr>
          <w:sz w:val="20"/>
          <w:szCs w:val="20"/>
          <w:color w:val="auto"/>
        </w:rPr>
      </w:pPr>
      <w:r>
        <w:rPr>
          <w:rFonts w:ascii="Arial" w:cs="Arial" w:eastAsia="Arial" w:hAnsi="Arial"/>
          <w:sz w:val="13"/>
          <w:szCs w:val="13"/>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investment of time and resources before we are adequately able to 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31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i w:val="1"/>
          <w:iCs w:val="1"/>
          <w:color w:val="auto"/>
        </w:rPr>
        <w:t>We are required to maintain adequate levels of inventory, the failure of which could consume our resources and reduce our cash flows.</w:t>
      </w:r>
    </w:p>
    <w:p>
      <w:pPr>
        <w:spacing w:after="0" w:line="168" w:lineRule="exact"/>
        <w:rPr>
          <w:sz w:val="20"/>
          <w:szCs w:val="20"/>
          <w:color w:val="auto"/>
        </w:rPr>
      </w:pPr>
    </w:p>
    <w:p>
      <w:pPr>
        <w:jc w:val="both"/>
        <w:ind w:firstLine="350"/>
        <w:spacing w:after="0" w:line="249" w:lineRule="auto"/>
        <w:rPr>
          <w:sz w:val="20"/>
          <w:szCs w:val="20"/>
          <w:color w:val="auto"/>
        </w:rPr>
      </w:pPr>
      <w:r>
        <w:rPr>
          <w:rFonts w:ascii="Arial" w:cs="Arial" w:eastAsia="Arial" w:hAnsi="Arial"/>
          <w:sz w:val="14"/>
          <w:szCs w:val="14"/>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i w:val="1"/>
          <w:iCs w:val="1"/>
          <w:color w:val="auto"/>
        </w:rPr>
        <w:t>The size and future growth in the market for our iFuse products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137" w:lineRule="exact"/>
        <w:rPr>
          <w:sz w:val="20"/>
          <w:szCs w:val="20"/>
          <w:color w:val="auto"/>
        </w:rPr>
      </w:pPr>
    </w:p>
    <w:p>
      <w:pPr>
        <w:jc w:val="both"/>
        <w:ind w:firstLine="350"/>
        <w:spacing w:after="0" w:line="268" w:lineRule="auto"/>
        <w:rPr>
          <w:sz w:val="20"/>
          <w:szCs w:val="20"/>
          <w:color w:val="auto"/>
        </w:rPr>
      </w:pPr>
      <w:r>
        <w:rPr>
          <w:rFonts w:ascii="Arial" w:cs="Arial" w:eastAsia="Arial" w:hAnsi="Arial"/>
          <w:sz w:val="13"/>
          <w:szCs w:val="13"/>
          <w:color w:val="auto"/>
        </w:rPr>
        <w:t>We are not aware of an independent third-party study that reliably reports the potential market size for our iFuse products or cost savings as a result of the iFuse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results of operations could suffer if we are unable to manage our international business effectively.</w:t>
      </w:r>
    </w:p>
    <w:p>
      <w:pPr>
        <w:spacing w:after="0" w:line="179" w:lineRule="exact"/>
        <w:rPr>
          <w:sz w:val="20"/>
          <w:szCs w:val="20"/>
          <w:color w:val="auto"/>
        </w:rPr>
      </w:pPr>
    </w:p>
    <w:p>
      <w:pPr>
        <w:jc w:val="both"/>
        <w:ind w:firstLine="350"/>
        <w:spacing w:after="0" w:line="245" w:lineRule="auto"/>
        <w:rPr>
          <w:sz w:val="20"/>
          <w:szCs w:val="20"/>
          <w:color w:val="auto"/>
        </w:rPr>
      </w:pPr>
      <w:r>
        <w:rPr>
          <w:rFonts w:ascii="Arial" w:cs="Arial" w:eastAsia="Arial" w:hAnsi="Arial"/>
          <w:sz w:val="14"/>
          <w:szCs w:val="14"/>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addition, some of the countries in which we sell or plan to sell our products are, to some degree, subject to various risks, including:</w:t>
      </w:r>
    </w:p>
    <w:p>
      <w:pPr>
        <w:spacing w:after="0" w:line="179" w:lineRule="exact"/>
        <w:rPr>
          <w:sz w:val="20"/>
          <w:szCs w:val="20"/>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exposure to different legal and regulatory standards;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lack of stringent protection of intellectual property;</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inability of the local healthcare system to absorb prices for our product that would enable our business to become profitable in those markets;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obstacles to obtaining domestic and foreign export, import, and other governmental approvals, permits, and licenses and compliance with foreign laws;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potentially adverse tax consequences and the complexities of foreign value-added tax systems;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adverse changes in tariffs and trade restrictions;</w:t>
      </w:r>
    </w:p>
    <w:p>
      <w:pPr>
        <w:spacing w:after="0" w:line="306"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38" w:name="page39"/>
    <w:bookmarkEnd w:id="38"/>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limitations on the repatriation of earnings;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difficulties in staffing and managing foreign operations;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insufficient numbers of patients requiring procedures that use our products;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transportation delays and difficulties of managing international distribution channels;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longer collection periods and difficulties in collecting receivables from foreign entities;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increased financing costs;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currency risks; and</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political, social, and economic instability and increased security concerns.</w:t>
      </w:r>
    </w:p>
    <w:p>
      <w:pPr>
        <w:spacing w:after="0" w:line="179"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4"/>
          <w:szCs w:val="14"/>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33"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4"/>
          <w:szCs w:val="14"/>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the future our products may become obsolete, which would negatively affect operations and financial condition.</w:t>
      </w:r>
    </w:p>
    <w:p>
      <w:pPr>
        <w:spacing w:after="0" w:line="179"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144" w:lineRule="exact"/>
        <w:rPr>
          <w:sz w:val="20"/>
          <w:szCs w:val="20"/>
          <w:color w:val="auto"/>
        </w:rPr>
      </w:pPr>
    </w:p>
    <w:p>
      <w:pPr>
        <w:jc w:val="center"/>
        <w:ind w:right="1560"/>
        <w:spacing w:after="0"/>
        <w:rPr>
          <w:sz w:val="20"/>
          <w:szCs w:val="20"/>
          <w:color w:val="auto"/>
        </w:rPr>
      </w:pPr>
      <w:r>
        <w:rPr>
          <w:rFonts w:ascii="Arial" w:cs="Arial" w:eastAsia="Arial" w:hAnsi="Arial"/>
          <w:sz w:val="12"/>
          <w:szCs w:val="12"/>
          <w:b w:val="1"/>
          <w:bCs w:val="1"/>
          <w:i w:val="1"/>
          <w:iCs w:val="1"/>
          <w:color w:val="auto"/>
        </w:rPr>
        <w:t>If we experience significant disruptions in our information technology systems, our business, results of operations, and financial condition could be adversely affected.</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efficient operation of our business depends on our information technology systems. We rely on our information technology systems to effectively manage:</w:t>
      </w:r>
    </w:p>
    <w:p>
      <w:pPr>
        <w:spacing w:after="0" w:line="168" w:lineRule="exact"/>
        <w:rPr>
          <w:sz w:val="20"/>
          <w:szCs w:val="20"/>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sales and marketing, accounting, and financial functions;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customer relationship management;</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inventory management;</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compliance and regulatory reporting requirements;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engineering and product development tasks; and</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research and development data.</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information technology systems are vulnerable to damage or interruption from:</w:t>
      </w:r>
    </w:p>
    <w:p>
      <w:pPr>
        <w:spacing w:after="0" w:line="168" w:lineRule="exact"/>
        <w:rPr>
          <w:sz w:val="20"/>
          <w:szCs w:val="20"/>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earthquakes, fires, floods, and other natural disasters;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terrorist attacks and attacks by computer viruses or hackers or internal or external breaches of our cybersecurity;</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power losses; and</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computer systems, internet, telecommunications, or data network failures.</w:t>
      </w:r>
    </w:p>
    <w:p>
      <w:pPr>
        <w:spacing w:after="0" w:line="136" w:lineRule="exact"/>
        <w:rPr>
          <w:sz w:val="20"/>
          <w:szCs w:val="20"/>
          <w:color w:val="auto"/>
        </w:rPr>
      </w:pPr>
    </w:p>
    <w:p>
      <w:pPr>
        <w:ind w:firstLine="350"/>
        <w:spacing w:after="0" w:line="265" w:lineRule="auto"/>
        <w:rPr>
          <w:sz w:val="20"/>
          <w:szCs w:val="20"/>
          <w:color w:val="auto"/>
        </w:rPr>
      </w:pPr>
      <w:r>
        <w:rPr>
          <w:rFonts w:ascii="Arial" w:cs="Arial" w:eastAsia="Arial" w:hAnsi="Arial"/>
          <w:sz w:val="14"/>
          <w:szCs w:val="14"/>
          <w:color w:val="auto"/>
        </w:rPr>
        <w:t>The failure of our information technology systems to perform as we anticipate or our failure to effectively implement new systems could disrupt our entire operation and could result in decreased sales, increased overhead costs, excess inventory and product</w:t>
      </w:r>
    </w:p>
    <w:p>
      <w:pPr>
        <w:spacing w:after="0" w:line="14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shortages, and legal liability issues, all of which could have a material adverse effect on our reputation, business, results of operations, and financial condition.</w:t>
      </w:r>
    </w:p>
    <w:p>
      <w:pPr>
        <w:spacing w:after="0" w:line="179"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3"/>
          <w:szCs w:val="13"/>
          <w:color w:val="auto"/>
        </w:rPr>
        <w:t>Like other public companies, we have in the past, and in the future could be subject to instances of phishing attacks on our email systems, other cyber-attacks, industrial espionage, insider threats, computer denial-of-service attacks, computer viruses, ransomware and other malware, wire fraud or other cyber incidents. The techniques used to obtain unauthorized access, or to sabotage systems, are becoming more sophisticated, frequent and adaptive, and therefore we may be unable to anticipate these techniques or to implement adequate preventative measures. Any security breach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In addition, the cost and operational consequences of implementing further data protection or data restoration measures could be significant.</w:t>
      </w:r>
    </w:p>
    <w:p>
      <w:pPr>
        <w:spacing w:after="0" w:line="166" w:lineRule="exact"/>
        <w:rPr>
          <w:sz w:val="20"/>
          <w:szCs w:val="20"/>
          <w:color w:val="auto"/>
        </w:rPr>
      </w:pPr>
    </w:p>
    <w:p>
      <w:pPr>
        <w:jc w:val="both"/>
        <w:ind w:firstLine="350"/>
        <w:spacing w:after="0" w:line="245" w:lineRule="auto"/>
        <w:rPr>
          <w:sz w:val="20"/>
          <w:szCs w:val="20"/>
          <w:color w:val="auto"/>
        </w:rPr>
      </w:pPr>
      <w:r>
        <w:rPr>
          <w:rFonts w:ascii="Arial" w:cs="Arial" w:eastAsia="Arial" w:hAnsi="Arial"/>
          <w:sz w:val="14"/>
          <w:szCs w:val="14"/>
          <w:color w:val="auto"/>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spacing w:after="0" w:line="1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22" w:lineRule="exact"/>
        <w:rPr>
          <w:sz w:val="20"/>
          <w:szCs w:val="20"/>
          <w:color w:val="auto"/>
        </w:rPr>
      </w:pPr>
    </w:p>
    <w:p>
      <w:pPr>
        <w:jc w:val="both"/>
        <w:ind w:firstLine="350"/>
        <w:spacing w:after="0" w:line="304" w:lineRule="auto"/>
        <w:rPr>
          <w:sz w:val="20"/>
          <w:szCs w:val="20"/>
          <w:color w:val="auto"/>
        </w:rPr>
      </w:pPr>
      <w:r>
        <w:rPr>
          <w:rFonts w:ascii="Arial" w:cs="Arial" w:eastAsia="Arial" w:hAnsi="Arial"/>
          <w:sz w:val="13"/>
          <w:szCs w:val="13"/>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20" w:lineRule="exact"/>
        <w:rPr>
          <w:sz w:val="20"/>
          <w:szCs w:val="20"/>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problems assimilating the purchased technologies, products, or business operations;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issues maintaining uniform standards, procedures, controls, and policies;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unanticipated costs and liabilities associated with acquisitions;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diversion of management’s attention from our core business;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adverse effects on existing business relationships with suppliers and customers;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risks associated with entering new markets in which we have limited or no experience;</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potential loss of key employees of acquired businesses; and</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increased legal and accounting compliance costs.</w:t>
      </w:r>
    </w:p>
    <w:p>
      <w:pPr>
        <w:spacing w:after="0" w:line="125" w:lineRule="exact"/>
        <w:rPr>
          <w:sz w:val="20"/>
          <w:szCs w:val="20"/>
          <w:color w:val="auto"/>
        </w:rPr>
      </w:pPr>
    </w:p>
    <w:p>
      <w:pPr>
        <w:jc w:val="both"/>
        <w:ind w:firstLine="350"/>
        <w:spacing w:after="0" w:line="304" w:lineRule="auto"/>
        <w:rPr>
          <w:sz w:val="20"/>
          <w:szCs w:val="20"/>
          <w:color w:val="auto"/>
        </w:rPr>
      </w:pPr>
      <w:r>
        <w:rPr>
          <w:rFonts w:ascii="Arial" w:cs="Arial" w:eastAsia="Arial" w:hAnsi="Arial"/>
          <w:sz w:val="12"/>
          <w:szCs w:val="12"/>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2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40" w:name="page41"/>
    <w:bookmarkEnd w:id="40"/>
    <w:p>
      <w:pPr>
        <w:jc w:val="both"/>
        <w:spacing w:after="0" w:line="265" w:lineRule="auto"/>
        <w:rPr>
          <w:sz w:val="20"/>
          <w:szCs w:val="20"/>
          <w:color w:val="auto"/>
        </w:rPr>
      </w:pPr>
      <w:r>
        <w:rPr>
          <w:rFonts w:ascii="Arial" w:cs="Arial" w:eastAsia="Arial" w:hAnsi="Arial"/>
          <w:sz w:val="14"/>
          <w:szCs w:val="14"/>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43" w:lineRule="exact"/>
        <w:rPr>
          <w:sz w:val="20"/>
          <w:szCs w:val="20"/>
          <w:color w:val="auto"/>
        </w:rPr>
      </w:pPr>
    </w:p>
    <w:p>
      <w:pPr>
        <w:jc w:val="both"/>
        <w:ind w:firstLine="350"/>
        <w:spacing w:after="0" w:line="295" w:lineRule="auto"/>
        <w:rPr>
          <w:sz w:val="20"/>
          <w:szCs w:val="20"/>
          <w:color w:val="auto"/>
        </w:rPr>
      </w:pPr>
      <w:r>
        <w:rPr>
          <w:rFonts w:ascii="Arial" w:cs="Arial" w:eastAsia="Arial" w:hAnsi="Arial"/>
          <w:sz w:val="12"/>
          <w:szCs w:val="12"/>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28" w:lineRule="exact"/>
        <w:rPr>
          <w:sz w:val="20"/>
          <w:szCs w:val="20"/>
          <w:color w:val="auto"/>
        </w:rPr>
      </w:pPr>
    </w:p>
    <w:p>
      <w:pPr>
        <w:jc w:val="both"/>
        <w:ind w:firstLine="350"/>
        <w:spacing w:after="0" w:line="246" w:lineRule="auto"/>
        <w:rPr>
          <w:sz w:val="20"/>
          <w:szCs w:val="20"/>
          <w:color w:val="auto"/>
        </w:rPr>
      </w:pPr>
      <w:r>
        <w:rPr>
          <w:rFonts w:ascii="Arial" w:cs="Arial" w:eastAsia="Arial" w:hAnsi="Arial"/>
          <w:sz w:val="14"/>
          <w:szCs w:val="14"/>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56" w:lineRule="exact"/>
        <w:rPr>
          <w:sz w:val="20"/>
          <w:szCs w:val="20"/>
          <w:color w:val="auto"/>
        </w:rPr>
      </w:pPr>
    </w:p>
    <w:p>
      <w:pPr>
        <w:jc w:val="both"/>
        <w:ind w:firstLine="350"/>
        <w:spacing w:after="0" w:line="245" w:lineRule="auto"/>
        <w:rPr>
          <w:sz w:val="20"/>
          <w:szCs w:val="20"/>
          <w:color w:val="auto"/>
        </w:rPr>
      </w:pPr>
      <w:r>
        <w:rPr>
          <w:rFonts w:ascii="Arial" w:cs="Arial" w:eastAsia="Arial" w:hAnsi="Arial"/>
          <w:sz w:val="14"/>
          <w:szCs w:val="14"/>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term loan contains covenants that may restrict our business and financing activities.</w:t>
      </w:r>
    </w:p>
    <w:p>
      <w:pPr>
        <w:spacing w:after="0" w:line="179"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Our Loan and Security Agreement (as amended, the "Amended Loan Agreement") with Silicon Valley Bank (“SVB”) contains customary events of default, including bankruptcy, the failure to make payments when due, the occurrence of a material impairment on SVB's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spacing w:after="0" w:line="143"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The Amended Loan Agreement is secured by substantially all our assets other than our intellectual property. The Amended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spacing w:after="0" w:line="144" w:lineRule="exact"/>
        <w:rPr>
          <w:sz w:val="20"/>
          <w:szCs w:val="20"/>
          <w:color w:val="auto"/>
        </w:rPr>
      </w:pPr>
    </w:p>
    <w:p>
      <w:pPr>
        <w:ind w:right="80" w:firstLine="350"/>
        <w:spacing w:after="0" w:line="241" w:lineRule="auto"/>
        <w:rPr>
          <w:sz w:val="20"/>
          <w:szCs w:val="20"/>
          <w:color w:val="auto"/>
        </w:rPr>
      </w:pPr>
      <w:r>
        <w:rPr>
          <w:rFonts w:ascii="Arial" w:cs="Arial" w:eastAsia="Arial" w:hAnsi="Arial"/>
          <w:sz w:val="14"/>
          <w:szCs w:val="14"/>
          <w:color w:val="auto"/>
        </w:rPr>
        <w:t>The covenants in the Amended Loan Agreement,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the Amended Loan Agreement to become immediately due and payable.</w:t>
      </w:r>
    </w:p>
    <w:p>
      <w:pPr>
        <w:spacing w:after="0" w:line="160"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302"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Risks Related to Our Legal and Regulatory Environment</w:t>
      </w:r>
    </w:p>
    <w:p>
      <w:pPr>
        <w:spacing w:after="0" w:line="183"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143" w:lineRule="exact"/>
        <w:rPr>
          <w:sz w:val="20"/>
          <w:szCs w:val="20"/>
          <w:color w:val="auto"/>
        </w:rPr>
      </w:pPr>
    </w:p>
    <w:p>
      <w:pPr>
        <w:ind w:firstLine="350"/>
        <w:spacing w:after="0" w:line="265" w:lineRule="auto"/>
        <w:rPr>
          <w:sz w:val="20"/>
          <w:szCs w:val="20"/>
          <w:color w:val="auto"/>
        </w:rPr>
      </w:pPr>
      <w:r>
        <w:rPr>
          <w:rFonts w:ascii="Arial" w:cs="Arial" w:eastAsia="Arial" w:hAnsi="Arial"/>
          <w:sz w:val="14"/>
          <w:szCs w:val="14"/>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133" w:lineRule="exact"/>
        <w:rPr>
          <w:sz w:val="20"/>
          <w:szCs w:val="20"/>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design, development, and manufacturing;</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testing, labeling, content, and language of instructions for use and storage;</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clinical trials;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product safety;</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marketing, sales, and distribution;</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premarket clearance and approval;</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conformity assessment procedures;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record keeping procedures;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advertising and promotion;</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compliance with good manufacturing practices requirements;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recalls and field safety corrective actions;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post-market surveillance, including reporting of deaths or serious injuries and malfunctions that, if they were to recur, could lead to death or serious injury;</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post-market approval studies; and</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product import and export.</w:t>
      </w:r>
    </w:p>
    <w:p>
      <w:pPr>
        <w:spacing w:after="0" w:line="168"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4"/>
          <w:szCs w:val="14"/>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43"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3"/>
          <w:szCs w:val="13"/>
          <w:color w:val="auto"/>
        </w:rPr>
        <w:t>Before we can market or sell a new regulated product or make a significant modification to an existing product in the U.S., with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317"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2" w:name="page43"/>
    <w:bookmarkEnd w:id="42"/>
    <w:p>
      <w:pPr>
        <w:jc w:val="both"/>
        <w:ind w:firstLine="350"/>
        <w:spacing w:after="0" w:line="272" w:lineRule="auto"/>
        <w:rPr>
          <w:sz w:val="20"/>
          <w:szCs w:val="20"/>
          <w:color w:val="auto"/>
        </w:rPr>
      </w:pPr>
      <w:r>
        <w:rPr>
          <w:rFonts w:ascii="Arial" w:cs="Arial" w:eastAsia="Arial" w:hAnsi="Arial"/>
          <w:sz w:val="13"/>
          <w:szCs w:val="13"/>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expect,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FDA can delay, limit or deny clearance or approval of a device for many reasons, including:</w:t>
      </w:r>
    </w:p>
    <w:p>
      <w:pPr>
        <w:spacing w:after="0" w:line="168" w:lineRule="exact"/>
        <w:rPr>
          <w:sz w:val="20"/>
          <w:szCs w:val="20"/>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not be able to demonstrate to the FDA’s satisfaction that our products are safe and effective for their intended uses;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data from our pre-clinical studies and clinical trials may be insufficient to support clearance or approval, where required; and</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manufacturing process or facilities we use may not meet applicable requirements.</w:t>
      </w:r>
    </w:p>
    <w:p>
      <w:pPr>
        <w:spacing w:after="0" w:line="168"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22"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4"/>
          <w:szCs w:val="14"/>
          <w:color w:val="auto"/>
        </w:rPr>
        <w:t>Any delay in, or failure to receive or maintain, clearance or approval for our products under development could prevent us from generating revenue from these products or achieving profitability.</w:t>
      </w:r>
    </w:p>
    <w:p>
      <w:pPr>
        <w:spacing w:after="0" w:line="143"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153"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3"/>
          <w:szCs w:val="13"/>
          <w:color w:val="auto"/>
        </w:rPr>
        <w:t>In the EEA, a single regulatory approval process exists, and conformity with its requirements is required to affix a CE mark to our medical devices, without which they cannot be marketed or sold in the EEA. To obtain a CE mark, defined products must meet minimum standards of performance, safety, and quality, and then, according to their classification, undergo a conformity assessment procedure. Except for low risk medical devices, a conformity assessment procedure requires the intervention of a third-party organization designated by the competent authorities of a EEA country, known as a Notified Body. The competent authorities of the E.U. countries separately regulate the clinical research for medical devices and the market surveillance of products once they are placed on the market. A new Medical Device Regulation was published by the E.U. in 2017 and became effective on May 26, 2021. Medical devices marketed in the EEA will require certification according to these new requirements, except that devices with valid CE certificates, issued pursuant to the Medical Device Directives before May 2020, can be placed on the market until May 2024. The new EU MDR includes significant additional premarket and post-market requirements. Penalties for regulatory non-compliance could be severe, including fines and revocation or suspension of a company’s business license, mandatory price reductions and criminal sanctions.</w:t>
      </w:r>
    </w:p>
    <w:p>
      <w:pPr>
        <w:spacing w:after="0" w:line="134"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Failure to comply with applicable regulations could jeopardize our ability to sell our products and result in enforcement actions such as:</w:t>
      </w:r>
    </w:p>
    <w:p>
      <w:pPr>
        <w:spacing w:after="0" w:line="168" w:lineRule="exact"/>
        <w:rPr>
          <w:sz w:val="20"/>
          <w:szCs w:val="20"/>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warning letters;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fines;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injunctions;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civil penalties;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termination of distribution;</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recalls or seizures of products;</w:t>
      </w:r>
    </w:p>
    <w:p>
      <w:pPr>
        <w:spacing w:after="0" w:line="306"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43" w:name="page44"/>
    <w:bookmarkEnd w:id="43"/>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delays in the introduction of products into the market;</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total or partial suspension of production;</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facility closures;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refusal of the FDA or our Notified Body or other regulator to grant future clearances or approvals or to issue CE Certificates of Conformity;</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withdrawals, variation, or suspensions of current clearances or approvals and CE Certificates of Conformity, resulting in prohibitions on sales of our products; and</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the most serious cases, criminal penalties.</w:t>
      </w:r>
    </w:p>
    <w:p>
      <w:pPr>
        <w:spacing w:after="0" w:line="125"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4"/>
          <w:szCs w:val="14"/>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137" w:lineRule="exact"/>
        <w:rPr>
          <w:sz w:val="20"/>
          <w:szCs w:val="20"/>
          <w:color w:val="auto"/>
        </w:rPr>
      </w:pPr>
    </w:p>
    <w:p>
      <w:pPr>
        <w:jc w:val="both"/>
        <w:spacing w:after="0" w:line="304" w:lineRule="auto"/>
        <w:rPr>
          <w:sz w:val="20"/>
          <w:szCs w:val="20"/>
          <w:color w:val="auto"/>
        </w:rPr>
      </w:pPr>
      <w:r>
        <w:rPr>
          <w:rFonts w:ascii="Arial" w:cs="Arial" w:eastAsia="Arial" w:hAnsi="Arial"/>
          <w:sz w:val="13"/>
          <w:szCs w:val="13"/>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20" w:lineRule="exact"/>
        <w:rPr>
          <w:sz w:val="20"/>
          <w:szCs w:val="20"/>
          <w:color w:val="auto"/>
        </w:rPr>
      </w:pPr>
    </w:p>
    <w:p>
      <w:pPr>
        <w:jc w:val="both"/>
        <w:ind w:firstLine="350"/>
        <w:spacing w:after="0" w:line="292" w:lineRule="auto"/>
        <w:rPr>
          <w:sz w:val="20"/>
          <w:szCs w:val="20"/>
          <w:color w:val="auto"/>
        </w:rPr>
      </w:pPr>
      <w:r>
        <w:rPr>
          <w:rFonts w:ascii="Arial" w:cs="Arial" w:eastAsia="Arial" w:hAnsi="Arial"/>
          <w:sz w:val="12"/>
          <w:szCs w:val="12"/>
          <w:color w:val="auto"/>
        </w:rPr>
        <w:t>Healthcare providers, distributors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spacing w:after="0" w:line="121"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w:t>
      </w:r>
    </w:p>
    <w:p>
      <w:pPr>
        <w:spacing w:after="0" w:line="154"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Certain states and countries also have enacted analogous state and foreign law equivalents of each of the above federal laws and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and foreign laws differ from each other in significant ways and may not have the same effect, thus complicating compliance efforts.</w:t>
      </w:r>
    </w:p>
    <w:p>
      <w:pPr>
        <w:spacing w:after="0" w:line="143"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4"/>
          <w:szCs w:val="14"/>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137" w:lineRule="exact"/>
        <w:rPr>
          <w:sz w:val="20"/>
          <w:szCs w:val="20"/>
          <w:color w:val="auto"/>
        </w:rPr>
      </w:pPr>
    </w:p>
    <w:p>
      <w:pPr>
        <w:jc w:val="both"/>
        <w:ind w:firstLine="350"/>
        <w:spacing w:after="0" w:line="247" w:lineRule="auto"/>
        <w:rPr>
          <w:sz w:val="20"/>
          <w:szCs w:val="20"/>
          <w:color w:val="auto"/>
        </w:rPr>
      </w:pPr>
      <w:r>
        <w:rPr>
          <w:rFonts w:ascii="Arial" w:cs="Arial" w:eastAsia="Arial" w:hAnsi="Arial"/>
          <w:sz w:val="14"/>
          <w:szCs w:val="14"/>
          <w:color w:val="auto"/>
        </w:rPr>
        <w:t>We have entered into consulting agreements and royalty agreements with physicians and healthcare executives, including some who are customers. We also engage in co-marketing arrangements with certain surgeons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w:t>
      </w:r>
    </w:p>
    <w:p>
      <w:pPr>
        <w:spacing w:after="0" w:line="326"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color w:val="auto"/>
        </w:rPr>
        <w:t>applicable laws and we were unable to comply with such laws, which could subject us to, among other things, monetary penalties for non-compliance, the cost of which could be substantial.</w:t>
      </w:r>
    </w:p>
    <w:p>
      <w:pPr>
        <w:spacing w:after="0" w:line="179"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Various state and federal regulatory and enforcement agencies continue actively to investigate violations of health 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44" w:lineRule="exact"/>
        <w:rPr>
          <w:sz w:val="20"/>
          <w:szCs w:val="20"/>
          <w:color w:val="auto"/>
        </w:rPr>
      </w:pPr>
    </w:p>
    <w:p>
      <w:pPr>
        <w:jc w:val="both"/>
        <w:ind w:firstLine="350"/>
        <w:spacing w:after="0" w:line="322" w:lineRule="auto"/>
        <w:rPr>
          <w:sz w:val="20"/>
          <w:szCs w:val="20"/>
          <w:color w:val="auto"/>
        </w:rPr>
      </w:pPr>
      <w:r>
        <w:rPr>
          <w:rFonts w:ascii="Arial" w:cs="Arial" w:eastAsia="Arial" w:hAnsi="Arial"/>
          <w:sz w:val="12"/>
          <w:szCs w:val="12"/>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failure to adequately protect personal information in compliance with evolving legal requirements could harm our business.</w:t>
      </w:r>
    </w:p>
    <w:p>
      <w:pPr>
        <w:spacing w:after="0" w:line="179" w:lineRule="exact"/>
        <w:rPr>
          <w:sz w:val="20"/>
          <w:szCs w:val="20"/>
          <w:color w:val="auto"/>
        </w:rPr>
      </w:pPr>
    </w:p>
    <w:p>
      <w:pPr>
        <w:jc w:val="both"/>
        <w:ind w:firstLine="350"/>
        <w:spacing w:after="0" w:line="277" w:lineRule="auto"/>
        <w:rPr>
          <w:sz w:val="20"/>
          <w:szCs w:val="20"/>
          <w:color w:val="auto"/>
        </w:rPr>
      </w:pPr>
      <w:r>
        <w:rPr>
          <w:rFonts w:ascii="Arial" w:cs="Arial" w:eastAsia="Arial" w:hAnsi="Arial"/>
          <w:sz w:val="13"/>
          <w:szCs w:val="13"/>
          <w:color w:val="auto"/>
        </w:rPr>
        <w:t>In the ordinary course of our business, we collect and store sensitive data, including legally protected personally identifiable information. We collect this kind of information for billing, reimbursement support, marketing purposes, post-marketing safety vigilance, servicing potential warranty claims and during the course of clinical trials.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w:t>
      </w:r>
    </w:p>
    <w:p>
      <w:pPr>
        <w:spacing w:after="0" w:line="127" w:lineRule="exact"/>
        <w:rPr>
          <w:sz w:val="20"/>
          <w:szCs w:val="20"/>
          <w:color w:val="auto"/>
        </w:rPr>
      </w:pPr>
    </w:p>
    <w:p>
      <w:pPr>
        <w:jc w:val="both"/>
        <w:ind w:firstLine="350"/>
        <w:spacing w:after="0" w:line="295" w:lineRule="auto"/>
        <w:rPr>
          <w:sz w:val="20"/>
          <w:szCs w:val="20"/>
          <w:color w:val="auto"/>
        </w:rPr>
      </w:pPr>
      <w:r>
        <w:rPr>
          <w:rFonts w:ascii="Arial" w:cs="Arial" w:eastAsia="Arial" w:hAnsi="Arial"/>
          <w:sz w:val="12"/>
          <w:szCs w:val="12"/>
          <w:color w:val="auto"/>
        </w:rPr>
        <w:t>The California Consumer Privacy Act, which became effective on January 1, 2020, as amended by the California Privacy Rights Act (“CCPA”), requires a broad range of businesses to honor the requests of California residents to access and require deletion of their personal information, opt out of certain personal information sharing, receive detailed information about how their personal information is used and shared, correct inaccurate personal information, and limit the use and disclosure of certain sensitive personal information. The CCPA provides for civil penalties of up to $7,500 for intentional violations, and a private right of action for data breaches that allows private plaintiffs to seek the greater of actual damages or statutory damages of up to $750 per consumer per</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data breach. These remedies are expected to increase data breach litigation. Although the CCPA includes exemptions for certain clinical trials data, and protected health information governed by HIPAA, the law may increase our compliance costs and potential liability with respect to other personal information we collect about California residents. Our compliance costs and potential liability with respect to personal information may also increase in response to other states adopting and considering initiative regarding protection of personal information. In March 2021, Virginia passed the Consumer Data Protection Act (“CDPA”) which will take effect on January 1, 2023. Virginia is the second state to pass comprehensive privacy litigation. Colorado passed the Colorado Privacy Act (“CPA”) on July 7, 2021 with enforcement to begin on July 1, 2023. In 2022, both Utah and Connecticut also enacted comprehensive data privacy legislation. While these laws are similar in certain respects, the laws differ and compliance with one law does not equate to compliance with the other laws. Several other states (including Washington, New York, and Minnesota) also are considering comprehensive privacy legislation that could further complicate and increase the cost of complying with various state privacy laws. If states pass a patchwork of privacy laws, this also could increase pressure on the U.S. Congress to harmonize privacy laws through federal legislation.</w:t>
      </w:r>
    </w:p>
    <w:p>
      <w:pPr>
        <w:spacing w:after="0" w:line="134" w:lineRule="exact"/>
        <w:rPr>
          <w:sz w:val="20"/>
          <w:szCs w:val="20"/>
          <w:color w:val="auto"/>
        </w:rPr>
      </w:pPr>
    </w:p>
    <w:p>
      <w:pPr>
        <w:jc w:val="both"/>
        <w:ind w:firstLine="350"/>
        <w:spacing w:after="0" w:line="269" w:lineRule="auto"/>
        <w:rPr>
          <w:sz w:val="20"/>
          <w:szCs w:val="20"/>
          <w:color w:val="auto"/>
        </w:rPr>
      </w:pPr>
      <w:r>
        <w:rPr>
          <w:rFonts w:ascii="Arial" w:cs="Arial" w:eastAsia="Arial" w:hAnsi="Arial"/>
          <w:sz w:val="13"/>
          <w:szCs w:val="13"/>
          <w:color w:val="auto"/>
        </w:rPr>
        <w:t>We have in the past, and could be in the future, subject to data breaches. 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14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i w:val="1"/>
          <w:iCs w:val="1"/>
          <w:color w:val="auto"/>
        </w:rPr>
        <w:t>We are subject to risks associated with our non-U.S. operations.</w:t>
      </w:r>
    </w:p>
    <w:p>
      <w:pPr>
        <w:spacing w:after="0" w:line="168" w:lineRule="exact"/>
        <w:rPr>
          <w:sz w:val="20"/>
          <w:szCs w:val="20"/>
          <w:color w:val="auto"/>
        </w:rPr>
      </w:pPr>
    </w:p>
    <w:p>
      <w:pPr>
        <w:jc w:val="both"/>
        <w:ind w:firstLine="350"/>
        <w:spacing w:after="0" w:line="246" w:lineRule="auto"/>
        <w:rPr>
          <w:sz w:val="20"/>
          <w:szCs w:val="20"/>
          <w:color w:val="auto"/>
        </w:rPr>
      </w:pPr>
      <w:r>
        <w:rPr>
          <w:rFonts w:ascii="Arial" w:cs="Arial" w:eastAsia="Arial" w:hAnsi="Arial"/>
          <w:sz w:val="14"/>
          <w:szCs w:val="14"/>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49" w:lineRule="exact"/>
        <w:rPr>
          <w:sz w:val="20"/>
          <w:szCs w:val="20"/>
          <w:color w:val="auto"/>
        </w:rPr>
      </w:pPr>
    </w:p>
    <w:p>
      <w:pPr>
        <w:jc w:val="both"/>
        <w:ind w:firstLine="350"/>
        <w:spacing w:after="0" w:line="304" w:lineRule="auto"/>
        <w:rPr>
          <w:sz w:val="20"/>
          <w:szCs w:val="20"/>
          <w:color w:val="auto"/>
        </w:rPr>
      </w:pPr>
      <w:r>
        <w:rPr>
          <w:rFonts w:ascii="Arial" w:cs="Arial" w:eastAsia="Arial" w:hAnsi="Arial"/>
          <w:sz w:val="12"/>
          <w:szCs w:val="12"/>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43"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44"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22" w:lineRule="exact"/>
        <w:rPr>
          <w:sz w:val="20"/>
          <w:szCs w:val="20"/>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untitled letters, warning letters, fines, injunctions, consent, and civil penalties;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unanticipated expenditures to address or defend such actions;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customer notifications for repair, replacement, refunds;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recall, detention, or seizure of our products;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operating restrictions or partial suspension or total shutdown of production;</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refusing or delaying our requests for 510(k) clearance or premarket approval and conformity assessments of new products or modified products;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limitations on the intended uses for which the product may be marketed;</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operating restrictions;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withdrawing 510(k) clearances or PMA approvals that have already been granted;</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suspension, variation or withdrawal of CE Certificates of Conformity;</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refusal to grant export approval for our products; and</w:t>
      </w:r>
    </w:p>
    <w:p>
      <w:pPr>
        <w:spacing w:after="0" w:line="306"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46" w:name="page47"/>
    <w:bookmarkEnd w:id="46"/>
    <w:p>
      <w:pPr>
        <w:ind w:left="380"/>
        <w:spacing w:after="0"/>
        <w:tabs>
          <w:tab w:leader="none" w:pos="5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criminal prosecution.</w:t>
      </w:r>
    </w:p>
    <w:p>
      <w:pPr>
        <w:spacing w:after="0" w:line="168" w:lineRule="exact"/>
        <w:rPr>
          <w:sz w:val="20"/>
          <w:szCs w:val="20"/>
          <w:color w:val="auto"/>
        </w:rPr>
      </w:pPr>
    </w:p>
    <w:p>
      <w:pPr>
        <w:jc w:val="both"/>
        <w:ind w:firstLine="350"/>
        <w:spacing w:after="0" w:line="272" w:lineRule="auto"/>
        <w:rPr>
          <w:sz w:val="20"/>
          <w:szCs w:val="20"/>
          <w:color w:val="auto"/>
        </w:rPr>
      </w:pPr>
      <w:r>
        <w:rPr>
          <w:rFonts w:ascii="Arial" w:cs="Arial" w:eastAsia="Arial" w:hAnsi="Arial"/>
          <w:sz w:val="13"/>
          <w:szCs w:val="13"/>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29" w:lineRule="exact"/>
        <w:rPr>
          <w:sz w:val="20"/>
          <w:szCs w:val="20"/>
          <w:color w:val="auto"/>
        </w:rPr>
      </w:pPr>
    </w:p>
    <w:p>
      <w:pPr>
        <w:jc w:val="both"/>
        <w:ind w:firstLine="350"/>
        <w:spacing w:after="0" w:line="252" w:lineRule="auto"/>
        <w:rPr>
          <w:sz w:val="20"/>
          <w:szCs w:val="20"/>
          <w:color w:val="auto"/>
        </w:rPr>
      </w:pPr>
      <w:r>
        <w:rPr>
          <w:rFonts w:ascii="Arial" w:cs="Arial" w:eastAsia="Arial" w:hAnsi="Arial"/>
          <w:sz w:val="14"/>
          <w:szCs w:val="14"/>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143" w:lineRule="exact"/>
        <w:rPr>
          <w:sz w:val="20"/>
          <w:szCs w:val="20"/>
          <w:color w:val="auto"/>
        </w:rPr>
      </w:pPr>
    </w:p>
    <w:p>
      <w:pPr>
        <w:jc w:val="both"/>
        <w:ind w:firstLine="350"/>
        <w:spacing w:after="0" w:line="245" w:lineRule="auto"/>
        <w:rPr>
          <w:sz w:val="20"/>
          <w:szCs w:val="20"/>
          <w:color w:val="auto"/>
        </w:rPr>
      </w:pPr>
      <w:r>
        <w:rPr>
          <w:rFonts w:ascii="Arial" w:cs="Arial" w:eastAsia="Arial" w:hAnsi="Arial"/>
          <w:sz w:val="14"/>
          <w:szCs w:val="14"/>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that violates applicable laws and regulations, such as FDA reporting requirements,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enforcement action, including fines, penalties or injunctions, if we are determined to be engaging in the off-label promotion of our products.</w:t>
      </w:r>
    </w:p>
    <w:p>
      <w:pPr>
        <w:spacing w:after="0" w:line="168" w:lineRule="exact"/>
        <w:rPr>
          <w:sz w:val="20"/>
          <w:szCs w:val="20"/>
          <w:color w:val="auto"/>
        </w:rPr>
      </w:pPr>
    </w:p>
    <w:p>
      <w:pPr>
        <w:jc w:val="both"/>
        <w:ind w:firstLine="350"/>
        <w:spacing w:after="0" w:line="321" w:lineRule="auto"/>
        <w:rPr>
          <w:sz w:val="20"/>
          <w:szCs w:val="20"/>
          <w:color w:val="auto"/>
        </w:rPr>
      </w:pPr>
      <w:r>
        <w:rPr>
          <w:rFonts w:ascii="Arial" w:cs="Arial" w:eastAsia="Arial" w:hAnsi="Arial"/>
          <w:sz w:val="13"/>
          <w:szCs w:val="13"/>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w:t>
      </w:r>
    </w:p>
    <w:p>
      <w:pPr>
        <w:spacing w:after="0" w:line="99"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3"/>
          <w:szCs w:val="13"/>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31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91"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In the EEA, we must report serious incidents and field safety corrective actions through the Commission’s electronic system on vigilance and post-market surveillance, which reports are transmitted to the competent authority of the Member State in which the incident occurred.</w:t>
      </w:r>
    </w:p>
    <w:p>
      <w:pPr>
        <w:spacing w:after="0" w:line="154"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44" w:lineRule="exact"/>
        <w:rPr>
          <w:sz w:val="20"/>
          <w:szCs w:val="20"/>
          <w:color w:val="auto"/>
        </w:rPr>
      </w:pPr>
    </w:p>
    <w:p>
      <w:pPr>
        <w:jc w:val="both"/>
        <w:ind w:firstLine="350"/>
        <w:spacing w:after="0" w:line="252" w:lineRule="auto"/>
        <w:rPr>
          <w:sz w:val="20"/>
          <w:szCs w:val="20"/>
          <w:color w:val="auto"/>
        </w:rPr>
      </w:pPr>
      <w:r>
        <w:rPr>
          <w:rFonts w:ascii="Arial" w:cs="Arial" w:eastAsia="Arial" w:hAnsi="Arial"/>
          <w:sz w:val="14"/>
          <w:szCs w:val="14"/>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41" w:lineRule="exact"/>
        <w:rPr>
          <w:sz w:val="20"/>
          <w:szCs w:val="20"/>
          <w:color w:val="auto"/>
        </w:rPr>
      </w:pPr>
    </w:p>
    <w:p>
      <w:pPr>
        <w:jc w:val="both"/>
        <w:spacing w:after="0" w:line="304" w:lineRule="auto"/>
        <w:rPr>
          <w:sz w:val="20"/>
          <w:szCs w:val="20"/>
          <w:color w:val="auto"/>
        </w:rPr>
      </w:pPr>
      <w:r>
        <w:rPr>
          <w:rFonts w:ascii="Arial" w:cs="Arial" w:eastAsia="Arial" w:hAnsi="Arial"/>
          <w:sz w:val="13"/>
          <w:szCs w:val="13"/>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120" w:lineRule="exact"/>
        <w:rPr>
          <w:sz w:val="20"/>
          <w:szCs w:val="20"/>
          <w:color w:val="auto"/>
        </w:rPr>
      </w:pPr>
    </w:p>
    <w:p>
      <w:pPr>
        <w:jc w:val="both"/>
        <w:ind w:firstLine="350"/>
        <w:spacing w:after="0" w:line="304" w:lineRule="auto"/>
        <w:rPr>
          <w:sz w:val="20"/>
          <w:szCs w:val="20"/>
          <w:color w:val="auto"/>
        </w:rPr>
      </w:pPr>
      <w:r>
        <w:rPr>
          <w:rFonts w:ascii="Arial" w:cs="Arial" w:eastAsia="Arial" w:hAnsi="Arial"/>
          <w:sz w:val="13"/>
          <w:szCs w:val="13"/>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09" w:lineRule="exact"/>
        <w:rPr>
          <w:sz w:val="20"/>
          <w:szCs w:val="20"/>
          <w:color w:val="auto"/>
        </w:rPr>
      </w:pPr>
    </w:p>
    <w:p>
      <w:pPr>
        <w:jc w:val="both"/>
        <w:ind w:firstLine="350"/>
        <w:spacing w:after="0" w:line="249" w:lineRule="auto"/>
        <w:rPr>
          <w:sz w:val="20"/>
          <w:szCs w:val="20"/>
          <w:color w:val="auto"/>
        </w:rPr>
      </w:pPr>
      <w:r>
        <w:rPr>
          <w:rFonts w:ascii="Arial" w:cs="Arial" w:eastAsia="Arial" w:hAnsi="Arial"/>
          <w:sz w:val="14"/>
          <w:szCs w:val="14"/>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44" w:lineRule="exact"/>
        <w:rPr>
          <w:sz w:val="20"/>
          <w:szCs w:val="20"/>
          <w:color w:val="auto"/>
        </w:rPr>
      </w:pPr>
    </w:p>
    <w:p>
      <w:pPr>
        <w:jc w:val="both"/>
        <w:ind w:firstLine="350"/>
        <w:spacing w:after="0" w:line="252" w:lineRule="auto"/>
        <w:rPr>
          <w:sz w:val="20"/>
          <w:szCs w:val="20"/>
          <w:color w:val="auto"/>
        </w:rPr>
      </w:pPr>
      <w:r>
        <w:rPr>
          <w:rFonts w:ascii="Arial" w:cs="Arial" w:eastAsia="Arial" w:hAnsi="Arial"/>
          <w:sz w:val="14"/>
          <w:szCs w:val="14"/>
          <w:color w:val="auto"/>
        </w:rPr>
        <w:t>The FDA requires that certain classifications of recalls be reported to FDA within 10 working days after the recall is initiated. Companies are required to maintain certain records of recalls, even if they are not reportable to the FDA. We have in the past, and may in the future,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43"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325"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48" w:name="page49"/>
    <w:bookmarkEnd w:id="48"/>
    <w:p>
      <w:pPr>
        <w:jc w:val="both"/>
        <w:ind w:firstLine="350"/>
        <w:spacing w:after="0" w:line="277" w:lineRule="auto"/>
        <w:rPr>
          <w:sz w:val="20"/>
          <w:szCs w:val="20"/>
          <w:color w:val="auto"/>
        </w:rPr>
      </w:pPr>
      <w:r>
        <w:rPr>
          <w:rFonts w:ascii="Arial" w:cs="Arial" w:eastAsia="Arial" w:hAnsi="Arial"/>
          <w:sz w:val="13"/>
          <w:szCs w:val="13"/>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127" w:lineRule="exact"/>
        <w:rPr>
          <w:sz w:val="20"/>
          <w:szCs w:val="20"/>
          <w:color w:val="auto"/>
        </w:rPr>
      </w:pPr>
    </w:p>
    <w:p>
      <w:pPr>
        <w:jc w:val="both"/>
        <w:ind w:firstLine="350"/>
        <w:spacing w:after="0" w:line="252" w:lineRule="auto"/>
        <w:rPr>
          <w:sz w:val="20"/>
          <w:szCs w:val="20"/>
          <w:color w:val="auto"/>
        </w:rPr>
      </w:pPr>
      <w:r>
        <w:rPr>
          <w:rFonts w:ascii="Arial" w:cs="Arial" w:eastAsia="Arial" w:hAnsi="Arial"/>
          <w:sz w:val="14"/>
          <w:szCs w:val="14"/>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41" w:lineRule="exact"/>
        <w:rPr>
          <w:sz w:val="20"/>
          <w:szCs w:val="20"/>
          <w:color w:val="auto"/>
        </w:rPr>
      </w:pPr>
    </w:p>
    <w:p>
      <w:pPr>
        <w:jc w:val="both"/>
        <w:ind w:firstLine="350"/>
        <w:spacing w:after="0" w:line="272" w:lineRule="auto"/>
        <w:rPr>
          <w:sz w:val="20"/>
          <w:szCs w:val="20"/>
          <w:color w:val="auto"/>
        </w:rPr>
      </w:pPr>
      <w:r>
        <w:rPr>
          <w:rFonts w:ascii="Arial" w:cs="Arial" w:eastAsia="Arial" w:hAnsi="Arial"/>
          <w:sz w:val="13"/>
          <w:szCs w:val="13"/>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133" w:lineRule="exact"/>
        <w:rPr>
          <w:sz w:val="20"/>
          <w:szCs w:val="20"/>
          <w:color w:val="auto"/>
        </w:rPr>
      </w:pPr>
    </w:p>
    <w:p>
      <w:pPr>
        <w:jc w:val="both"/>
        <w:ind w:firstLine="350"/>
        <w:spacing w:after="0" w:line="269" w:lineRule="auto"/>
        <w:rPr>
          <w:sz w:val="20"/>
          <w:szCs w:val="20"/>
          <w:color w:val="auto"/>
        </w:rPr>
      </w:pPr>
      <w:r>
        <w:rPr>
          <w:rFonts w:ascii="Arial" w:cs="Arial" w:eastAsia="Arial" w:hAnsi="Arial"/>
          <w:sz w:val="13"/>
          <w:szCs w:val="13"/>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fail to obtain or maintain foreign regulatory approvals to market our products in other countries.</w:t>
      </w:r>
    </w:p>
    <w:p>
      <w:pPr>
        <w:spacing w:after="0" w:line="168"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54" w:lineRule="exact"/>
        <w:rPr>
          <w:sz w:val="20"/>
          <w:szCs w:val="20"/>
          <w:color w:val="auto"/>
        </w:rPr>
      </w:pPr>
    </w:p>
    <w:p>
      <w:pPr>
        <w:jc w:val="both"/>
        <w:ind w:firstLine="350"/>
        <w:spacing w:after="0" w:line="244" w:lineRule="auto"/>
        <w:rPr>
          <w:sz w:val="20"/>
          <w:szCs w:val="20"/>
          <w:color w:val="auto"/>
        </w:rPr>
      </w:pPr>
      <w:r>
        <w:rPr>
          <w:rFonts w:ascii="Arial" w:cs="Arial" w:eastAsia="Arial" w:hAnsi="Arial"/>
          <w:sz w:val="14"/>
          <w:szCs w:val="14"/>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329"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4"/>
          <w:szCs w:val="14"/>
          <w:b w:val="1"/>
          <w:bCs w:val="1"/>
          <w:i w:val="1"/>
          <w:iCs w:val="1"/>
          <w:color w:val="auto"/>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137"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4"/>
          <w:szCs w:val="14"/>
          <w:color w:val="auto"/>
        </w:rPr>
        <w:t>Initiating and completing clinical trials necessary to support a De Novo 510(k) or PMA application for our possible future products or to support a conformity assessment procedure for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137" w:lineRule="exact"/>
        <w:rPr>
          <w:sz w:val="20"/>
          <w:szCs w:val="20"/>
          <w:color w:val="auto"/>
        </w:rPr>
      </w:pPr>
    </w:p>
    <w:p>
      <w:pPr>
        <w:jc w:val="both"/>
        <w:ind w:firstLine="350"/>
        <w:spacing w:after="0" w:line="304" w:lineRule="auto"/>
        <w:rPr>
          <w:sz w:val="20"/>
          <w:szCs w:val="20"/>
          <w:color w:val="auto"/>
        </w:rPr>
      </w:pPr>
      <w:r>
        <w:rPr>
          <w:rFonts w:ascii="Arial" w:cs="Arial" w:eastAsia="Arial" w:hAnsi="Arial"/>
          <w:sz w:val="12"/>
          <w:szCs w:val="12"/>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risks associated with, the treatments received by enrolled subjects, the availability of appropriate clinical trial investigators and support staff, the proximity of patients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34"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results of our clinical trials may not support our product candidate claims or may result in the occurrence of adverse events.</w:t>
      </w:r>
    </w:p>
    <w:p>
      <w:pPr>
        <w:spacing w:after="0" w:line="168" w:lineRule="exact"/>
        <w:rPr>
          <w:sz w:val="20"/>
          <w:szCs w:val="20"/>
          <w:color w:val="auto"/>
        </w:rPr>
      </w:pPr>
    </w:p>
    <w:p>
      <w:pPr>
        <w:jc w:val="both"/>
        <w:ind w:firstLine="350"/>
        <w:spacing w:after="0" w:line="249" w:lineRule="auto"/>
        <w:rPr>
          <w:sz w:val="20"/>
          <w:szCs w:val="20"/>
          <w:color w:val="auto"/>
        </w:rPr>
      </w:pPr>
      <w:r>
        <w:rPr>
          <w:rFonts w:ascii="Arial" w:cs="Arial" w:eastAsia="Arial" w:hAnsi="Arial"/>
          <w:sz w:val="14"/>
          <w:szCs w:val="14"/>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43"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entered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144"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color w:val="auto"/>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324"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50" w:name="page51"/>
    <w:bookmarkEnd w:id="50"/>
    <w:p>
      <w:pPr>
        <w:ind w:firstLine="350"/>
        <w:spacing w:after="0" w:line="265" w:lineRule="auto"/>
        <w:rPr>
          <w:sz w:val="20"/>
          <w:szCs w:val="20"/>
          <w:color w:val="auto"/>
        </w:rPr>
      </w:pPr>
      <w:r>
        <w:rPr>
          <w:rFonts w:ascii="Arial" w:cs="Arial" w:eastAsia="Arial" w:hAnsi="Arial"/>
          <w:sz w:val="14"/>
          <w:szCs w:val="14"/>
          <w:color w:val="auto"/>
        </w:rPr>
        <w:t>Another example can be found in the EEA. The Medical Devices Regulation (“MDR”) entered into application on May 26, 2021. MDR introduced substantial changes to the obligations with which medical device manufacturers must comply in the EEA. Examples of the changes which will be introduced by these regulations include the following:</w:t>
      </w:r>
    </w:p>
    <w:p>
      <w:pPr>
        <w:spacing w:after="0" w:line="143" w:lineRule="exact"/>
        <w:rPr>
          <w:sz w:val="20"/>
          <w:szCs w:val="20"/>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additional scrutiny during the conformity assessment procedure for high risk medical devices;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strengthening of the clinical data requirements related to medical devices;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strengthening of the designation and monitoring processes governing notified bodies;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obligation for manufacturers and authorized representative to have a person responsible for regulatory compliance continuously at their disposal;</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authorized representatives held legally responsible and liable for defective products placed on the EU market;</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increased traceability of medical devices following the introduction of a Unique Device Identification (“UDI”), system;</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new rules governing the reprocessing of medical devices; and</w:t>
      </w:r>
    </w:p>
    <w:p>
      <w:pPr>
        <w:spacing w:after="0" w:line="125" w:lineRule="exact"/>
        <w:rPr>
          <w:rFonts w:ascii="Arial" w:cs="Arial" w:eastAsia="Arial" w:hAnsi="Arial"/>
          <w:sz w:val="14"/>
          <w:szCs w:val="14"/>
          <w:color w:val="auto"/>
        </w:rPr>
      </w:pPr>
    </w:p>
    <w:p>
      <w:pPr>
        <w:ind w:left="700" w:hanging="313"/>
        <w:spacing w:after="0" w:line="304" w:lineRule="auto"/>
        <w:tabs>
          <w:tab w:leader="none" w:pos="629"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20"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144" w:lineRule="exact"/>
        <w:rPr>
          <w:sz w:val="20"/>
          <w:szCs w:val="20"/>
          <w:color w:val="auto"/>
        </w:rPr>
      </w:pPr>
    </w:p>
    <w:p>
      <w:pPr>
        <w:jc w:val="both"/>
        <w:ind w:firstLine="350"/>
        <w:spacing w:after="0" w:line="275" w:lineRule="auto"/>
        <w:rPr>
          <w:sz w:val="20"/>
          <w:szCs w:val="20"/>
          <w:color w:val="auto"/>
        </w:rPr>
      </w:pPr>
      <w:r>
        <w:rPr>
          <w:rFonts w:ascii="Arial" w:cs="Arial" w:eastAsia="Arial" w:hAnsi="Arial"/>
          <w:sz w:val="14"/>
          <w:szCs w:val="14"/>
          <w:color w:val="auto"/>
        </w:rPr>
        <w:t>Transition from the regulation of our products under the Medical Device Directive, and implementing legislation in each EU Member State, to regulation under the Medical Devices Regulation has required and will continue to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w:t>
      </w:r>
    </w:p>
    <w:p>
      <w:pPr>
        <w:spacing w:after="0" w:line="128" w:lineRule="exact"/>
        <w:rPr>
          <w:sz w:val="20"/>
          <w:szCs w:val="20"/>
          <w:color w:val="auto"/>
        </w:rPr>
      </w:pPr>
    </w:p>
    <w:p>
      <w:pPr>
        <w:jc w:val="both"/>
        <w:ind w:firstLine="350"/>
        <w:spacing w:after="0" w:line="272" w:lineRule="auto"/>
        <w:rPr>
          <w:sz w:val="20"/>
          <w:szCs w:val="20"/>
          <w:color w:val="auto"/>
        </w:rPr>
      </w:pPr>
      <w:r>
        <w:rPr>
          <w:rFonts w:ascii="Arial" w:cs="Arial" w:eastAsia="Arial" w:hAnsi="Arial"/>
          <w:sz w:val="13"/>
          <w:szCs w:val="13"/>
          <w:color w:val="auto"/>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pursuant to guidance issued by the UK Government as a result of the UK formally withdrawing from the European Union, the Medicines and Healthcare products Regulatory Agency (“MHRA”) became the standalone medicines and medical devices regulator for the UK as of January 1, 2021. A new mark referred to as “UKCA” (UK Conformity Assessed) has also been introduced and will replace the CE conformity mark. Although CE conformity marketing and certificates issued by Notified Bodies will continue to be recognized in the UK through June 2023, all medical devices must be registered with the MHRA as of January 1, 2021. Complying with this new regulatory framework will require us to invest in additional resources and could be expensive, time-consuming and disruptive to our existing operations in the UK.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product liability losses, and insurance coverage may be inadequate or unavailable to cover these losses.</w:t>
      </w:r>
    </w:p>
    <w:p>
      <w:pPr>
        <w:spacing w:after="0" w:line="168" w:lineRule="exact"/>
        <w:rPr>
          <w:sz w:val="20"/>
          <w:szCs w:val="20"/>
          <w:color w:val="auto"/>
        </w:rPr>
      </w:pPr>
    </w:p>
    <w:p>
      <w:pPr>
        <w:jc w:val="both"/>
        <w:ind w:firstLine="350"/>
        <w:spacing w:after="0" w:line="247" w:lineRule="auto"/>
        <w:rPr>
          <w:sz w:val="20"/>
          <w:szCs w:val="20"/>
          <w:color w:val="auto"/>
        </w:rPr>
      </w:pPr>
      <w:r>
        <w:rPr>
          <w:rFonts w:ascii="Arial" w:cs="Arial" w:eastAsia="Arial" w:hAnsi="Arial"/>
          <w:sz w:val="14"/>
          <w:szCs w:val="14"/>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Surgeons or non-surgeon physicians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326"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51" w:name="page52"/>
    <w:bookmarkEnd w:id="51"/>
    <w:p>
      <w:pPr>
        <w:jc w:val="both"/>
        <w:ind w:firstLine="350"/>
        <w:spacing w:after="0" w:line="259" w:lineRule="auto"/>
        <w:rPr>
          <w:sz w:val="20"/>
          <w:szCs w:val="20"/>
          <w:color w:val="auto"/>
        </w:rPr>
      </w:pPr>
      <w:r>
        <w:rPr>
          <w:rFonts w:ascii="Arial" w:cs="Arial" w:eastAsia="Arial" w:hAnsi="Arial"/>
          <w:sz w:val="14"/>
          <w:szCs w:val="14"/>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37"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4"/>
          <w:szCs w:val="14"/>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environmental laws and regulations that can impose significant costs and expose us to potential financial liabilities.</w:t>
      </w:r>
    </w:p>
    <w:p>
      <w:pPr>
        <w:spacing w:after="0" w:line="168" w:lineRule="exact"/>
        <w:rPr>
          <w:sz w:val="20"/>
          <w:szCs w:val="20"/>
          <w:color w:val="auto"/>
        </w:rPr>
      </w:pPr>
    </w:p>
    <w:p>
      <w:pPr>
        <w:jc w:val="both"/>
        <w:ind w:firstLine="350"/>
        <w:spacing w:after="0" w:line="277" w:lineRule="auto"/>
        <w:rPr>
          <w:sz w:val="20"/>
          <w:szCs w:val="20"/>
          <w:color w:val="auto"/>
        </w:rPr>
      </w:pPr>
      <w:r>
        <w:rPr>
          <w:rFonts w:ascii="Arial" w:cs="Arial" w:eastAsia="Arial" w:hAnsi="Arial"/>
          <w:sz w:val="13"/>
          <w:szCs w:val="13"/>
          <w:color w:val="auto"/>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 requires adoption of a radiation safety plan. 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Certain of our products are derived from human tissue and are or could be subject to additional regulations and requirements.</w:t>
      </w:r>
    </w:p>
    <w:p>
      <w:pPr>
        <w:spacing w:after="0" w:line="179"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2"/>
          <w:szCs w:val="12"/>
          <w:color w:val="auto"/>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spacing w:after="0" w:line="200" w:lineRule="exact"/>
        <w:rPr>
          <w:sz w:val="20"/>
          <w:szCs w:val="20"/>
          <w:color w:val="auto"/>
        </w:rPr>
      </w:pPr>
    </w:p>
    <w:p>
      <w:pPr>
        <w:spacing w:after="0" w:line="30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32" w:lineRule="exact"/>
        <w:rPr>
          <w:sz w:val="20"/>
          <w:szCs w:val="20"/>
          <w:color w:val="auto"/>
        </w:rPr>
      </w:pPr>
    </w:p>
    <w:p>
      <w:pPr>
        <w:jc w:val="both"/>
        <w:ind w:firstLine="350"/>
        <w:spacing w:after="0" w:line="260" w:lineRule="auto"/>
        <w:rPr>
          <w:sz w:val="20"/>
          <w:szCs w:val="20"/>
          <w:color w:val="auto"/>
        </w:rPr>
      </w:pPr>
      <w:r>
        <w:rPr>
          <w:rFonts w:ascii="Arial" w:cs="Arial" w:eastAsia="Arial" w:hAnsi="Arial"/>
          <w:sz w:val="14"/>
          <w:szCs w:val="14"/>
          <w:color w:val="auto"/>
        </w:rPr>
        <w:t>We rely primarily on patent, copyright, trademark and trade secret laws, as well as confidentiality and nondisclosure agreements and other methods, to protect our proprietary technologies and know-how. As of December 31, 2022, we owned 51 issued U.S. patents and had 32 pending U.S. patent applications, and we owned 16 issued foreign patents and had 18 pending foreign patent applications. We have focused the majority of our foreign patent efforts in China, Europe, and Japan. Our current U.S. patents on iFuse, including the triangular shape, expire in November 2024. Competitors may market similar triangular shaped devices upon the expiration of the patents in late 2024. Our current U.S. patents on iFuse-3D, including the fenestrated design, expire in September 2035. Our foreign patents will expire between August 2025 and September 2035.</w:t>
      </w:r>
    </w:p>
    <w:p>
      <w:pPr>
        <w:spacing w:after="0" w:line="146" w:lineRule="exact"/>
        <w:rPr>
          <w:sz w:val="20"/>
          <w:szCs w:val="20"/>
          <w:color w:val="auto"/>
        </w:rPr>
      </w:pPr>
    </w:p>
    <w:p>
      <w:pPr>
        <w:jc w:val="both"/>
        <w:ind w:firstLine="134"/>
        <w:spacing w:after="0" w:line="281" w:lineRule="auto"/>
        <w:rPr>
          <w:sz w:val="20"/>
          <w:szCs w:val="20"/>
          <w:color w:val="auto"/>
        </w:rPr>
      </w:pPr>
      <w:r>
        <w:rPr>
          <w:rFonts w:ascii="Arial" w:cs="Arial" w:eastAsia="Arial" w:hAnsi="Arial"/>
          <w:sz w:val="14"/>
          <w:szCs w:val="14"/>
          <w:color w:val="auto"/>
        </w:rPr>
        <w:t>As of December 31, 2022, we have 19 registered trademarks in the U.S. and have filed for four more. We have sought protection for at least two of these trademarks in 60 countries including the 27 European member countries of the Madrid Protocol.</w:t>
      </w:r>
    </w:p>
    <w:p>
      <w:pPr>
        <w:spacing w:after="0" w:line="132" w:lineRule="exact"/>
        <w:rPr>
          <w:sz w:val="20"/>
          <w:szCs w:val="20"/>
          <w:color w:val="auto"/>
        </w:rPr>
      </w:pPr>
    </w:p>
    <w:p>
      <w:pPr>
        <w:jc w:val="both"/>
        <w:ind w:firstLine="350"/>
        <w:spacing w:after="0" w:line="266" w:lineRule="auto"/>
        <w:rPr>
          <w:sz w:val="20"/>
          <w:szCs w:val="20"/>
          <w:color w:val="auto"/>
        </w:rPr>
      </w:pPr>
      <w:r>
        <w:rPr>
          <w:rFonts w:ascii="Arial" w:cs="Arial" w:eastAsia="Arial" w:hAnsi="Arial"/>
          <w:sz w:val="13"/>
          <w:szCs w:val="13"/>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47" w:lineRule="exact"/>
        <w:rPr>
          <w:sz w:val="20"/>
          <w:szCs w:val="20"/>
          <w:color w:val="auto"/>
        </w:rPr>
      </w:pPr>
    </w:p>
    <w:p>
      <w:pPr>
        <w:jc w:val="both"/>
        <w:ind w:firstLine="350"/>
        <w:spacing w:after="0" w:line="307" w:lineRule="auto"/>
        <w:rPr>
          <w:sz w:val="20"/>
          <w:szCs w:val="20"/>
          <w:color w:val="auto"/>
        </w:rPr>
      </w:pPr>
      <w:r>
        <w:rPr>
          <w:rFonts w:ascii="Arial" w:cs="Arial" w:eastAsia="Arial" w:hAnsi="Arial"/>
          <w:sz w:val="12"/>
          <w:szCs w:val="12"/>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11" w:lineRule="exact"/>
        <w:rPr>
          <w:sz w:val="20"/>
          <w:szCs w:val="20"/>
          <w:color w:val="auto"/>
        </w:rPr>
      </w:pPr>
    </w:p>
    <w:p>
      <w:pPr>
        <w:jc w:val="both"/>
        <w:ind w:firstLine="350"/>
        <w:spacing w:after="0" w:line="247" w:lineRule="auto"/>
        <w:rPr>
          <w:sz w:val="20"/>
          <w:szCs w:val="20"/>
          <w:color w:val="auto"/>
        </w:rPr>
      </w:pPr>
      <w:r>
        <w:rPr>
          <w:rFonts w:ascii="Arial" w:cs="Arial" w:eastAsia="Arial" w:hAnsi="Arial"/>
          <w:sz w:val="14"/>
          <w:szCs w:val="14"/>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45" w:lineRule="exact"/>
        <w:rPr>
          <w:sz w:val="20"/>
          <w:szCs w:val="20"/>
          <w:color w:val="auto"/>
        </w:rPr>
      </w:pPr>
    </w:p>
    <w:p>
      <w:pPr>
        <w:jc w:val="both"/>
        <w:ind w:firstLine="350"/>
        <w:spacing w:after="0" w:line="249" w:lineRule="auto"/>
        <w:rPr>
          <w:sz w:val="20"/>
          <w:szCs w:val="20"/>
          <w:color w:val="auto"/>
        </w:rPr>
      </w:pPr>
      <w:r>
        <w:rPr>
          <w:rFonts w:ascii="Arial" w:cs="Arial" w:eastAsia="Arial" w:hAnsi="Arial"/>
          <w:sz w:val="14"/>
          <w:szCs w:val="14"/>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324"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53" w:name="page54"/>
    <w:bookmarkEnd w:id="53"/>
    <w:p>
      <w:pPr>
        <w:jc w:val="both"/>
        <w:ind w:firstLine="350"/>
        <w:spacing w:after="0" w:line="248" w:lineRule="auto"/>
        <w:rPr>
          <w:sz w:val="20"/>
          <w:szCs w:val="20"/>
          <w:color w:val="auto"/>
        </w:rPr>
      </w:pPr>
      <w:r>
        <w:rPr>
          <w:rFonts w:ascii="Arial" w:cs="Arial" w:eastAsia="Arial" w:hAnsi="Arial"/>
          <w:sz w:val="14"/>
          <w:szCs w:val="14"/>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33"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43" w:lineRule="exact"/>
        <w:rPr>
          <w:sz w:val="20"/>
          <w:szCs w:val="20"/>
          <w:color w:val="auto"/>
        </w:rPr>
      </w:pPr>
    </w:p>
    <w:p>
      <w:pPr>
        <w:jc w:val="both"/>
        <w:ind w:firstLine="350"/>
        <w:spacing w:after="0" w:line="288" w:lineRule="auto"/>
        <w:rPr>
          <w:sz w:val="20"/>
          <w:szCs w:val="20"/>
          <w:color w:val="auto"/>
        </w:rPr>
      </w:pPr>
      <w:r>
        <w:rPr>
          <w:rFonts w:ascii="Arial" w:cs="Arial" w:eastAsia="Arial" w:hAnsi="Arial"/>
          <w:sz w:val="12"/>
          <w:szCs w:val="12"/>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w:t>
      </w:r>
    </w:p>
    <w:p>
      <w:pPr>
        <w:spacing w:after="0" w:line="135"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325"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price of our common stock may be volatile, and the value of an investment in our common stock could decline.</w:t>
      </w:r>
    </w:p>
    <w:p>
      <w:pPr>
        <w:spacing w:after="0" w:line="168"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122" w:lineRule="exact"/>
        <w:rPr>
          <w:sz w:val="20"/>
          <w:szCs w:val="20"/>
          <w:color w:val="auto"/>
        </w:rPr>
      </w:pPr>
    </w:p>
    <w:p>
      <w:pPr>
        <w:ind w:left="700" w:hanging="313"/>
        <w:spacing w:after="0"/>
        <w:tabs>
          <w:tab w:leader="none" w:pos="7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interest rates, investor risk appetite and other macroeconomic factors impacting the market for securities issued by medical device companies;</w:t>
      </w:r>
    </w:p>
    <w:p>
      <w:pPr>
        <w:spacing w:after="0" w:line="125" w:lineRule="exact"/>
        <w:rPr>
          <w:rFonts w:ascii="Arial" w:cs="Arial" w:eastAsia="Arial" w:hAnsi="Arial"/>
          <w:sz w:val="14"/>
          <w:szCs w:val="14"/>
          <w:color w:val="auto"/>
        </w:rPr>
      </w:pPr>
    </w:p>
    <w:p>
      <w:pPr>
        <w:ind w:left="700" w:right="280" w:hanging="313"/>
        <w:spacing w:after="0" w:line="281" w:lineRule="auto"/>
        <w:tabs>
          <w:tab w:leader="none" w:pos="6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risk of inflation, interest rate increases and other macroeconomic factors impacting patients’ economic ability and likelihood of undergoing elective procedures, whether real or as perceived by investors;</w:t>
      </w:r>
    </w:p>
    <w:p>
      <w:pPr>
        <w:spacing w:after="0" w:line="79" w:lineRule="exact"/>
        <w:rPr>
          <w:rFonts w:ascii="Arial" w:cs="Arial" w:eastAsia="Arial" w:hAnsi="Arial"/>
          <w:sz w:val="14"/>
          <w:szCs w:val="14"/>
          <w:color w:val="auto"/>
        </w:rPr>
      </w:pPr>
    </w:p>
    <w:p>
      <w:pPr>
        <w:ind w:left="700" w:hanging="313"/>
        <w:spacing w:after="0"/>
        <w:tabs>
          <w:tab w:leader="none" w:pos="7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actual or anticipated changes or fluctuations in our results of operations;</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impact of the COVID-19 pandemic on our business;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results of our clinical trials and that of our competitors’ products;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regulatory actions with respect to our products or our competitor’s products;</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announcements of new offerings, products, services or technologies, commercial relationships, acquisitions, or other events by us or our competitors;</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healthcare companies, in general, and of companies in the medical device industry in particular;</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fluctuations in the trading volume of our shares or the size of our public float;</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negative publicity;</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whether our results of operations meet the expectations of securities analysts or investors or those expectations change;</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litigation involving us, our industry, or both;</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regulatory developments in the U.S., foreign countries, or both;</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lock-up releases and sales of large blocks of our common stock;</w:t>
      </w:r>
    </w:p>
    <w:p>
      <w:pPr>
        <w:spacing w:after="0" w:line="125"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additions or departures of key employees or scientific personnel; and</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general economic conditions and trends.</w:t>
      </w:r>
    </w:p>
    <w:p>
      <w:pPr>
        <w:spacing w:after="0" w:line="168" w:lineRule="exact"/>
        <w:rPr>
          <w:sz w:val="20"/>
          <w:szCs w:val="20"/>
          <w:color w:val="auto"/>
        </w:rPr>
      </w:pPr>
    </w:p>
    <w:p>
      <w:pPr>
        <w:jc w:val="both"/>
        <w:ind w:firstLine="350"/>
        <w:spacing w:after="0" w:line="272" w:lineRule="auto"/>
        <w:rPr>
          <w:sz w:val="20"/>
          <w:szCs w:val="20"/>
          <w:color w:val="auto"/>
        </w:rPr>
      </w:pPr>
      <w:r>
        <w:rPr>
          <w:rFonts w:ascii="Arial" w:cs="Arial" w:eastAsia="Arial" w:hAnsi="Arial"/>
          <w:sz w:val="13"/>
          <w:szCs w:val="13"/>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sales volumes and our operating results may fluctuate over the course of the year, which could affect the price of our common stock.</w:t>
      </w:r>
    </w:p>
    <w:p>
      <w:pPr>
        <w:spacing w:after="0" w:line="16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4"/>
          <w:szCs w:val="14"/>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43" w:lineRule="exact"/>
        <w:rPr>
          <w:sz w:val="20"/>
          <w:szCs w:val="20"/>
          <w:color w:val="auto"/>
        </w:rPr>
      </w:pPr>
    </w:p>
    <w:p>
      <w:pPr>
        <w:ind w:left="700" w:hanging="313"/>
        <w:spacing w:after="0"/>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payor coverage and reimbursement;</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number of products sold in the quarter and our ability to drive increased sales of our products;</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establish and maintain an effective and dedicated sales force;</w:t>
      </w:r>
    </w:p>
    <w:p>
      <w:pPr>
        <w:spacing w:after="0" w:line="306"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55" w:name="page56"/>
    <w:bookmarkEnd w:id="55"/>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pricing pressure applicable to our products, including adverse third-party coverage and reimbursement outcomes;</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impact of the COVID-19 pandemic or other epidemic disease outbreak on our business;</w:t>
      </w:r>
    </w:p>
    <w:p>
      <w:pPr>
        <w:spacing w:after="0" w:line="136"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results of clinical research and trials on our existing products and products in development;</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mix of our products sold because profit margins differ amongst our products;</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timing of new product offerings, acquisitions, licenses or other significant events by us or our competitors;</w:t>
      </w:r>
    </w:p>
    <w:p>
      <w:pPr>
        <w:spacing w:after="0" w:line="136"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ability of our suppliers to timely provide us with an adequate supply of materials and components;</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evolving product offerings of our competitors;</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demand for, and pricing of, our products and the products of our competitors;</w:t>
      </w:r>
    </w:p>
    <w:p>
      <w:pPr>
        <w:spacing w:after="0" w:line="136"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factors that may affect the sale of our products, including seasonality and budgets of our customers;</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domestic and international regulatory clearances or approvals, or CE Certificates of Conformity, and legislative changes affecting the products we may offer or those of our competitors;</w:t>
      </w:r>
    </w:p>
    <w:p>
      <w:pPr>
        <w:spacing w:after="0" w:line="136" w:lineRule="exact"/>
        <w:rPr>
          <w:rFonts w:ascii="Arial" w:cs="Arial" w:eastAsia="Arial" w:hAnsi="Arial"/>
          <w:sz w:val="13"/>
          <w:szCs w:val="13"/>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interruption in the manufacturing or distribution of our products;</w:t>
      </w:r>
    </w:p>
    <w:p>
      <w:pPr>
        <w:spacing w:after="0" w:line="136"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effect of competing technological, industry and market developments;</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ability to expand the geographic reach of our sales and marketing efforts;</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costs of maintaining adequate insurance coverage, including product liability insurance;</w:t>
      </w:r>
    </w:p>
    <w:p>
      <w:pPr>
        <w:spacing w:after="0" w:line="136"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availability and cost of components and materials;</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number of selling days in the quarter;</w:t>
      </w:r>
    </w:p>
    <w:p>
      <w:pPr>
        <w:spacing w:after="0" w:line="125"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fluctuation in foreign currency exchange rates; and</w:t>
      </w:r>
    </w:p>
    <w:p>
      <w:pPr>
        <w:spacing w:after="0" w:line="136" w:lineRule="exact"/>
        <w:rPr>
          <w:rFonts w:ascii="Arial" w:cs="Arial" w:eastAsia="Arial" w:hAnsi="Arial"/>
          <w:sz w:val="14"/>
          <w:szCs w:val="14"/>
          <w:color w:val="auto"/>
        </w:rPr>
      </w:pPr>
    </w:p>
    <w:p>
      <w:pPr>
        <w:ind w:left="700" w:hanging="313"/>
        <w:spacing w:after="0"/>
        <w:tabs>
          <w:tab w:leader="none" w:pos="7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impairment and other special charges.</w:t>
      </w:r>
    </w:p>
    <w:p>
      <w:pPr>
        <w:spacing w:after="0" w:line="168" w:lineRule="exact"/>
        <w:rPr>
          <w:sz w:val="20"/>
          <w:szCs w:val="20"/>
          <w:color w:val="auto"/>
        </w:rPr>
      </w:pPr>
    </w:p>
    <w:p>
      <w:pPr>
        <w:jc w:val="both"/>
        <w:ind w:firstLine="354"/>
        <w:spacing w:after="0" w:line="249" w:lineRule="auto"/>
        <w:rPr>
          <w:sz w:val="20"/>
          <w:szCs w:val="20"/>
          <w:color w:val="auto"/>
        </w:rPr>
      </w:pPr>
      <w:r>
        <w:rPr>
          <w:rFonts w:ascii="Arial" w:cs="Arial" w:eastAsia="Arial" w:hAnsi="Arial"/>
          <w:sz w:val="14"/>
          <w:szCs w:val="14"/>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utilize our federal and state net operating loss carryforwards to reduce our income taxes.</w:t>
      </w:r>
    </w:p>
    <w:p>
      <w:pPr>
        <w:spacing w:after="0" w:line="179" w:lineRule="exact"/>
        <w:rPr>
          <w:sz w:val="20"/>
          <w:szCs w:val="20"/>
          <w:color w:val="auto"/>
        </w:rPr>
      </w:pPr>
    </w:p>
    <w:p>
      <w:pPr>
        <w:jc w:val="both"/>
        <w:ind w:firstLine="350"/>
        <w:spacing w:after="0" w:line="247" w:lineRule="auto"/>
        <w:rPr>
          <w:sz w:val="20"/>
          <w:szCs w:val="20"/>
          <w:color w:val="auto"/>
        </w:rPr>
      </w:pPr>
      <w:r>
        <w:rPr>
          <w:rFonts w:ascii="Arial" w:cs="Arial" w:eastAsia="Arial" w:hAnsi="Arial"/>
          <w:sz w:val="14"/>
          <w:szCs w:val="14"/>
          <w:color w:val="auto"/>
        </w:rPr>
        <w:t>As of December 31, 2022, we had net operating loss (“NOL”) carryforwards of $298.6 million and $238.7 million available to reduce future taxable income, if any, for U.S. federal income tax and state income tax purposes, respectively. If not utilized, our federal and state NOL carryforwards begin to expire in 2029 and 2022,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 by legislation enacted in 2020, unused U.S. federal NOLs generated in tax years beginning after December 31, 2017</w:t>
      </w:r>
      <w:r>
        <w:rPr>
          <w:rFonts w:ascii="Arial" w:cs="Arial" w:eastAsia="Arial" w:hAnsi="Arial"/>
          <w:sz w:val="16"/>
          <w:szCs w:val="16"/>
          <w:color w:val="auto"/>
        </w:rPr>
        <w:t>,</w:t>
      </w:r>
      <w:r>
        <w:rPr>
          <w:rFonts w:ascii="Arial" w:cs="Arial" w:eastAsia="Arial" w:hAnsi="Arial"/>
          <w:sz w:val="14"/>
          <w:szCs w:val="14"/>
          <w:color w:val="auto"/>
        </w:rPr>
        <w:t xml:space="preserve"> 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w:t>
      </w:r>
    </w:p>
    <w:p>
      <w:pPr>
        <w:spacing w:after="0" w:line="325"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56" w:name="page57"/>
    <w:bookmarkEnd w:id="56"/>
    <w:p>
      <w:pPr>
        <w:jc w:val="both"/>
        <w:ind w:firstLine="350"/>
        <w:spacing w:after="0" w:line="288" w:lineRule="auto"/>
        <w:rPr>
          <w:sz w:val="20"/>
          <w:szCs w:val="20"/>
          <w:color w:val="auto"/>
        </w:rPr>
      </w:pPr>
      <w:r>
        <w:rPr>
          <w:rFonts w:ascii="Arial" w:cs="Arial" w:eastAsia="Arial" w:hAnsi="Arial"/>
          <w:sz w:val="13"/>
          <w:szCs w:val="13"/>
          <w:color w:val="auto"/>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w:t>
      </w:r>
    </w:p>
    <w:p>
      <w:pPr>
        <w:spacing w:after="0" w:line="120"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4"/>
          <w:szCs w:val="14"/>
          <w:color w:val="auto"/>
        </w:rPr>
        <w:t>On February 9, 2022, California Senate Bill 133 (SB 133) was signed into law. The new bill lifted the limitation for California NOL and credit utilization disallowed by AB 85. We will continue to monitor the possible California NOLs and credit limitation in future periods.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charter documents and Delaware law could discourage takeover attempts and lead to management entrenchment.</w:t>
      </w:r>
    </w:p>
    <w:p>
      <w:pPr>
        <w:spacing w:after="0" w:line="168"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37" w:lineRule="exact"/>
        <w:rPr>
          <w:sz w:val="20"/>
          <w:szCs w:val="20"/>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classified board of directors with three-year staggered terms, which could delay the ability of stockholders to change the membership of a majority of our board of directors;</w:t>
      </w:r>
    </w:p>
    <w:p>
      <w:pPr>
        <w:spacing w:after="0" w:line="167" w:lineRule="exact"/>
        <w:rPr>
          <w:rFonts w:ascii="Arial" w:cs="Arial" w:eastAsia="Arial" w:hAnsi="Arial"/>
          <w:sz w:val="14"/>
          <w:szCs w:val="14"/>
          <w:color w:val="auto"/>
        </w:rPr>
      </w:pPr>
    </w:p>
    <w:p>
      <w:pPr>
        <w:ind w:left="700" w:hanging="313"/>
        <w:spacing w:after="0" w:line="281"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79" w:lineRule="exact"/>
        <w:rPr>
          <w:rFonts w:ascii="Arial" w:cs="Arial" w:eastAsia="Arial" w:hAnsi="Arial"/>
          <w:sz w:val="14"/>
          <w:szCs w:val="14"/>
          <w:color w:val="auto"/>
        </w:rPr>
      </w:pPr>
    </w:p>
    <w:p>
      <w:pPr>
        <w:ind w:left="700" w:hanging="313"/>
        <w:spacing w:after="0" w:line="265" w:lineRule="auto"/>
        <w:tabs>
          <w:tab w:leader="none" w:pos="597"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00"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prohibition on stockholder action by written consent, which forces stockholder action to be taken at an annual or special meeting of our stockholders;</w:t>
      </w:r>
    </w:p>
    <w:p>
      <w:pPr>
        <w:spacing w:after="0" w:line="125" w:lineRule="exact"/>
        <w:rPr>
          <w:rFonts w:ascii="Arial" w:cs="Arial" w:eastAsia="Arial" w:hAnsi="Arial"/>
          <w:sz w:val="14"/>
          <w:szCs w:val="14"/>
          <w:color w:val="auto"/>
        </w:rPr>
      </w:pPr>
    </w:p>
    <w:p>
      <w:pPr>
        <w:ind w:left="700" w:hanging="313"/>
        <w:spacing w:after="0" w:line="265" w:lineRule="auto"/>
        <w:tabs>
          <w:tab w:leader="none" w:pos="59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00" w:lineRule="exact"/>
        <w:rPr>
          <w:rFonts w:ascii="Arial" w:cs="Arial" w:eastAsia="Arial" w:hAnsi="Arial"/>
          <w:sz w:val="14"/>
          <w:szCs w:val="14"/>
          <w:color w:val="auto"/>
        </w:rPr>
      </w:pPr>
    </w:p>
    <w:p>
      <w:pPr>
        <w:ind w:left="700" w:hanging="313"/>
        <w:spacing w:after="0" w:line="251" w:lineRule="auto"/>
        <w:tabs>
          <w:tab w:leader="none" w:pos="573"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110" w:lineRule="exact"/>
        <w:rPr>
          <w:rFonts w:ascii="Arial" w:cs="Arial" w:eastAsia="Arial" w:hAnsi="Arial"/>
          <w:sz w:val="14"/>
          <w:szCs w:val="14"/>
          <w:color w:val="auto"/>
        </w:rPr>
      </w:pPr>
    </w:p>
    <w:p>
      <w:pPr>
        <w:ind w:left="700" w:hanging="313"/>
        <w:spacing w:after="0" w:line="304" w:lineRule="auto"/>
        <w:tabs>
          <w:tab w:leader="none" w:pos="588" w:val="left"/>
        </w:tabs>
        <w:numPr>
          <w:ilvl w:val="0"/>
          <w:numId w:val="38"/>
        </w:numPr>
        <w:rPr>
          <w:rFonts w:ascii="Arial" w:cs="Arial" w:eastAsia="Arial" w:hAnsi="Arial"/>
          <w:sz w:val="13"/>
          <w:szCs w:val="13"/>
          <w:color w:val="auto"/>
        </w:rPr>
      </w:pPr>
      <w:r>
        <w:rPr>
          <w:rFonts w:ascii="Arial" w:cs="Arial" w:eastAsia="Arial" w:hAnsi="Arial"/>
          <w:sz w:val="13"/>
          <w:szCs w:val="13"/>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09"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2"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4"/>
          <w:szCs w:val="14"/>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43" w:lineRule="exact"/>
        <w:rPr>
          <w:sz w:val="20"/>
          <w:szCs w:val="20"/>
          <w:color w:val="auto"/>
        </w:rPr>
      </w:pPr>
    </w:p>
    <w:p>
      <w:pPr>
        <w:jc w:val="both"/>
        <w:ind w:firstLine="350"/>
        <w:spacing w:after="0" w:line="313" w:lineRule="auto"/>
        <w:rPr>
          <w:sz w:val="20"/>
          <w:szCs w:val="20"/>
          <w:color w:val="auto"/>
        </w:rPr>
      </w:pPr>
      <w:r>
        <w:rPr>
          <w:rFonts w:ascii="Arial" w:cs="Arial" w:eastAsia="Arial" w:hAnsi="Arial"/>
          <w:sz w:val="12"/>
          <w:szCs w:val="12"/>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28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4"/>
          <w:szCs w:val="14"/>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37" w:lineRule="exact"/>
        <w:rPr>
          <w:sz w:val="20"/>
          <w:szCs w:val="20"/>
          <w:color w:val="auto"/>
        </w:rPr>
      </w:pPr>
    </w:p>
    <w:p>
      <w:pPr>
        <w:jc w:val="both"/>
        <w:ind w:firstLine="350"/>
        <w:spacing w:after="0" w:line="248" w:lineRule="auto"/>
        <w:rPr>
          <w:sz w:val="20"/>
          <w:szCs w:val="20"/>
          <w:color w:val="auto"/>
        </w:rPr>
      </w:pPr>
      <w:r>
        <w:rPr>
          <w:rFonts w:ascii="Arial" w:cs="Arial" w:eastAsia="Arial" w:hAnsi="Arial"/>
          <w:sz w:val="14"/>
          <w:szCs w:val="14"/>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155"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4"/>
          <w:szCs w:val="14"/>
          <w:color w:val="auto"/>
        </w:rPr>
        <w:t>Our amended and restated certificate of incorporation also provides that the U.S. federal district courts are the exclusive forum for resolving any complaint asserting a cause of action arising under the Securities Act.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40"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Our leased headquarters in Santa Clara, California, comprises approximately 21,848 square feet, and the lease for this space expires in May 2025. Our headquarters houses our research, product development, marketing, finance, education, and administration functions. We also lease research and development and warehouse space in another building in Santa Clara, California under a lease that will expire in October 2026, and office spaces in Gallarate, Italy (lease expires in August 2027), Mannheim, Germany (lease can be terminated on six-months notice), and Knaresborough, United Kingdom (lease expires in December 2025) to accommodate our European sales and marketing team. We believe our facilities are adequate and suitable for our current needs but in the future we may need additional space.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40"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We may be subject to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306"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PART II</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Price of Common Stock</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common stock is listed on the Nasdaq Global Market under the symbol “SIBN”.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Record</w:t>
      </w:r>
    </w:p>
    <w:p>
      <w:pPr>
        <w:spacing w:after="0" w:line="204" w:lineRule="exact"/>
        <w:rPr>
          <w:sz w:val="20"/>
          <w:szCs w:val="20"/>
          <w:color w:val="auto"/>
        </w:rPr>
      </w:pPr>
    </w:p>
    <w:p>
      <w:pPr>
        <w:jc w:val="both"/>
        <w:ind w:firstLine="318"/>
        <w:spacing w:after="0" w:line="283" w:lineRule="auto"/>
        <w:rPr>
          <w:sz w:val="20"/>
          <w:szCs w:val="20"/>
          <w:color w:val="auto"/>
        </w:rPr>
      </w:pPr>
      <w:r>
        <w:rPr>
          <w:rFonts w:ascii="Arial" w:cs="Arial" w:eastAsia="Arial" w:hAnsi="Arial"/>
          <w:sz w:val="14"/>
          <w:szCs w:val="14"/>
          <w:color w:val="auto"/>
        </w:rPr>
        <w:t>As of February 23, 2023, we had 144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have never declared or paid any cash dividends on our capital stock, and we do not currently intend to pay any cash dividends on our capital stock in the foreseeable future.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278" w:lineRule="exact"/>
        <w:rPr>
          <w:sz w:val="20"/>
          <w:szCs w:val="20"/>
          <w:color w:val="auto"/>
        </w:rPr>
      </w:pPr>
    </w:p>
    <w:p>
      <w:pPr>
        <w:jc w:val="both"/>
        <w:ind w:firstLine="181"/>
        <w:spacing w:after="0" w:line="288" w:lineRule="auto"/>
        <w:rPr>
          <w:sz w:val="20"/>
          <w:szCs w:val="20"/>
          <w:color w:val="auto"/>
        </w:rPr>
      </w:pPr>
      <w:r>
        <w:rPr>
          <w:rFonts w:ascii="Arial" w:cs="Arial" w:eastAsia="Arial" w:hAnsi="Arial"/>
          <w:sz w:val="13"/>
          <w:szCs w:val="13"/>
          <w:i w:val="1"/>
          <w:iCs w:val="1"/>
          <w:color w:val="auto"/>
        </w:rPr>
        <w:t xml:space="preserve">The following discussion and analysis of our financial condition and results of operations should be read in conjunction with our financial statements and the related notes to those statements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important factors, including those set forth in the </w:t>
      </w:r>
      <w:r>
        <w:rPr>
          <w:rFonts w:ascii="Arial" w:cs="Arial" w:eastAsia="Arial" w:hAnsi="Arial"/>
          <w:sz w:val="13"/>
          <w:szCs w:val="13"/>
          <w:color w:val="auto"/>
        </w:rPr>
        <w:t>“</w:t>
      </w:r>
      <w:r>
        <w:rPr>
          <w:rFonts w:ascii="Arial" w:cs="Arial" w:eastAsia="Arial" w:hAnsi="Arial"/>
          <w:sz w:val="13"/>
          <w:szCs w:val="13"/>
          <w:i w:val="1"/>
          <w:iCs w:val="1"/>
          <w:color w:val="auto"/>
        </w:rPr>
        <w:t>Risk Factors</w:t>
      </w:r>
      <w:r>
        <w:rPr>
          <w:rFonts w:ascii="Arial" w:cs="Arial" w:eastAsia="Arial" w:hAnsi="Arial"/>
          <w:sz w:val="13"/>
          <w:szCs w:val="13"/>
          <w:color w:val="auto"/>
        </w:rPr>
        <w:t>”</w:t>
      </w:r>
      <w:r>
        <w:rPr>
          <w:rFonts w:ascii="Arial" w:cs="Arial" w:eastAsia="Arial" w:hAnsi="Arial"/>
          <w:sz w:val="13"/>
          <w:szCs w:val="13"/>
          <w:i w:val="1"/>
          <w:iCs w:val="1"/>
          <w:color w:val="auto"/>
        </w:rPr>
        <w:t xml:space="preserve"> section of this Annual Report on Form 10-K, our actual results could differ materially from the results described in, or implied, by these forward-looking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3" w:lineRule="exact"/>
        <w:rPr>
          <w:sz w:val="20"/>
          <w:szCs w:val="20"/>
          <w:color w:val="auto"/>
        </w:rPr>
      </w:pPr>
    </w:p>
    <w:p>
      <w:pPr>
        <w:jc w:val="both"/>
        <w:ind w:firstLine="255"/>
        <w:spacing w:after="0" w:line="349" w:lineRule="auto"/>
        <w:rPr>
          <w:sz w:val="20"/>
          <w:szCs w:val="20"/>
          <w:color w:val="auto"/>
        </w:rPr>
      </w:pPr>
      <w:r>
        <w:rPr>
          <w:rFonts w:ascii="Arial" w:cs="Arial" w:eastAsia="Arial" w:hAnsi="Arial"/>
          <w:sz w:val="12"/>
          <w:szCs w:val="12"/>
          <w:color w:val="auto"/>
        </w:rPr>
        <w:t>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w:t>
      </w:r>
    </w:p>
    <w:p>
      <w:pPr>
        <w:spacing w:after="0" w:line="8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Our products include a series of patented titanium implants and the instruments used to implant them. Since launching our first generation iFuse in 2009, we have launched three new implants product lines, iFuse-3D in 2017, iFuse-TORQ in 2021 and iFuse Bedrock Granite in 2022. Within the United States, our iFuse, iFuse-3D and iFuse-TORQ have clearances for applications across sacroiliac joint dysfunction and fusion, adult deformity and degeneration, and pelvic trauma.</w:t>
      </w:r>
    </w:p>
    <w:p>
      <w:pPr>
        <w:spacing w:after="0" w:line="142"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We market our products primarily with a direct sales force as well as a number of distributors in the U.S., and with a combination of a direct sales force and distributors in other countries. As of December 31, 2022, more than 75,000 procedures have been performed by over 3,000 surgeons in the United States and 38 other countries since we introduced iFuse in 2009.</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COVID-19 Pandemic</w:t>
      </w:r>
    </w:p>
    <w:p>
      <w:pPr>
        <w:spacing w:after="0" w:line="20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global COVID-19 pandemic presents significant risks to us and has impacted, and continues to impact our business, operations, and financial results and condition, directly and indirectly, including, without limitation, impacts on the health of our management and employees; our manufacturing, distribution, marketing and sales operations; our research and development activities, including clinical activities; and customer and patient behaviors.</w:t>
      </w:r>
    </w:p>
    <w:p>
      <w:pPr>
        <w:spacing w:after="0" w:line="16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4"/>
          <w:szCs w:val="14"/>
          <w:color w:val="auto"/>
        </w:rPr>
        <w:t>Access to many hospitals and other customer sites was impacted by prevalence of COVID-19, which negatively impacts our ability to promote the use of our products with physicians. Additionally, many hospitals and ambulatory surgery centers have in the past suspended and may suspend in the future, many elective procedures, resulting in a reduced volume of procedures using our products. Our customer behavior is impacted by the prevalence of COVID-19 and changes in the infection rates in the locations where our customers reside. Quarantines, shelter-in-place, elective procedure moratoria and similar government orders have also impacted, and may continue to impact, our third-party manufacturers and suppliers, and could in turn adversely impact the availability or cost of materials, which could disrupt our supply chain. Periodic resurgence of the COVID-19 pandemic negatively impacted our revenues at various periods throughout 2021 and 2022 as evidenced by case deferrals attributed to COVID-19.</w:t>
      </w:r>
    </w:p>
    <w:p>
      <w:pPr>
        <w:spacing w:after="0" w:line="16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Throughout the pandemic, we have taken a variety of steps to address the impact of the COVID-19, while attempting to minimize business disruption. We are continuing to monitor the impact of the COVID-19 pandemic on our employees and customers and on the markets in which we operate, and will take further actions that are considered prudent to address the COVID-19 pandemic, while ensuring that we can support our customers and continue to develop our products.</w:t>
      </w:r>
    </w:p>
    <w:p>
      <w:pPr>
        <w:spacing w:after="0" w:line="14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4"/>
          <w:szCs w:val="14"/>
          <w:color w:val="auto"/>
        </w:rPr>
        <w:t>Certain of our third-party suppliers have faced delays, product shortages and rising costs resulting from disruptions in the global supply chain, related to instruments and shop capacity issues impacting lead-time and quantities of implants available. As a result, we are continuing to work closely with our manufacturing partners and suppliers, as well as determining alternative sourcing strategies to enable us to source key components and maintain appropriate inventory levels to meet customer demand.</w:t>
      </w:r>
    </w:p>
    <w:p>
      <w:pPr>
        <w:spacing w:after="0" w:line="174"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3"/>
          <w:szCs w:val="13"/>
          <w:color w:val="auto"/>
        </w:rPr>
        <w:t>We cannot currently predict with certainty the full extent to which the COVID-19 pandemic will impact demand for our products in the future, or the impact of the COVID-19 pandemic on our supply chain or other aspects of our business. Accordingly, the COVID-19 pandemic could have a material adverse effect on our results of operations, financial condition and capital resources.</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existence and further duration of the COVID-19 pandemic may also further exacerbate certain risks as described in “Item 1A - Risk Factors.”</w:t>
      </w:r>
    </w:p>
    <w:p>
      <w:pPr>
        <w:spacing w:after="0" w:line="179"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auto"/>
        </w:rPr>
        <w:t>Factors Affecting Results of Operations and Key Performance Indicators</w:t>
      </w:r>
    </w:p>
    <w:p>
      <w:pPr>
        <w:spacing w:after="0" w:line="18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surgeon penetration, launch new products, address human capital needs and gain operational efficiencies.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Expand Access to Solutions</w:t>
      </w:r>
    </w:p>
    <w:p>
      <w:pPr>
        <w:spacing w:after="0" w:line="17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As we expand our portfolio, the experience, caliber, and strong clinician relationships of our sales force will be crucial to drive adoption of our future products and procedures. Since our initial public offering in 2018, we have made significant investments in our commercial infrastructure to build a valuable sales team to expand the market, drive surgeon engagement and deliver revenue growth.</w:t>
      </w:r>
    </w:p>
    <w:p>
      <w:pPr>
        <w:spacing w:after="0" w:line="142"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While we will continue to selectively expand our sales force, we are also focused on increasing our sales managers capacity and drive productivity by adding more clinical support specialists and implement hybrid models, including selectively adding distributors for case coverage and consign instrument trays and implants at selective sites of service</w:t>
      </w:r>
    </w:p>
    <w:p>
      <w:pPr>
        <w:spacing w:after="0" w:line="13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As of December 31, 2022, our U.S. sales force consisted of 88 territory sales managers and 73 clinical support specialists directly employed by us and 105 third-party distributors, compared to 85 territory sales managers and 65 clinical support specialists directly employed by us and 59 third-party distributors as of December 31, 2021. As of December 31, 2022, our international sales force consisted of 18 sales representatives directly employed by us and 30 third-party distributors, compared to 20 sales representatives directly employed by us and 32 third-party distributors as of December 31, 2021.</w:t>
      </w:r>
    </w:p>
    <w:p>
      <w:pPr>
        <w:spacing w:after="0" w:line="1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With the steady increase in the numbers of minimally invasive procedures, including sacroiliac joint fusion procedures, being performed at ASCs, we continue to actively engage the ASCs to educate them on our clinical evidence, exclusive commercial payor coverage and focus on driving improved education and pathways between pain physicians and surgeons. As of December 31, 2022, over 20 percent of procedures for sacroiliac joint dysfunction using our products were performed at ASCs.</w:t>
      </w:r>
    </w:p>
    <w:p>
      <w:pPr>
        <w:spacing w:after="0" w:line="14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We have been making targeted investments in digital marketing initiatives to drive patient awareness, to empower and educate patients as they manage their sacroiliac joint dysfunction and associated pain. These marketing programs are targeted at patients in chronic, severe sacroiliac joint pain who have been in conservative care for an extended period of time. We are focused on connecting patients with surgeons in their area who perform minimally invasive SI-Joint procedures through our Find-a-Doctor website tool. Through a variety of channels, including search, social and display, we have deployed a number of campaigns and are continually optimizing to maximize patient awareness and to connect patients with surgeons. Our data-driven approach enables us to focus our investment on the most cost-effective programs.</w:t>
      </w:r>
    </w:p>
    <w:p>
      <w:pPr>
        <w:spacing w:after="0" w:line="157"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61" w:name="page62"/>
    <w:bookmarkEnd w:id="61"/>
    <w:p>
      <w:pPr>
        <w:ind w:left="320"/>
        <w:spacing w:after="0"/>
        <w:rPr>
          <w:sz w:val="20"/>
          <w:szCs w:val="20"/>
          <w:color w:val="auto"/>
        </w:rPr>
      </w:pPr>
      <w:r>
        <w:rPr>
          <w:rFonts w:ascii="Arial" w:cs="Arial" w:eastAsia="Arial" w:hAnsi="Arial"/>
          <w:sz w:val="14"/>
          <w:szCs w:val="14"/>
          <w:b w:val="1"/>
          <w:bCs w:val="1"/>
          <w:i w:val="1"/>
          <w:iCs w:val="1"/>
          <w:color w:val="auto"/>
        </w:rPr>
        <w:t>Surgeon Engagement</w:t>
      </w:r>
    </w:p>
    <w:p>
      <w:pPr>
        <w:spacing w:after="0" w:line="168"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Engaging and educating surgeons and other healthcare professionals about the clinical merits and patient benefits of our solutions will be important to grow surgeon adoption. Our medical affairs team works closely with our sales team to increase surgeon engagement and activation. Surgeon activity includes both the number of surgeons performing our procedures as well as the number of procedures performed per surgeon. In addition to training new surgeons, we have several initiatives to re-engage inactive surgeons.</w:t>
      </w:r>
    </w:p>
    <w:p>
      <w:pPr>
        <w:spacing w:after="0" w:line="142"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We utilize a combination of hands-on cadaveric and dry-lab training, as well as SI-BONE SImulator - a portable, radiation-free, haptics and computer-based simulator for training purposes, and optimize our programs to improve adoption rate, time to first case and ultimately surgeon productivity.</w:t>
      </w:r>
    </w:p>
    <w:p>
      <w:pPr>
        <w:spacing w:after="0" w:line="132" w:lineRule="exact"/>
        <w:rPr>
          <w:sz w:val="20"/>
          <w:szCs w:val="20"/>
          <w:color w:val="auto"/>
        </w:rPr>
      </w:pPr>
    </w:p>
    <w:p>
      <w:pPr>
        <w:jc w:val="both"/>
        <w:ind w:firstLine="350"/>
        <w:spacing w:after="0" w:line="288" w:lineRule="auto"/>
        <w:rPr>
          <w:sz w:val="20"/>
          <w:szCs w:val="20"/>
          <w:color w:val="auto"/>
        </w:rPr>
      </w:pPr>
      <w:r>
        <w:rPr>
          <w:rFonts w:ascii="Arial" w:cs="Arial" w:eastAsia="Arial" w:hAnsi="Arial"/>
          <w:sz w:val="13"/>
          <w:szCs w:val="13"/>
          <w:color w:val="auto"/>
        </w:rPr>
        <w:t>As of December 31, 2022 and 2021, in the U.S. more than 2,200 surgeons and 1,800 surgeons, respectively, have been trained on iFuse and have treated at least one patient. Outside the U.S., as of December 31, 2022 and 2021, more than 800 surgeons and 700 surgeons, respectively, have been trained on iFuse and have treated at least one patient. We will continue to pursue approximately 5,300 target surgeons in the U.S., as well as international surgeons to train and retrain in the future. Since launching our academic training program in August 2018, we have trained residents and fellows in over 200 academic programs in the U.S., resulting in the training of approximately 1200 surgical residents and fellows.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Expand Addressable Markets</w:t>
      </w:r>
    </w:p>
    <w:p>
      <w:pPr>
        <w:spacing w:after="0" w:line="179"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Expanding our platform of sacropelvic solutions to address SI joint dysfunction, pelvic fixation and pelvic trauma has been a key tenet of our strategy, and we have made substantial progress on this mission. With iFuse-3D, iFuse-TORQ and iFuse Bedrock Granite, we believe that the value of our innovative, versatile, and complementary product portfolio provides surgeons with a comprehensive set of alternatives, and positions us as the top choice for surgeons for sacropelvic solutions.</w:t>
      </w:r>
    </w:p>
    <w:p>
      <w:pPr>
        <w:spacing w:after="0" w:line="142"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4"/>
          <w:szCs w:val="14"/>
          <w:color w:val="auto"/>
        </w:rPr>
        <w:t>In June 2022, we completed enrollment in SILVIA, a two-year prospective international multi center randomized controlled trial of two different methods for pelvic fixation in adult patients undergoing long-construct spinal fusion. We anticipate the results for the primary endpoint in 2024. In September 2022 we enrolled the first of the targeted 120 patients in our SAFFRON study, a prospective randomized controlled trial of surgery using our iFuse-TORQ device vs. non-surgical management in patients with debilitating sacral fragility or insufficiency fractures. We anticipate results to be available in late 2024.</w:t>
      </w:r>
    </w:p>
    <w:p>
      <w:pPr>
        <w:spacing w:after="0" w:line="146"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4"/>
          <w:szCs w:val="14"/>
          <w:color w:val="auto"/>
        </w:rPr>
        <w:t>We continue to invest in R&amp;D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In 2022, we spent $13.6 million on R&amp;D, equating to 13% of our 2022 revenue.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Enhance Employee Experience and Engagement</w:t>
      </w:r>
    </w:p>
    <w:p>
      <w:pPr>
        <w:spacing w:after="0" w:line="168"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Our ability to recruit, develop and retain highly skilled talent is a significant determinant of our success. To facilitate talent attraction, retention, and development, we strive to make SI-BONE an inclusive, diverse, and safe workplace with opportunities for our employees to grow and develop in their careers, supported by strong compensation, benefits, and health and wellness programs, as well as by programs that build connections between our employees and the communities in which they live and work.</w:t>
      </w:r>
    </w:p>
    <w:p>
      <w:pPr>
        <w:spacing w:after="0" w:line="142" w:lineRule="exact"/>
        <w:rPr>
          <w:sz w:val="20"/>
          <w:szCs w:val="20"/>
          <w:color w:val="auto"/>
        </w:rPr>
      </w:pPr>
    </w:p>
    <w:p>
      <w:pPr>
        <w:jc w:val="both"/>
        <w:ind w:firstLine="350"/>
        <w:spacing w:after="0" w:line="257" w:lineRule="auto"/>
        <w:rPr>
          <w:sz w:val="20"/>
          <w:szCs w:val="20"/>
          <w:color w:val="auto"/>
        </w:rPr>
      </w:pPr>
      <w:r>
        <w:rPr>
          <w:rFonts w:ascii="Arial" w:cs="Arial" w:eastAsia="Arial" w:hAnsi="Arial"/>
          <w:sz w:val="14"/>
          <w:szCs w:val="14"/>
          <w:color w:val="auto"/>
        </w:rPr>
        <w:t>In addition to ensuring workforce diversity as well as fair and equitable pay to our employees, we remain focused on enhancing employee retention and job satisfaction. To that effect, we have created a feedback framework to monitor and respond to employee sentiment on an ongoing basis. Leveraging the insights from this feedback, we are focused on implementing strategies to enhance productivity and increase employee empowerment to drive quick decision making and prioritization across the organization. Additionally, we offer ongoing learning and leadership training opportunities that support growth and development. In 2022 we conducted a formal management training program and implemented a new career development program which includes a formalized framework that reflects how an employee can advance their career within the company. Through our engagement programs and voluntary and giving activities, we are also focused on building connections between our employees, their families, and our communities to create a more meaningful and fulfilling workplace. We experienced a decrease in voluntary employee attrition during 2022, which we believe was at least in part to due to our actions to improve employee experience.</w:t>
      </w:r>
    </w:p>
    <w:p>
      <w:pPr>
        <w:spacing w:after="0" w:line="151"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7" w:right="319" w:bottom="1440" w:gutter="0" w:footer="0" w:header="0"/>
        </w:sectPr>
      </w:pPr>
    </w:p>
    <w:bookmarkStart w:id="62" w:name="page63"/>
    <w:bookmarkEnd w:id="62"/>
    <w:p>
      <w:pPr>
        <w:ind w:left="360"/>
        <w:spacing w:after="0"/>
        <w:rPr>
          <w:sz w:val="20"/>
          <w:szCs w:val="20"/>
          <w:color w:val="auto"/>
        </w:rPr>
      </w:pPr>
      <w:r>
        <w:rPr>
          <w:rFonts w:ascii="Arial" w:cs="Arial" w:eastAsia="Arial" w:hAnsi="Arial"/>
          <w:sz w:val="14"/>
          <w:szCs w:val="14"/>
          <w:b w:val="1"/>
          <w:bCs w:val="1"/>
          <w:i w:val="1"/>
          <w:iCs w:val="1"/>
          <w:color w:val="auto"/>
        </w:rPr>
        <w:t>Gain operational efficiency</w:t>
      </w:r>
    </w:p>
    <w:p>
      <w:pPr>
        <w:spacing w:after="0" w:line="17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To support our growing portfolio of solutions, we continue to evolve our business processes to identify, measure and improve operational efficiency. The information developed will allow us to optimize processes, increase sales force productivity and improve asset utilization.</w:t>
      </w:r>
    </w:p>
    <w:p>
      <w:pPr>
        <w:spacing w:after="0" w:line="1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While we will continue to selectively expand our sales force, we are also focused on increasing our sales managers capacity and drive productivity by adding more clinical support specialists and implement hybrid models, including selectively adding distributors for case coverage and consign instrument trays and implants at selective sites of service. Our average revenue per territory manager has increased to approximately $1.21 million in FY2022, from $1.06 million in FY2021.</w:t>
      </w:r>
    </w:p>
    <w:p>
      <w:pPr>
        <w:spacing w:after="0" w:line="14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We have made significant investments in instrument sets used to perform surgeries. Our goal is to deploy instrument sets to the market where the demand exists to increase our asset turn rate over time and use capital more effectively. Given the macro supply chain disruption, we are working closely with our suppliers to reduce lead time for our implant to ensure we can support our expanding surgeon footprint and over time build the resilience in our supply chain to reduce our cash investment in inventory. Additionally, we are partnering with our suppliers around design for manufacturing, specifically for a newer products, to reduce the overall cost of the implants as we scale, reduce waste and rework. Lastly, we are integrating our demand planning and manufacturing systems, to ensure we leverage actual usage trends as we build surgical capacity to support our growth.</w:t>
      </w:r>
    </w:p>
    <w:p>
      <w:pPr>
        <w:spacing w:after="0" w:line="34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Revenue</w:t>
      </w:r>
    </w:p>
    <w:p>
      <w:pPr>
        <w:spacing w:after="0" w:line="200" w:lineRule="exact"/>
        <w:rPr>
          <w:sz w:val="20"/>
          <w:szCs w:val="20"/>
          <w:color w:val="auto"/>
        </w:rPr>
      </w:pPr>
    </w:p>
    <w:p>
      <w:pPr>
        <w:jc w:val="both"/>
        <w:ind w:firstLine="350"/>
        <w:spacing w:after="0" w:line="322" w:lineRule="auto"/>
        <w:rPr>
          <w:sz w:val="20"/>
          <w:szCs w:val="20"/>
          <w:color w:val="auto"/>
        </w:rPr>
      </w:pPr>
      <w:r>
        <w:rPr>
          <w:rFonts w:ascii="Arial" w:cs="Arial" w:eastAsia="Arial" w:hAnsi="Arial"/>
          <w:sz w:val="12"/>
          <w:szCs w:val="12"/>
          <w:color w:val="auto"/>
        </w:rPr>
        <w:t>We generate most of our revenue from sales of iFuse triangular titanium implants. Our revenue from sales of implants fluctuate based on volume of cases (procedures performed), discounts, mix of international and U.S. sales, different implant pricing and the number of implants used for a particular patient. Similar to other orthopedic companies, our case volume can vary from quarter to</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quarter due to a variety of factors including reimbursement, sales force changes, physician activities, seasonality, and the impact of COVID-19. In addition, our revenue is impacted by changes in average selling price as we respond to the competitive landscape and price differences at different medical facilities, such as hospitals and ambulatory surgical centers, or ASCs.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68"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insurance coverage limits. However, taken as a whole, seasonality does not have a material impact on our financial results</w:t>
      </w:r>
    </w:p>
    <w:p>
      <w:pPr>
        <w:spacing w:after="0" w:line="163"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Starting March 2020, the impact of COVID-19 pandemic on our revenue has varied by period and region based on various factors, including stage of containment, resurgence of variants, success of regional vaccination campaigns, and associated government and hospital actions around elective procedures.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Cost of Goods Sold, Gross Profit, and Gross Margin</w:t>
      </w:r>
    </w:p>
    <w:p>
      <w:pPr>
        <w:spacing w:after="0" w:line="200"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We utilize third-party manufacturers for production of our implants and instrument sets. Cost of goods sold consists primarily of costs of the components of implants and instruments, instrument set depreciation, royalties, scrap and inventory obsolescence, as well as distribution-related expenses such as logistics and shipping costs. Our cost of goods sold has historically increased as case levels increase.</w:t>
      </w:r>
    </w:p>
    <w:p>
      <w:pPr>
        <w:spacing w:after="0" w:line="16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Our gross profit and gross margin are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0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Sales and Marketing Expenses</w:t>
      </w:r>
    </w:p>
    <w:p>
      <w:pPr>
        <w:spacing w:after="0" w:line="200"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direct territory sales managers, clinical support specialists and third-party distributors.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20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33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64" w:name="page65"/>
    <w:bookmarkEnd w:id="64"/>
    <w:p>
      <w:pPr>
        <w:ind w:firstLine="318"/>
        <w:spacing w:after="0" w:line="321" w:lineRule="auto"/>
        <w:rPr>
          <w:sz w:val="20"/>
          <w:szCs w:val="20"/>
          <w:color w:val="auto"/>
        </w:rPr>
      </w:pPr>
      <w:r>
        <w:rPr>
          <w:rFonts w:ascii="Arial" w:cs="Arial" w:eastAsia="Arial" w:hAnsi="Arial"/>
          <w:sz w:val="13"/>
          <w:szCs w:val="13"/>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General and Administrative Expenses</w:t>
      </w:r>
    </w:p>
    <w:p>
      <w:pPr>
        <w:spacing w:after="0" w:line="200"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General and administrative expenses primarily consist of salaries, stock-based compensation expense, and other costs for finance, accounting, legal, insurance, compliance, and administrative matters.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Interest Income</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Interest income is primarily related to our investments of excess cash in money market funds and marketable securities.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89" w:lineRule="exact"/>
        <w:rPr>
          <w:sz w:val="20"/>
          <w:szCs w:val="20"/>
          <w:color w:val="auto"/>
        </w:rPr>
      </w:pPr>
    </w:p>
    <w:p>
      <w:pPr>
        <w:ind w:right="260" w:firstLine="318"/>
        <w:spacing w:after="0" w:line="265" w:lineRule="auto"/>
        <w:rPr>
          <w:sz w:val="20"/>
          <w:szCs w:val="20"/>
          <w:color w:val="auto"/>
        </w:rPr>
      </w:pPr>
      <w:r>
        <w:rPr>
          <w:rFonts w:ascii="Arial" w:cs="Arial" w:eastAsia="Arial" w:hAnsi="Arial"/>
          <w:sz w:val="14"/>
          <w:szCs w:val="14"/>
          <w:color w:val="auto"/>
        </w:rPr>
        <w:t>Interest expense is primarily related to borrowings, amortization of debt issuance costs, and accretion of final fees on the Solar and SVB Term Loans. See “Liquidity and Capital Resources - Term Loan” below for a description of these term loans.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Other income (expense), net consists primarily of net foreign exchange gains and losses on foreign transactions.</w:t>
      </w:r>
    </w:p>
    <w:p>
      <w:pPr>
        <w:spacing w:after="0" w:line="380"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color w:val="auto"/>
        </w:rPr>
        <w:t>Results of Operations</w:t>
      </w:r>
    </w:p>
    <w:p>
      <w:pPr>
        <w:spacing w:after="0" w:line="183"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We manage and operate as one reportable segment. The table below summarizes our results of operations for the periods presented (percentages are amounts as a percentage of revenue), which we derived from the consolidated financial statements:</w:t>
      </w:r>
    </w:p>
    <w:p>
      <w:pPr>
        <w:spacing w:after="0" w:line="196" w:lineRule="exact"/>
        <w:rPr>
          <w:sz w:val="20"/>
          <w:szCs w:val="20"/>
          <w:color w:val="auto"/>
        </w:rPr>
      </w:pPr>
    </w:p>
    <w:tbl>
      <w:tblPr>
        <w:tblLayout w:type="fixed"/>
        <w:tblInd w:w="360" w:type="dxa"/>
        <w:tblCellMar>
          <w:top w:w="0" w:type="dxa"/>
          <w:left w:w="0" w:type="dxa"/>
          <w:bottom w:w="0" w:type="dxa"/>
          <w:right w:w="0" w:type="dxa"/>
        </w:tblCellMar>
      </w:tblPr>
      <w:tr>
        <w:trPr>
          <w:trHeight w:val="168"/>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Year ended December 31, 2022</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3"/>
                <w:szCs w:val="13"/>
                <w:b w:val="1"/>
                <w:bCs w:val="1"/>
                <w:color w:val="auto"/>
              </w:rPr>
              <w:t>Year ended December 31, 2021</w:t>
            </w:r>
          </w:p>
        </w:tc>
      </w:tr>
      <w:tr>
        <w:trPr>
          <w:trHeight w:val="160"/>
        </w:trPr>
        <w:tc>
          <w:tcPr>
            <w:tcW w:w="5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3"/>
                <w:szCs w:val="13"/>
                <w:b w:val="1"/>
                <w:bCs w:val="1"/>
                <w:color w:val="auto"/>
              </w:rPr>
              <w:t>%</w:t>
            </w:r>
          </w:p>
        </w:tc>
      </w:tr>
      <w:tr>
        <w:trPr>
          <w:trHeight w:val="158"/>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gridSpan w:val="6"/>
          </w:tcPr>
          <w:p>
            <w:pPr>
              <w:ind w:left="380"/>
              <w:spacing w:after="0"/>
              <w:rPr>
                <w:sz w:val="20"/>
                <w:szCs w:val="20"/>
                <w:color w:val="auto"/>
              </w:rPr>
            </w:pPr>
            <w:r>
              <w:rPr>
                <w:rFonts w:ascii="Arial" w:cs="Arial" w:eastAsia="Arial" w:hAnsi="Arial"/>
                <w:sz w:val="13"/>
                <w:szCs w:val="13"/>
                <w:b w:val="1"/>
                <w:bCs w:val="1"/>
                <w:color w:val="auto"/>
              </w:rPr>
              <w:t>(in thousands, except for percentages)</w:t>
            </w:r>
          </w:p>
        </w:tc>
        <w:tc>
          <w:tcPr>
            <w:tcW w:w="1340" w:type="dxa"/>
            <w:vAlign w:val="bottom"/>
          </w:tcPr>
          <w:p>
            <w:pPr>
              <w:spacing w:after="0"/>
              <w:rPr>
                <w:sz w:val="13"/>
                <w:szCs w:val="13"/>
                <w:color w:val="auto"/>
              </w:rPr>
            </w:pPr>
          </w:p>
        </w:tc>
      </w:tr>
      <w:tr>
        <w:trPr>
          <w:trHeight w:val="184"/>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 Data:</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1"/>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106,409</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90,152</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goods sold</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15,705</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10,428</w:t>
            </w: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r>
      <w:tr>
        <w:trPr>
          <w:trHeight w:val="171"/>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profit</w:t>
            </w: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90,704</w:t>
            </w:r>
          </w:p>
        </w:tc>
        <w:tc>
          <w:tcPr>
            <w:tcW w:w="1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79,724</w:t>
            </w:r>
          </w:p>
        </w:tc>
        <w:tc>
          <w:tcPr>
            <w:tcW w:w="12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88 %</w:t>
            </w:r>
          </w:p>
        </w:tc>
      </w:tr>
      <w:tr>
        <w:trPr>
          <w:trHeight w:val="160"/>
        </w:trPr>
        <w:tc>
          <w:tcPr>
            <w:tcW w:w="50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1"/>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107,726</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93,884</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104 %</w:t>
            </w:r>
          </w:p>
        </w:tc>
      </w:tr>
      <w:tr>
        <w:trPr>
          <w:trHeight w:val="180"/>
        </w:trPr>
        <w:tc>
          <w:tcPr>
            <w:tcW w:w="504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13,627</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12,441</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181"/>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28,960</w:t>
            </w:r>
          </w:p>
        </w:tc>
        <w:tc>
          <w:tcPr>
            <w:tcW w:w="1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25,069</w:t>
            </w:r>
          </w:p>
        </w:tc>
        <w:tc>
          <w:tcPr>
            <w:tcW w:w="12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r>
      <w:tr>
        <w:trPr>
          <w:trHeight w:val="17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150,313</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141 %</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131,394</w:t>
            </w:r>
          </w:p>
        </w:tc>
        <w:tc>
          <w:tcPr>
            <w:tcW w:w="1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146 %</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(59,609)</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(51,670)</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80"/>
        </w:trPr>
        <w:tc>
          <w:tcPr>
            <w:tcW w:w="5040" w:type="dxa"/>
            <w:vAlign w:val="bottom"/>
          </w:tcPr>
          <w:p>
            <w:pPr>
              <w:ind w:left="20"/>
              <w:spacing w:after="0"/>
              <w:rPr>
                <w:sz w:val="20"/>
                <w:szCs w:val="20"/>
                <w:color w:val="auto"/>
              </w:rPr>
            </w:pPr>
            <w:r>
              <w:rPr>
                <w:rFonts w:ascii="Arial" w:cs="Arial" w:eastAsia="Arial" w:hAnsi="Arial"/>
                <w:sz w:val="14"/>
                <w:szCs w:val="14"/>
                <w:color w:val="auto"/>
              </w:rPr>
              <w:t>Interest and other income (expense), net:</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504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(2,819)</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(5,365)</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0"/>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71"/>
        </w:trPr>
        <w:tc>
          <w:tcPr>
            <w:tcW w:w="5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(61,256)</w:t>
            </w:r>
          </w:p>
        </w:tc>
        <w:tc>
          <w:tcPr>
            <w:tcW w:w="120" w:type="dxa"/>
            <w:vAlign w:val="bottom"/>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(56,572)</w:t>
            </w:r>
          </w:p>
        </w:tc>
        <w:tc>
          <w:tcPr>
            <w:tcW w:w="12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We derive the majority of our revenue from sales to customers in the U.S. Revenue by geography is based on billing address of the customer. The table below summarizes our revenue by geography: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8"/>
          </w:tcPr>
          <w:p>
            <w:pPr>
              <w:jc w:val="right"/>
              <w:ind w:right="640"/>
              <w:spacing w:after="0"/>
              <w:rPr>
                <w:sz w:val="20"/>
                <w:szCs w:val="20"/>
                <w:color w:val="auto"/>
              </w:rPr>
            </w:pPr>
            <w:r>
              <w:rPr>
                <w:rFonts w:ascii="Arial" w:cs="Arial" w:eastAsia="Arial" w:hAnsi="Arial"/>
                <w:sz w:val="13"/>
                <w:szCs w:val="13"/>
                <w:b w:val="1"/>
                <w:bCs w:val="1"/>
                <w:color w:val="auto"/>
              </w:rPr>
              <w:t>Year ended December 31, 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Year ended December 31, 2021</w:t>
            </w: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Amount</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3"/>
          </w:tcPr>
          <w:p>
            <w:pPr>
              <w:jc w:val="center"/>
              <w:ind w:right="360"/>
              <w:spacing w:after="0"/>
              <w:rPr>
                <w:sz w:val="20"/>
                <w:szCs w:val="20"/>
                <w:color w:val="auto"/>
              </w:rPr>
            </w:pPr>
            <w:r>
              <w:rPr>
                <w:rFonts w:ascii="Arial" w:cs="Arial" w:eastAsia="Arial" w:hAnsi="Arial"/>
                <w:sz w:val="13"/>
                <w:szCs w:val="13"/>
                <w:b w:val="1"/>
                <w:bCs w:val="1"/>
                <w:color w:val="auto"/>
                <w:w w:val="89"/>
              </w:rPr>
              <w:t>Amount</w:t>
            </w:r>
          </w:p>
        </w:tc>
        <w:tc>
          <w:tcPr>
            <w:tcW w:w="12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8"/>
          </w:tcPr>
          <w:p>
            <w:pPr>
              <w:ind w:left="180"/>
              <w:spacing w:after="0"/>
              <w:rPr>
                <w:sz w:val="20"/>
                <w:szCs w:val="20"/>
                <w:color w:val="auto"/>
              </w:rPr>
            </w:pPr>
            <w:r>
              <w:rPr>
                <w:rFonts w:ascii="Arial" w:cs="Arial" w:eastAsia="Arial" w:hAnsi="Arial"/>
                <w:sz w:val="13"/>
                <w:szCs w:val="13"/>
                <w:b w:val="1"/>
                <w:bCs w:val="1"/>
                <w:color w:val="auto"/>
              </w:rPr>
              <w:t>(in thousands except for percentages)</w:t>
            </w: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0" w:type="dxa"/>
            <w:vAlign w:val="bottom"/>
            <w:tcBorders>
              <w:right w:val="single" w:sz="8" w:color="CCEEFF"/>
            </w:tcBorders>
          </w:tcPr>
          <w:p>
            <w:pPr>
              <w:spacing w:after="0"/>
              <w:rPr>
                <w:sz w:val="15"/>
                <w:szCs w:val="15"/>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6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98,751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82,739</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International</w:t>
            </w: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7,658</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7,413</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71"/>
        </w:trPr>
        <w:tc>
          <w:tcPr>
            <w:tcW w:w="420" w:type="dxa"/>
            <w:vAlign w:val="bottom"/>
            <w:tcBorders>
              <w:right w:val="single" w:sz="8" w:color="CCEEFF"/>
            </w:tcBorders>
          </w:tcPr>
          <w:p>
            <w:pPr>
              <w:spacing w:after="0"/>
              <w:rPr>
                <w:sz w:val="14"/>
                <w:szCs w:val="14"/>
                <w:color w:val="auto"/>
              </w:rPr>
            </w:pPr>
          </w:p>
        </w:tc>
        <w:tc>
          <w:tcPr>
            <w:tcW w:w="49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106,409</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90,152</w:t>
            </w: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4"/>
                <w:szCs w:val="14"/>
                <w:color w:val="auto"/>
                <w:w w:val="90"/>
              </w:rPr>
              <w:t>100 %</w:t>
            </w:r>
          </w:p>
        </w:tc>
        <w:tc>
          <w:tcPr>
            <w:tcW w:w="0" w:type="dxa"/>
            <w:vAlign w:val="bottom"/>
          </w:tcPr>
          <w:p>
            <w:pPr>
              <w:spacing w:after="0"/>
              <w:rPr>
                <w:sz w:val="1"/>
                <w:szCs w:val="1"/>
                <w:color w:val="auto"/>
              </w:rPr>
            </w:pPr>
          </w:p>
        </w:tc>
      </w:tr>
      <w:tr>
        <w:trPr>
          <w:trHeight w:val="20"/>
        </w:trPr>
        <w:tc>
          <w:tcPr>
            <w:tcW w:w="420" w:type="dxa"/>
            <w:vAlign w:val="bottom"/>
            <w:tcBorders>
              <w:right w:val="single" w:sz="8" w:color="CCEEFF"/>
            </w:tcBorders>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Comparison of the years ended December 31, 2022 and 2021</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3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360" w:type="dxa"/>
            <w:vAlign w:val="bottom"/>
            <w:gridSpan w:val="2"/>
          </w:tcPr>
          <w:p>
            <w:pPr>
              <w:ind w:left="360"/>
              <w:spacing w:after="0"/>
              <w:rPr>
                <w:sz w:val="20"/>
                <w:szCs w:val="20"/>
                <w:color w:val="auto"/>
              </w:rPr>
            </w:pPr>
            <w:r>
              <w:rPr>
                <w:rFonts w:ascii="Arial" w:cs="Arial" w:eastAsia="Arial" w:hAnsi="Arial"/>
                <w:sz w:val="14"/>
                <w:szCs w:val="14"/>
                <w:b w:val="1"/>
                <w:bCs w:val="1"/>
                <w:i w:val="1"/>
                <w:iCs w:val="1"/>
                <w:color w:val="auto"/>
              </w:rPr>
              <w:t>Revenue, Cost of Goods Sold, Gross Profit, and Gross Margin</w:t>
            </w: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0" w:type="dxa"/>
            <w:vAlign w:val="bottom"/>
            <w:gridSpan w:val="8"/>
          </w:tcPr>
          <w:p>
            <w:pPr>
              <w:ind w:left="400"/>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8"/>
              </w:rPr>
              <w:t>$ Change</w:t>
            </w:r>
          </w:p>
        </w:tc>
        <w:tc>
          <w:tcPr>
            <w:tcW w:w="1340" w:type="dxa"/>
            <w:vAlign w:val="bottom"/>
            <w:gridSpan w:val="2"/>
          </w:tcPr>
          <w:p>
            <w:pPr>
              <w:ind w:left="32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8"/>
          </w:tcPr>
          <w:p>
            <w:pPr>
              <w:ind w:left="120"/>
              <w:spacing w:after="0"/>
              <w:rPr>
                <w:sz w:val="20"/>
                <w:szCs w:val="20"/>
                <w:color w:val="auto"/>
              </w:rPr>
            </w:pPr>
            <w:r>
              <w:rPr>
                <w:rFonts w:ascii="Arial" w:cs="Arial" w:eastAsia="Arial" w:hAnsi="Arial"/>
                <w:sz w:val="13"/>
                <w:szCs w:val="13"/>
                <w:b w:val="1"/>
                <w:bCs w:val="1"/>
                <w:color w:val="auto"/>
              </w:rPr>
              <w:t>(in thousands except for percentages)</w:t>
            </w:r>
          </w:p>
        </w:tc>
        <w:tc>
          <w:tcPr>
            <w:tcW w:w="12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106,409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90,152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16,257</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ind w:left="960"/>
              <w:spacing w:after="0"/>
              <w:rPr>
                <w:sz w:val="20"/>
                <w:szCs w:val="20"/>
                <w:color w:val="auto"/>
              </w:rPr>
            </w:pPr>
            <w:r>
              <w:rPr>
                <w:rFonts w:ascii="Arial" w:cs="Arial" w:eastAsia="Arial" w:hAnsi="Arial"/>
                <w:sz w:val="14"/>
                <w:szCs w:val="14"/>
                <w:color w:val="auto"/>
                <w:w w:val="93"/>
              </w:rPr>
              <w:t>18 %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Cost of goods sold</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15,705</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10,428</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ind w:left="960"/>
              <w:spacing w:after="0"/>
              <w:rPr>
                <w:sz w:val="20"/>
                <w:szCs w:val="20"/>
                <w:color w:val="auto"/>
              </w:rPr>
            </w:pPr>
            <w:r>
              <w:rPr>
                <w:rFonts w:ascii="Arial" w:cs="Arial" w:eastAsia="Arial" w:hAnsi="Arial"/>
                <w:sz w:val="14"/>
                <w:szCs w:val="14"/>
                <w:color w:val="auto"/>
                <w:w w:val="93"/>
              </w:rPr>
              <w:t>51 %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6"/>
                <w:szCs w:val="16"/>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profit</w:t>
            </w:r>
          </w:p>
        </w:tc>
        <w:tc>
          <w:tcPr>
            <w:tcW w:w="260" w:type="dxa"/>
            <w:vAlign w:val="bottom"/>
            <w:tcBorders>
              <w:bottom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90,704</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79,724</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10,980</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4"/>
                <w:szCs w:val="14"/>
                <w:color w:val="auto"/>
                <w:w w:val="93"/>
              </w:rPr>
              <w:t>14 %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Gross margin</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4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85 %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88 %</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right="20" w:firstLine="350"/>
        <w:spacing w:after="0" w:line="313"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The increase in revenue for the year ended December 31, 2022 compared to the year ended December 31, 2021 comprised a $16.0 million increase in our U.S. revenue and an increase</w:t>
      </w:r>
      <w:r>
        <w:rPr>
          <w:rFonts w:ascii="Arial" w:cs="Arial" w:eastAsia="Arial" w:hAnsi="Arial"/>
          <w:sz w:val="12"/>
          <w:szCs w:val="12"/>
          <w:i w:val="1"/>
          <w:iCs w:val="1"/>
          <w:color w:val="auto"/>
        </w:rPr>
        <w:t xml:space="preserve"> </w:t>
      </w:r>
      <w:r>
        <w:rPr>
          <w:rFonts w:ascii="Arial" w:cs="Arial" w:eastAsia="Arial" w:hAnsi="Arial"/>
          <w:sz w:val="12"/>
          <w:szCs w:val="12"/>
          <w:color w:val="auto"/>
        </w:rPr>
        <w:t>of $0.2 million in our international revenue. The increase in revenue is due to the increase in domestic and international case volumes, driven by a seasoned and expanding sales force and growing base of active surgeons. This increase was partially offset by lower average selling prices, challenges in certain international markets and impact of foreign exchange on our international revenue.</w:t>
      </w:r>
    </w:p>
    <w:p>
      <w:pPr>
        <w:spacing w:after="0" w:line="11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66" w:name="page67"/>
    <w:bookmarkEnd w:id="66"/>
    <w:p>
      <w:pPr>
        <w:ind w:right="60" w:firstLine="350"/>
        <w:spacing w:after="0" w:line="246" w:lineRule="auto"/>
        <w:rPr>
          <w:sz w:val="20"/>
          <w:szCs w:val="20"/>
          <w:color w:val="auto"/>
        </w:rPr>
      </w:pPr>
      <w:r>
        <w:rPr>
          <w:rFonts w:ascii="Arial" w:cs="Arial" w:eastAsia="Arial" w:hAnsi="Arial"/>
          <w:sz w:val="14"/>
          <w:szCs w:val="14"/>
          <w:i w:val="1"/>
          <w:iCs w:val="1"/>
          <w:color w:val="auto"/>
        </w:rPr>
        <w:t xml:space="preserve">Gross Profit and Gross Margin. </w:t>
      </w:r>
      <w:r>
        <w:rPr>
          <w:rFonts w:ascii="Arial" w:cs="Arial" w:eastAsia="Arial" w:hAnsi="Arial"/>
          <w:sz w:val="14"/>
          <w:szCs w:val="14"/>
          <w:color w:val="auto"/>
        </w:rPr>
        <w:t>Gross profit increased $11.0 million for the year ended December 31, 2022 compared to the year ended December 31, 2021 driven by higher revenue. Gross</w:t>
      </w:r>
      <w:r>
        <w:rPr>
          <w:rFonts w:ascii="Arial" w:cs="Arial" w:eastAsia="Arial" w:hAnsi="Arial"/>
          <w:sz w:val="14"/>
          <w:szCs w:val="14"/>
          <w:i w:val="1"/>
          <w:iCs w:val="1"/>
          <w:color w:val="auto"/>
        </w:rPr>
        <w:t xml:space="preserve"> </w:t>
      </w:r>
      <w:r>
        <w:rPr>
          <w:rFonts w:ascii="Arial" w:cs="Arial" w:eastAsia="Arial" w:hAnsi="Arial"/>
          <w:sz w:val="14"/>
          <w:szCs w:val="14"/>
          <w:color w:val="auto"/>
        </w:rPr>
        <w:t>margin was 85% for the year ended December 31, 2022 compared to 88% in the prior year. Gross margin decreased due to lower average selling prices driven by procedure and product mix, as well as type of medical facilities where the procedures were performed. Gross margin also included the impact of higher costs of newly launched implants and the increase in cost to support the growth of the business, including increase in depreciation from instrument trays for newly launched products.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Operating Expenses</w:t>
      </w:r>
      <w:r>
        <w:rPr>
          <w:rFonts w:ascii="Arial" w:cs="Arial" w:eastAsia="Arial" w:hAnsi="Arial"/>
          <w:sz w:val="14"/>
          <w:szCs w:val="14"/>
          <w:color w:val="auto"/>
        </w:rPr>
        <w:t>:</w:t>
      </w:r>
    </w:p>
    <w:p>
      <w:pPr>
        <w:spacing w:after="0" w:line="125" w:lineRule="exact"/>
        <w:rPr>
          <w:sz w:val="20"/>
          <w:szCs w:val="20"/>
          <w:color w:val="auto"/>
        </w:rPr>
      </w:pPr>
    </w:p>
    <w:tbl>
      <w:tblPr>
        <w:tblLayout w:type="fixed"/>
        <w:tblInd w:w="420" w:type="dxa"/>
        <w:tblCellMar>
          <w:top w:w="0" w:type="dxa"/>
          <w:left w:w="0" w:type="dxa"/>
          <w:bottom w:w="0" w:type="dxa"/>
          <w:right w:w="0" w:type="dxa"/>
        </w:tblCellMar>
      </w:tblPr>
      <w:tr>
        <w:trPr>
          <w:trHeight w:val="165"/>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28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3"/>
        </w:trPr>
        <w:tc>
          <w:tcPr>
            <w:tcW w:w="51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 Change</w:t>
            </w:r>
          </w:p>
        </w:tc>
        <w:tc>
          <w:tcPr>
            <w:tcW w:w="146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 Change</w:t>
            </w:r>
          </w:p>
        </w:tc>
      </w:tr>
      <w:tr>
        <w:trPr>
          <w:trHeight w:val="160"/>
        </w:trPr>
        <w:tc>
          <w:tcPr>
            <w:tcW w:w="5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gridSpan w:val="4"/>
          </w:tcPr>
          <w:p>
            <w:pPr>
              <w:jc w:val="right"/>
              <w:ind w:right="131"/>
              <w:spacing w:after="0"/>
              <w:rPr>
                <w:sz w:val="20"/>
                <w:szCs w:val="20"/>
                <w:color w:val="auto"/>
              </w:rPr>
            </w:pPr>
            <w:r>
              <w:rPr>
                <w:rFonts w:ascii="Arial" w:cs="Arial" w:eastAsia="Arial" w:hAnsi="Arial"/>
                <w:sz w:val="13"/>
                <w:szCs w:val="13"/>
                <w:b w:val="1"/>
                <w:bCs w:val="1"/>
                <w:color w:val="auto"/>
                <w:w w:val="90"/>
              </w:rPr>
              <w:t>(in thousands, except for percentages)</w:t>
            </w:r>
          </w:p>
        </w:tc>
        <w:tc>
          <w:tcPr>
            <w:tcW w:w="1460" w:type="dxa"/>
            <w:vAlign w:val="bottom"/>
          </w:tcPr>
          <w:p>
            <w:pPr>
              <w:spacing w:after="0"/>
              <w:rPr>
                <w:sz w:val="13"/>
                <w:szCs w:val="13"/>
                <w:color w:val="auto"/>
              </w:rPr>
            </w:pPr>
          </w:p>
        </w:tc>
      </w:tr>
      <w:tr>
        <w:trPr>
          <w:trHeight w:val="183"/>
        </w:trPr>
        <w:tc>
          <w:tcPr>
            <w:tcW w:w="5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107,726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13,842</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80"/>
        </w:trPr>
        <w:tc>
          <w:tcPr>
            <w:tcW w:w="5100" w:type="dxa"/>
            <w:vAlign w:val="bottom"/>
          </w:tcPr>
          <w:p>
            <w:pPr>
              <w:ind w:left="16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1,186</w:t>
            </w:r>
          </w:p>
        </w:tc>
        <w:tc>
          <w:tcPr>
            <w:tcW w:w="146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181"/>
        </w:trPr>
        <w:tc>
          <w:tcPr>
            <w:tcW w:w="51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25,069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71"/>
        </w:trPr>
        <w:tc>
          <w:tcPr>
            <w:tcW w:w="5100" w:type="dxa"/>
            <w:vAlign w:val="bottom"/>
          </w:tcPr>
          <w:p>
            <w:pPr>
              <w:ind w:left="16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150,313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131,394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18,919</w:t>
            </w:r>
          </w:p>
        </w:tc>
        <w:tc>
          <w:tcPr>
            <w:tcW w:w="146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i w:val="1"/>
          <w:iCs w:val="1"/>
          <w:color w:val="auto"/>
        </w:rPr>
        <w:t xml:space="preserve">Sales and Marketing Expenses. </w:t>
      </w:r>
      <w:r>
        <w:rPr>
          <w:rFonts w:ascii="Arial" w:cs="Arial" w:eastAsia="Arial" w:hAnsi="Arial"/>
          <w:sz w:val="14"/>
          <w:szCs w:val="14"/>
          <w:color w:val="auto"/>
        </w:rPr>
        <w:t>The increase in sales and marketing expenses for the year ended December 31, 2022 as compared to the year ended December 31, 2021 was due to increases in</w:t>
      </w:r>
      <w:r>
        <w:rPr>
          <w:rFonts w:ascii="Arial" w:cs="Arial" w:eastAsia="Arial" w:hAnsi="Arial"/>
          <w:sz w:val="14"/>
          <w:szCs w:val="14"/>
          <w:i w:val="1"/>
          <w:iCs w:val="1"/>
          <w:color w:val="auto"/>
        </w:rPr>
        <w:t xml:space="preserve"> </w:t>
      </w:r>
      <w:r>
        <w:rPr>
          <w:rFonts w:ascii="Arial" w:cs="Arial" w:eastAsia="Arial" w:hAnsi="Arial"/>
          <w:sz w:val="14"/>
          <w:szCs w:val="14"/>
          <w:color w:val="auto"/>
        </w:rPr>
        <w:t>employee related costs, commissions and stock-based compensation of $11.0 million driven by increased headcount and higher revenues, and increased travel, marketing and other related costs resulting in an increase of $3.1 million, partially offset by lower consulting fees of $0.3 million associated with more targeted surgeon programs.</w:t>
      </w:r>
    </w:p>
    <w:p>
      <w:pPr>
        <w:spacing w:after="0" w:line="142"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i w:val="1"/>
          <w:iCs w:val="1"/>
          <w:color w:val="auto"/>
        </w:rPr>
        <w:t xml:space="preserve">Research and Development Expenses. </w:t>
      </w:r>
      <w:r>
        <w:rPr>
          <w:rFonts w:ascii="Arial" w:cs="Arial" w:eastAsia="Arial" w:hAnsi="Arial"/>
          <w:sz w:val="14"/>
          <w:szCs w:val="14"/>
          <w:color w:val="auto"/>
        </w:rPr>
        <w:t>The increase in research and development expenses for the year ended December 31, 2022 as compared to the year ended December 31, 2021 was due to</w:t>
      </w:r>
      <w:r>
        <w:rPr>
          <w:rFonts w:ascii="Arial" w:cs="Arial" w:eastAsia="Arial" w:hAnsi="Arial"/>
          <w:sz w:val="14"/>
          <w:szCs w:val="14"/>
          <w:i w:val="1"/>
          <w:iCs w:val="1"/>
          <w:color w:val="auto"/>
        </w:rPr>
        <w:t xml:space="preserve"> </w:t>
      </w:r>
      <w:r>
        <w:rPr>
          <w:rFonts w:ascii="Arial" w:cs="Arial" w:eastAsia="Arial" w:hAnsi="Arial"/>
          <w:sz w:val="14"/>
          <w:szCs w:val="14"/>
          <w:color w:val="auto"/>
        </w:rPr>
        <w:t>an increase of $1.5 million in employee related costs and stock-based compensation driven by increased headcount, partially offset by a decrease of $0.3 million in consulting and research and development activities related to the timing of new product development.</w:t>
      </w:r>
    </w:p>
    <w:p>
      <w:pPr>
        <w:spacing w:after="0" w:line="142" w:lineRule="exact"/>
        <w:rPr>
          <w:sz w:val="20"/>
          <w:szCs w:val="20"/>
          <w:color w:val="auto"/>
        </w:rPr>
      </w:pPr>
    </w:p>
    <w:p>
      <w:pPr>
        <w:jc w:val="both"/>
        <w:ind w:firstLine="350"/>
        <w:spacing w:after="0" w:line="297" w:lineRule="auto"/>
        <w:rPr>
          <w:sz w:val="20"/>
          <w:szCs w:val="20"/>
          <w:color w:val="auto"/>
        </w:rPr>
      </w:pPr>
      <w:r>
        <w:rPr>
          <w:rFonts w:ascii="Arial" w:cs="Arial" w:eastAsia="Arial" w:hAnsi="Arial"/>
          <w:sz w:val="13"/>
          <w:szCs w:val="13"/>
          <w:i w:val="1"/>
          <w:iCs w:val="1"/>
          <w:color w:val="auto"/>
        </w:rPr>
        <w:t>General and Administrative Expenses</w:t>
      </w:r>
      <w:r>
        <w:rPr>
          <w:rFonts w:ascii="Arial" w:cs="Arial" w:eastAsia="Arial" w:hAnsi="Arial"/>
          <w:sz w:val="13"/>
          <w:szCs w:val="13"/>
          <w:color w:val="auto"/>
        </w:rPr>
        <w:t>. The increase in general and administrative expenses for the year ended December 31, 2022 as compared to the year ended December 31, 2021 was due to</w:t>
      </w:r>
      <w:r>
        <w:rPr>
          <w:rFonts w:ascii="Arial" w:cs="Arial" w:eastAsia="Arial" w:hAnsi="Arial"/>
          <w:sz w:val="13"/>
          <w:szCs w:val="13"/>
          <w:i w:val="1"/>
          <w:iCs w:val="1"/>
          <w:color w:val="auto"/>
        </w:rPr>
        <w:t xml:space="preserve"> </w:t>
      </w:r>
      <w:r>
        <w:rPr>
          <w:rFonts w:ascii="Arial" w:cs="Arial" w:eastAsia="Arial" w:hAnsi="Arial"/>
          <w:sz w:val="13"/>
          <w:szCs w:val="13"/>
          <w:color w:val="auto"/>
        </w:rPr>
        <w:t>an increase of $3.8 million in employee related costs and stock-based compensation driven by increased headcount, an increase of $0.3 million in consulting primarily associated with Sarbanes-Oxley compliance requirements, and an increase of $0.2 million for the allowance for credit losses, partially offset by a decrease of $0.4 million in insurance costs.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Interest and Other Income (Expense), Net</w:t>
      </w:r>
      <w:r>
        <w:rPr>
          <w:rFonts w:ascii="Arial" w:cs="Arial" w:eastAsia="Arial" w:hAnsi="Arial"/>
          <w:sz w:val="14"/>
          <w:szCs w:val="14"/>
          <w:color w:val="auto"/>
        </w:rPr>
        <w:t>:</w:t>
      </w:r>
    </w:p>
    <w:p>
      <w:pPr>
        <w:spacing w:after="0" w:line="136" w:lineRule="exact"/>
        <w:rPr>
          <w:sz w:val="20"/>
          <w:szCs w:val="20"/>
          <w:color w:val="auto"/>
        </w:rPr>
      </w:pPr>
    </w:p>
    <w:tbl>
      <w:tblPr>
        <w:tblLayout w:type="fixed"/>
        <w:tblInd w:w="420" w:type="dxa"/>
        <w:tblCellMar>
          <w:top w:w="0" w:type="dxa"/>
          <w:left w:w="0" w:type="dxa"/>
          <w:bottom w:w="0" w:type="dxa"/>
          <w:right w:w="0" w:type="dxa"/>
        </w:tblCellMar>
      </w:tblPr>
      <w:tr>
        <w:trPr>
          <w:trHeight w:val="168"/>
        </w:trPr>
        <w:tc>
          <w:tcPr>
            <w:tcW w:w="5100" w:type="dxa"/>
            <w:vAlign w:val="bottom"/>
          </w:tcPr>
          <w:p>
            <w:pPr>
              <w:spacing w:after="0"/>
              <w:rPr>
                <w:sz w:val="14"/>
                <w:szCs w:val="14"/>
                <w:color w:val="auto"/>
              </w:rPr>
            </w:pPr>
          </w:p>
        </w:tc>
        <w:tc>
          <w:tcPr>
            <w:tcW w:w="2660" w:type="dxa"/>
            <w:vAlign w:val="bottom"/>
            <w:gridSpan w:val="6"/>
          </w:tcPr>
          <w:p>
            <w:pPr>
              <w:ind w:left="56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2"/>
        </w:trPr>
        <w:tc>
          <w:tcPr>
            <w:tcW w:w="5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 Change</w:t>
            </w:r>
          </w:p>
        </w:tc>
        <w:tc>
          <w:tcPr>
            <w:tcW w:w="146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 Change</w:t>
            </w:r>
          </w:p>
        </w:tc>
      </w:tr>
      <w:tr>
        <w:trPr>
          <w:trHeight w:val="160"/>
        </w:trPr>
        <w:tc>
          <w:tcPr>
            <w:tcW w:w="5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gridSpan w:val="4"/>
          </w:tcPr>
          <w:p>
            <w:pPr>
              <w:jc w:val="right"/>
              <w:ind w:right="131"/>
              <w:spacing w:after="0"/>
              <w:rPr>
                <w:sz w:val="20"/>
                <w:szCs w:val="20"/>
                <w:color w:val="auto"/>
              </w:rPr>
            </w:pPr>
            <w:r>
              <w:rPr>
                <w:rFonts w:ascii="Arial" w:cs="Arial" w:eastAsia="Arial" w:hAnsi="Arial"/>
                <w:sz w:val="13"/>
                <w:szCs w:val="13"/>
                <w:b w:val="1"/>
                <w:bCs w:val="1"/>
                <w:color w:val="auto"/>
                <w:w w:val="90"/>
              </w:rPr>
              <w:t>(in thousands, except for percentages)</w:t>
            </w:r>
          </w:p>
        </w:tc>
        <w:tc>
          <w:tcPr>
            <w:tcW w:w="1460" w:type="dxa"/>
            <w:vAlign w:val="bottom"/>
          </w:tcPr>
          <w:p>
            <w:pPr>
              <w:spacing w:after="0"/>
              <w:rPr>
                <w:sz w:val="13"/>
                <w:szCs w:val="13"/>
                <w:color w:val="auto"/>
              </w:rPr>
            </w:pPr>
          </w:p>
        </w:tc>
      </w:tr>
      <w:tr>
        <w:trPr>
          <w:trHeight w:val="183"/>
        </w:trPr>
        <w:tc>
          <w:tcPr>
            <w:tcW w:w="5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601 %</w:t>
            </w:r>
          </w:p>
        </w:tc>
      </w:tr>
      <w:tr>
        <w:trPr>
          <w:trHeight w:val="180"/>
        </w:trPr>
        <w:tc>
          <w:tcPr>
            <w:tcW w:w="51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(2,819)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2,546</w:t>
            </w:r>
          </w:p>
        </w:tc>
        <w:tc>
          <w:tcPr>
            <w:tcW w:w="1460" w:type="dxa"/>
            <w:vAlign w:val="bottom"/>
          </w:tcPr>
          <w:p>
            <w:pPr>
              <w:jc w:val="right"/>
              <w:spacing w:after="0"/>
              <w:rPr>
                <w:sz w:val="20"/>
                <w:szCs w:val="20"/>
                <w:color w:val="auto"/>
              </w:rPr>
            </w:pPr>
            <w:r>
              <w:rPr>
                <w:rFonts w:ascii="Arial" w:cs="Arial" w:eastAsia="Arial" w:hAnsi="Arial"/>
                <w:sz w:val="14"/>
                <w:szCs w:val="14"/>
                <w:color w:val="auto"/>
              </w:rPr>
              <w:t>47 %</w:t>
            </w:r>
          </w:p>
        </w:tc>
      </w:tr>
      <w:tr>
        <w:trPr>
          <w:trHeight w:val="181"/>
        </w:trPr>
        <w:tc>
          <w:tcPr>
            <w:tcW w:w="5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7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71"/>
        </w:trPr>
        <w:tc>
          <w:tcPr>
            <w:tcW w:w="5100" w:type="dxa"/>
            <w:vAlign w:val="bottom"/>
          </w:tcPr>
          <w:p>
            <w:pPr>
              <w:ind w:left="40"/>
              <w:spacing w:after="0"/>
              <w:rPr>
                <w:sz w:val="20"/>
                <w:szCs w:val="20"/>
                <w:color w:val="auto"/>
              </w:rPr>
            </w:pPr>
            <w:r>
              <w:rPr>
                <w:rFonts w:ascii="Arial" w:cs="Arial" w:eastAsia="Arial" w:hAnsi="Arial"/>
                <w:sz w:val="14"/>
                <w:szCs w:val="14"/>
                <w:color w:val="auto"/>
              </w:rPr>
              <w:t>Total interest and other income (expense), net</w:t>
            </w:r>
          </w:p>
        </w:tc>
        <w:tc>
          <w:tcPr>
            <w:tcW w:w="7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(1,647)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3,255</w:t>
            </w:r>
          </w:p>
        </w:tc>
        <w:tc>
          <w:tcPr>
            <w:tcW w:w="1460" w:type="dxa"/>
            <w:vAlign w:val="bottom"/>
          </w:tcPr>
          <w:p>
            <w:pPr>
              <w:jc w:val="right"/>
              <w:spacing w:after="0"/>
              <w:rPr>
                <w:sz w:val="20"/>
                <w:szCs w:val="20"/>
                <w:color w:val="auto"/>
              </w:rPr>
            </w:pPr>
            <w:r>
              <w:rPr>
                <w:rFonts w:ascii="Arial" w:cs="Arial" w:eastAsia="Arial" w:hAnsi="Arial"/>
                <w:sz w:val="14"/>
                <w:szCs w:val="14"/>
                <w:color w:val="auto"/>
              </w:rPr>
              <w:t>66 %</w:t>
            </w:r>
          </w:p>
        </w:tc>
      </w:tr>
      <w:tr>
        <w:trPr>
          <w:trHeight w:val="20"/>
        </w:trPr>
        <w:tc>
          <w:tcPr>
            <w:tcW w:w="5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i w:val="1"/>
          <w:iCs w:val="1"/>
          <w:color w:val="auto"/>
        </w:rPr>
        <w:t xml:space="preserve">Interest Income. </w:t>
      </w:r>
      <w:r>
        <w:rPr>
          <w:rFonts w:ascii="Arial" w:cs="Arial" w:eastAsia="Arial" w:hAnsi="Arial"/>
          <w:sz w:val="14"/>
          <w:szCs w:val="14"/>
          <w:color w:val="auto"/>
        </w:rPr>
        <w:t>The increase in interest income for the year ended December 31, 2022 as compared to the year ended December 31, 2021 was mainly due to higher interest earned on our</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investments in marketable securities, primarily as a result of higher interest rates.</w:t>
      </w:r>
    </w:p>
    <w:p>
      <w:pPr>
        <w:spacing w:after="0" w:line="132"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i w:val="1"/>
          <w:iCs w:val="1"/>
          <w:color w:val="auto"/>
        </w:rPr>
        <w:t>Interest Expense</w:t>
      </w:r>
      <w:r>
        <w:rPr>
          <w:rFonts w:ascii="Arial" w:cs="Arial" w:eastAsia="Arial" w:hAnsi="Arial"/>
          <w:sz w:val="14"/>
          <w:szCs w:val="14"/>
          <w:color w:val="auto"/>
        </w:rPr>
        <w:t>. The decrease in interest expense for the year ended December 31, 2022 as compared to the year ended December 31, 2021 was primarily due to $0.7 million of lower interest</w:t>
      </w:r>
      <w:r>
        <w:rPr>
          <w:rFonts w:ascii="Arial" w:cs="Arial" w:eastAsia="Arial" w:hAnsi="Arial"/>
          <w:sz w:val="14"/>
          <w:szCs w:val="14"/>
          <w:i w:val="1"/>
          <w:iCs w:val="1"/>
          <w:color w:val="auto"/>
        </w:rPr>
        <w:t xml:space="preserve"> </w:t>
      </w:r>
      <w:r>
        <w:rPr>
          <w:rFonts w:ascii="Arial" w:cs="Arial" w:eastAsia="Arial" w:hAnsi="Arial"/>
          <w:sz w:val="14"/>
          <w:szCs w:val="14"/>
          <w:color w:val="auto"/>
        </w:rPr>
        <w:t>associated with the SVB Term Loan in 2022 compared to the SVB Term Loan and Solar Term Loan in 2021, offset in part by the loss on extinguishment of the Solar Term Loan of $1.8 million in 2021.</w:t>
      </w:r>
    </w:p>
    <w:p>
      <w:pPr>
        <w:spacing w:after="0" w:line="142"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i w:val="1"/>
          <w:iCs w:val="1"/>
          <w:color w:val="auto"/>
        </w:rPr>
        <w:t xml:space="preserve">Other Income (Expense), Net. </w:t>
      </w:r>
      <w:r>
        <w:rPr>
          <w:rFonts w:ascii="Arial" w:cs="Arial" w:eastAsia="Arial" w:hAnsi="Arial"/>
          <w:sz w:val="14"/>
          <w:szCs w:val="14"/>
          <w:color w:val="auto"/>
        </w:rPr>
        <w:t>Other income (expense), net changed from income to expense for the year ended December 31, 2022 as compared to the year ended December 31, 2021 due to</w:t>
      </w:r>
      <w:r>
        <w:rPr>
          <w:rFonts w:ascii="Arial" w:cs="Arial" w:eastAsia="Arial" w:hAnsi="Arial"/>
          <w:sz w:val="14"/>
          <w:szCs w:val="14"/>
          <w:i w:val="1"/>
          <w:iCs w:val="1"/>
          <w:color w:val="auto"/>
        </w:rPr>
        <w:t xml:space="preserve"> </w:t>
      </w:r>
      <w:r>
        <w:rPr>
          <w:rFonts w:ascii="Arial" w:cs="Arial" w:eastAsia="Arial" w:hAnsi="Arial"/>
          <w:sz w:val="14"/>
          <w:szCs w:val="14"/>
          <w:color w:val="auto"/>
        </w:rPr>
        <w:t>foreign currency fluctuations.</w:t>
      </w:r>
    </w:p>
    <w:p>
      <w:pPr>
        <w:spacing w:after="0" w:line="14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 of December 31, 2022, we had cash and marketable securities of $97.3 million compared to $147.0 million as of December 31, 2021. We have financed our operations primarily through our public offerings and debt financing arrangements. As of December 31, 2022 and 2021 we had $35.2 million and $35.0 million outstanding debt, respectively.</w:t>
      </w:r>
    </w:p>
    <w:p>
      <w:pPr>
        <w:spacing w:after="0" w:line="13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 of December 31, 2022, we had an accumulated deficit of $357.1 million. During the years ended December 31, 2022 and 2021, we incurred a net loss of $61.3 million and $56.6 million, respectively, and expect to incur additional losses in the future. We have not achieved positive cash flow from operations to date.</w:t>
      </w:r>
    </w:p>
    <w:p>
      <w:pPr>
        <w:spacing w:after="0" w:line="132" w:lineRule="exact"/>
        <w:rPr>
          <w:sz w:val="20"/>
          <w:szCs w:val="20"/>
          <w:color w:val="auto"/>
        </w:rPr>
      </w:pPr>
    </w:p>
    <w:p>
      <w:pPr>
        <w:jc w:val="both"/>
        <w:ind w:firstLine="350"/>
        <w:spacing w:after="0" w:line="257" w:lineRule="auto"/>
        <w:rPr>
          <w:sz w:val="20"/>
          <w:szCs w:val="20"/>
          <w:color w:val="auto"/>
        </w:rPr>
      </w:pPr>
      <w:r>
        <w:rPr>
          <w:rFonts w:ascii="Arial" w:cs="Arial" w:eastAsia="Arial" w:hAnsi="Arial"/>
          <w:sz w:val="14"/>
          <w:szCs w:val="14"/>
          <w:color w:val="auto"/>
        </w:rPr>
        <w:t>Based upon our current operating plan, we believe that our existing cash and marketable securities will enable us to fund our operating expenses and capital expenditure requirements over the next 12 months and beyond. However, the impact of future pandemics or economic downturn, and our responses thereto (including such actions we have taken or may take in the future as disclosed elsewhere in this Report) pose risks and uncertainties in our future available capital resources. Further, we may face challenges and uncertainties and, as a result, may need to raise additional capital as our available capital resources may be consumed more rapidly than currently expected due to, but not limited to, the following as a result of the COVID-19 pandemic or otherwise: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Term Loan</w:t>
      </w:r>
    </w:p>
    <w:p>
      <w:pPr>
        <w:spacing w:after="0" w:line="179"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On May 29, 2020, we entered into a term loan with Solar Capital Partners (“Solar”). Pursuant to the Loan and Security Agreement, Solar provided an aggregate principal amount of $40.0 million term loan (the “Solar Term Loan”). We paid in full and terminated the Solar Term Loan in August 2021.</w:t>
      </w:r>
    </w:p>
    <w:p>
      <w:pPr>
        <w:spacing w:after="0" w:line="132" w:lineRule="exact"/>
        <w:rPr>
          <w:sz w:val="20"/>
          <w:szCs w:val="20"/>
          <w:color w:val="auto"/>
        </w:rPr>
      </w:pPr>
    </w:p>
    <w:p>
      <w:pPr>
        <w:jc w:val="both"/>
        <w:ind w:firstLine="350"/>
        <w:spacing w:after="0" w:line="257" w:lineRule="auto"/>
        <w:rPr>
          <w:sz w:val="20"/>
          <w:szCs w:val="20"/>
          <w:color w:val="auto"/>
        </w:rPr>
      </w:pPr>
      <w:r>
        <w:rPr>
          <w:rFonts w:ascii="Arial" w:cs="Arial" w:eastAsia="Arial" w:hAnsi="Arial"/>
          <w:sz w:val="14"/>
          <w:szCs w:val="14"/>
          <w:color w:val="auto"/>
        </w:rPr>
        <w:t>The outstanding debt as of December 31, 2022 is related to a term loan entered into by us with Silicon Valley Bank (“SVB”). Pursuant to the Loan and Security Agreement (“Loan Agreement”) dated August 12, 2021 (the “Effective Date”), SVB provided an aggregate principal amount of $35.0 million to us (the “SVB Term Loan”). We used the proceeds of the SVB Term Loan to repay in full and terminate the Solar Term Loan, which was accounted for as debt extinguishment in accordance with the accounting standards. We recognized the unamortized debt issuance costs and unaccreted value of final fee of $1.3 million and the prepayment penalty and lender fees of $0.5 million related to Solar Term Loan as a loss on debt extinguishment. The costs and fees are reflected as interest expense in the consolidated statement of operations for the year ended December 31, 2021. The total debt issuance costs of $0.1 million associated with the SVB Term Loan were recorded in the consolidated balance sheet as a direct deduction from the carrying amount of the loan, and are amortized as a component of interest expense using straight-line method over the life of the term loan.</w:t>
      </w:r>
    </w:p>
    <w:p>
      <w:pPr>
        <w:spacing w:after="0" w:line="172"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2"/>
          <w:szCs w:val="12"/>
          <w:color w:val="auto"/>
        </w:rPr>
        <w:t>The SVB Term Loan matures (the “Maturity Date”) on either (a) August 1, 2025 or (b) August 1, 2026 dependent on our achievement of a certain financial performance milestone as of December 31, 2022, as set forth in the Loan Agreement. As of December 31, 2022, we achieved the performance milestone, therefore the Maturity Date was extended to August 1, 2026. We accounted for this change in Maturity Date as a debt modification, and accordingly, the unamortized discount and debt issuance costs associated with the SVB Term Loan are being amortized to interest expense using straight-line method over the remaining term of the loan through August 1, 2026. Interest on the SVB Term Loan will be payable monthly at an annual rate set at the greater of</w:t>
      </w:r>
    </w:p>
    <w:p>
      <w:pPr>
        <w:spacing w:after="0" w:line="1" w:lineRule="exact"/>
        <w:rPr>
          <w:sz w:val="20"/>
          <w:szCs w:val="20"/>
          <w:color w:val="auto"/>
        </w:rPr>
      </w:pPr>
    </w:p>
    <w:p>
      <w:pPr>
        <w:jc w:val="both"/>
        <w:ind w:firstLine="5"/>
        <w:spacing w:after="0" w:line="252" w:lineRule="auto"/>
        <w:tabs>
          <w:tab w:leader="none" w:pos="199" w:val="left"/>
        </w:tabs>
        <w:numPr>
          <w:ilvl w:val="0"/>
          <w:numId w:val="39"/>
        </w:numPr>
        <w:rPr>
          <w:rFonts w:ascii="Arial" w:cs="Arial" w:eastAsia="Arial" w:hAnsi="Arial"/>
          <w:sz w:val="14"/>
          <w:szCs w:val="14"/>
          <w:color w:val="auto"/>
        </w:rPr>
      </w:pPr>
      <w:r>
        <w:rPr>
          <w:rFonts w:ascii="Arial" w:cs="Arial" w:eastAsia="Arial" w:hAnsi="Arial"/>
          <w:sz w:val="14"/>
          <w:szCs w:val="14"/>
          <w:color w:val="auto"/>
        </w:rPr>
        <w:t>5.75% and (b) prime rate as published in the Wall Street Journal plus 2.5%. Commencing on September 1, 2023, we will be required to make monthly principal amortization payments. We may elect to prepay the SVB Term Loan prior to the Maturity Date subject to a prepayment fee equal to 1% if the prepayment occurs prior to the second anniversary of the Effective Date and 0% if the prepayment occurs on or at any time after the second anniversary of the Effective Date. The SVB Term Loan is secured by substantially all our assets other than our intellectual property. We are also obligated to pay a final payment equal to $0.7 million or 2% of the aggregate principal amount of the SVB Term Loan, which was fully earned by SVB on the effective date of the Loan Agreement. With respect to the SVB Term Loan, this final payment shall be due and payable on the earliest of (i) the maturity date, (ii) the full repayment of the loan, (iii) permitted prepayment and mandatory prepayment upon an acceleration as specified in the agreement or (iv) the termination of the agreement. The final payment was included within the long-term borrowings and is accreted to interest expense using straight-line method over the life of the term loan.</w:t>
      </w:r>
    </w:p>
    <w:p>
      <w:pPr>
        <w:spacing w:after="0" w:line="163" w:lineRule="exact"/>
        <w:rPr>
          <w:sz w:val="20"/>
          <w:szCs w:val="20"/>
          <w:color w:val="auto"/>
        </w:rPr>
      </w:pPr>
    </w:p>
    <w:p>
      <w:pPr>
        <w:ind w:right="460" w:firstLine="509"/>
        <w:spacing w:after="0" w:line="289" w:lineRule="auto"/>
        <w:rPr>
          <w:sz w:val="20"/>
          <w:szCs w:val="20"/>
          <w:color w:val="auto"/>
        </w:rPr>
      </w:pPr>
      <w:r>
        <w:rPr>
          <w:rFonts w:ascii="Arial" w:cs="Arial" w:eastAsia="Arial" w:hAnsi="Arial"/>
          <w:sz w:val="12"/>
          <w:szCs w:val="12"/>
          <w:color w:val="auto"/>
        </w:rPr>
        <w:t>The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w:t>
      </w:r>
    </w:p>
    <w:p>
      <w:pPr>
        <w:spacing w:after="0"/>
        <w:rPr>
          <w:sz w:val="20"/>
          <w:szCs w:val="20"/>
          <w:color w:val="auto"/>
        </w:rPr>
      </w:pPr>
      <w:r>
        <w:rPr>
          <w:rFonts w:ascii="Arial" w:cs="Arial" w:eastAsia="Arial" w:hAnsi="Arial"/>
          <w:sz w:val="13"/>
          <w:szCs w:val="13"/>
          <w:color w:val="auto"/>
        </w:rPr>
        <w:t>indebtedness, transacting with affiliates, and entering into certain investments, in each case subject to certain exceptions. As of December 31, 2022, we were in compliance with all debt covenants.</w:t>
      </w:r>
    </w:p>
    <w:p>
      <w:pPr>
        <w:spacing w:after="0" w:line="392"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68" w:name="page69"/>
    <w:bookmarkEnd w:id="68"/>
    <w:p>
      <w:pPr>
        <w:jc w:val="both"/>
        <w:ind w:firstLine="509"/>
        <w:spacing w:after="0" w:line="259" w:lineRule="auto"/>
        <w:rPr>
          <w:sz w:val="20"/>
          <w:szCs w:val="20"/>
          <w:color w:val="auto"/>
        </w:rPr>
      </w:pPr>
      <w:r>
        <w:rPr>
          <w:rFonts w:ascii="Arial" w:cs="Arial" w:eastAsia="Arial" w:hAnsi="Arial"/>
          <w:sz w:val="14"/>
          <w:szCs w:val="14"/>
          <w:color w:val="auto"/>
        </w:rPr>
        <w:t>In January 2023, our outstanding amount under the SVB Term Loan was refinanced on a long-term basis and is accordingly classified as term note, noncurrent as of December 31, 2022. See Note 15 in the accompanying Notes to Consolidated Financial Statements in Item 8 of this Form 10-K for a discussion of our full repayment and termination of the SVB Term Loan and entry into a new term loan and revolving credit facility.</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Cash Requirements</w:t>
      </w:r>
    </w:p>
    <w:p>
      <w:pPr>
        <w:spacing w:after="0" w:line="179" w:lineRule="exact"/>
        <w:rPr>
          <w:sz w:val="20"/>
          <w:szCs w:val="20"/>
          <w:color w:val="auto"/>
        </w:rPr>
      </w:pPr>
    </w:p>
    <w:p>
      <w:pPr>
        <w:ind w:right="140" w:firstLine="350"/>
        <w:spacing w:after="0" w:line="265" w:lineRule="auto"/>
        <w:rPr>
          <w:sz w:val="20"/>
          <w:szCs w:val="20"/>
          <w:color w:val="auto"/>
        </w:rPr>
      </w:pPr>
      <w:r>
        <w:rPr>
          <w:rFonts w:ascii="Arial" w:cs="Arial" w:eastAsia="Arial" w:hAnsi="Arial"/>
          <w:sz w:val="14"/>
          <w:szCs w:val="14"/>
          <w:color w:val="auto"/>
        </w:rPr>
        <w:t>Our material cash requirements include various contractual and other obligations consisting of long-term debt obligations with SVB, operating lease obligations and purchase obligations with some of our suppliers. Expected timing of those payments are as follows:</w:t>
      </w:r>
    </w:p>
    <w:p>
      <w:pPr>
        <w:spacing w:after="0" w:line="79" w:lineRule="exact"/>
        <w:rPr>
          <w:sz w:val="20"/>
          <w:szCs w:val="20"/>
          <w:color w:val="auto"/>
        </w:rPr>
      </w:pPr>
    </w:p>
    <w:tbl>
      <w:tblPr>
        <w:tblLayout w:type="fixed"/>
        <w:tblInd w:w="36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Payments Due By Period</w:t>
            </w: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3"/>
        </w:trPr>
        <w:tc>
          <w:tcPr>
            <w:tcW w:w="41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Less than 1 year</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8"/>
              </w:rPr>
              <w:t>1-3 years</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4-5 years</w:t>
            </w: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More than 5 years</w:t>
            </w:r>
          </w:p>
        </w:tc>
      </w:tr>
      <w:tr>
        <w:trPr>
          <w:trHeight w:val="160"/>
        </w:trPr>
        <w:tc>
          <w:tcPr>
            <w:tcW w:w="4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(in thousands)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Principal obligations and final fee on long-term debt </w:t>
            </w:r>
            <w:r>
              <w:rPr>
                <w:rFonts w:ascii="Arial" w:cs="Arial" w:eastAsia="Arial" w:hAnsi="Arial"/>
                <w:sz w:val="11"/>
                <w:szCs w:val="11"/>
                <w:color w:val="auto"/>
              </w:rPr>
              <w:t>(1)</w:t>
            </w:r>
          </w:p>
        </w:tc>
        <w:tc>
          <w:tcPr>
            <w:tcW w:w="720" w:type="dxa"/>
            <w:vAlign w:val="bottom"/>
            <w:shd w:val="clear" w:color="auto" w:fill="CCEEFF"/>
          </w:tcPr>
          <w:p>
            <w:pPr>
              <w:jc w:val="right"/>
              <w:ind w:right="572"/>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35,700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23,334</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 xml:space="preserve">Interest obligations </w:t>
            </w:r>
            <w:r>
              <w:rPr>
                <w:rFonts w:ascii="Arial" w:cs="Arial" w:eastAsia="Arial" w:hAnsi="Arial"/>
                <w:sz w:val="11"/>
                <w:szCs w:val="11"/>
                <w:color w:val="auto"/>
              </w:rPr>
              <w:t>(2)</w:t>
            </w:r>
          </w:p>
        </w:tc>
        <w:tc>
          <w:tcPr>
            <w:tcW w:w="7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7,541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3,466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3,847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ind w:left="880"/>
              <w:spacing w:after="0"/>
              <w:rPr>
                <w:sz w:val="20"/>
                <w:szCs w:val="20"/>
                <w:color w:val="auto"/>
              </w:rPr>
            </w:pPr>
            <w:r>
              <w:rPr>
                <w:rFonts w:ascii="Arial" w:cs="Arial" w:eastAsia="Arial" w:hAnsi="Arial"/>
                <w:sz w:val="14"/>
                <w:szCs w:val="14"/>
                <w:color w:val="auto"/>
              </w:rPr>
              <w:t>—</w:t>
            </w:r>
          </w:p>
        </w:tc>
      </w:tr>
      <w:tr>
        <w:trPr>
          <w:trHeight w:val="181"/>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leases obligations</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r>
      <w:tr>
        <w:trPr>
          <w:trHeight w:val="180"/>
        </w:trPr>
        <w:tc>
          <w:tcPr>
            <w:tcW w:w="4180" w:type="dxa"/>
            <w:vAlign w:val="bottom"/>
          </w:tcPr>
          <w:p>
            <w:pPr>
              <w:ind w:left="20"/>
              <w:spacing w:after="0"/>
              <w:rPr>
                <w:sz w:val="20"/>
                <w:szCs w:val="20"/>
                <w:color w:val="auto"/>
              </w:rPr>
            </w:pPr>
            <w:r>
              <w:rPr>
                <w:rFonts w:ascii="Arial" w:cs="Arial" w:eastAsia="Arial" w:hAnsi="Arial"/>
                <w:sz w:val="14"/>
                <w:szCs w:val="14"/>
                <w:color w:val="auto"/>
              </w:rPr>
              <w:t>Purchase obligations</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tcPr>
          <w:p>
            <w:pPr>
              <w:ind w:left="880"/>
              <w:spacing w:after="0"/>
              <w:rPr>
                <w:sz w:val="20"/>
                <w:szCs w:val="20"/>
                <w:color w:val="auto"/>
              </w:rPr>
            </w:pPr>
            <w:r>
              <w:rPr>
                <w:rFonts w:ascii="Arial" w:cs="Arial" w:eastAsia="Arial" w:hAnsi="Arial"/>
                <w:sz w:val="14"/>
                <w:szCs w:val="14"/>
                <w:color w:val="auto"/>
              </w:rPr>
              <w:t>—</w:t>
            </w:r>
          </w:p>
        </w:tc>
      </w:tr>
      <w:tr>
        <w:trPr>
          <w:trHeight w:val="196"/>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72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48,707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29,698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147955</wp:posOffset>
            </wp:positionV>
            <wp:extent cx="17379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37995" cy="6985"/>
                    </a:xfrm>
                    <a:prstGeom prst="rect">
                      <a:avLst/>
                    </a:prstGeom>
                    <a:noFill/>
                  </pic:spPr>
                </pic:pic>
              </a:graphicData>
            </a:graphic>
          </wp:anchor>
        </w:drawing>
      </w:r>
    </w:p>
    <w:p>
      <w:pPr>
        <w:spacing w:after="0" w:line="304" w:lineRule="exact"/>
        <w:rPr>
          <w:sz w:val="20"/>
          <w:szCs w:val="20"/>
          <w:color w:val="auto"/>
        </w:rPr>
      </w:pPr>
    </w:p>
    <w:p>
      <w:pPr>
        <w:ind w:left="380" w:hanging="248"/>
        <w:spacing w:after="0"/>
        <w:tabs>
          <w:tab w:leader="none" w:pos="380" w:val="left"/>
        </w:tabs>
        <w:numPr>
          <w:ilvl w:val="0"/>
          <w:numId w:val="40"/>
        </w:numPr>
        <w:rPr>
          <w:rFonts w:ascii="Arial" w:cs="Arial" w:eastAsia="Arial" w:hAnsi="Arial"/>
          <w:sz w:val="11"/>
          <w:szCs w:val="11"/>
          <w:color w:val="auto"/>
        </w:rPr>
      </w:pPr>
      <w:r>
        <w:rPr>
          <w:rFonts w:ascii="Arial" w:cs="Arial" w:eastAsia="Arial" w:hAnsi="Arial"/>
          <w:sz w:val="11"/>
          <w:szCs w:val="11"/>
          <w:color w:val="auto"/>
        </w:rPr>
        <w:t>Represents the principal obligations and the final fee at maturities of our SVB Term Loan.</w:t>
      </w:r>
    </w:p>
    <w:p>
      <w:pPr>
        <w:spacing w:after="0" w:line="18" w:lineRule="exact"/>
        <w:rPr>
          <w:rFonts w:ascii="Arial" w:cs="Arial" w:eastAsia="Arial" w:hAnsi="Arial"/>
          <w:sz w:val="11"/>
          <w:szCs w:val="11"/>
          <w:color w:val="auto"/>
        </w:rPr>
      </w:pPr>
    </w:p>
    <w:p>
      <w:pPr>
        <w:ind w:left="380" w:hanging="248"/>
        <w:spacing w:after="0"/>
        <w:tabs>
          <w:tab w:leader="none" w:pos="380" w:val="left"/>
        </w:tabs>
        <w:numPr>
          <w:ilvl w:val="0"/>
          <w:numId w:val="40"/>
        </w:numPr>
        <w:rPr>
          <w:rFonts w:ascii="Arial" w:cs="Arial" w:eastAsia="Arial" w:hAnsi="Arial"/>
          <w:sz w:val="11"/>
          <w:szCs w:val="11"/>
          <w:color w:val="auto"/>
        </w:rPr>
      </w:pPr>
      <w:r>
        <w:rPr>
          <w:rFonts w:ascii="Arial" w:cs="Arial" w:eastAsia="Arial" w:hAnsi="Arial"/>
          <w:sz w:val="11"/>
          <w:szCs w:val="11"/>
          <w:color w:val="auto"/>
        </w:rPr>
        <w:t>Represents the future interest obligations on our SVB Term Loan estimated using an interest rate of 10.0% as of December 31, 2022.</w:t>
      </w:r>
    </w:p>
    <w:p>
      <w:pPr>
        <w:spacing w:after="0" w:line="39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This compared to $48.4 million of contractual obligations as of December 31, 2021.</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Cash Flows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primary sources and uses of cash for each of the periods presented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0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432"/>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2"/>
          </w:tcPr>
          <w:p>
            <w:pPr>
              <w:ind w:left="2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(in thousands, except for percentages)</w:t>
            </w:r>
          </w:p>
        </w:tc>
        <w:tc>
          <w:tcPr>
            <w:tcW w:w="920" w:type="dxa"/>
            <w:vAlign w:val="bottom"/>
            <w:tcBorders>
              <w:top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(used in):</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36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(41,655)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412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51,580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(54,395)</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3,908</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Effects of exchange rate changes on cash and cash equivalents</w:t>
            </w:r>
          </w:p>
        </w:tc>
        <w:tc>
          <w:tcPr>
            <w:tcW w:w="10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69</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6"/>
                <w:szCs w:val="16"/>
                <w:color w:val="auto"/>
              </w:rPr>
            </w:pPr>
          </w:p>
        </w:tc>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0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(42,702)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(52,540)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ind w:right="309"/>
              <w:spacing w:after="0"/>
              <w:rPr>
                <w:sz w:val="20"/>
                <w:szCs w:val="20"/>
                <w:color w:val="auto"/>
              </w:rPr>
            </w:pPr>
            <w:r>
              <w:rPr>
                <w:rFonts w:ascii="Arial" w:cs="Arial" w:eastAsia="Arial" w:hAnsi="Arial"/>
                <w:sz w:val="14"/>
                <w:szCs w:val="14"/>
                <w:color w:val="auto"/>
              </w:rPr>
              <w:t>67</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0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80" w:type="dxa"/>
            <w:vAlign w:val="bottom"/>
            <w:tcBorders>
              <w:bottom w:val="single" w:sz="8" w:color="9A9A9A"/>
            </w:tcBorders>
          </w:tcPr>
          <w:p>
            <w:pPr>
              <w:spacing w:after="0"/>
              <w:rPr>
                <w:sz w:val="21"/>
                <w:szCs w:val="21"/>
                <w:color w:val="auto"/>
              </w:rPr>
            </w:pPr>
          </w:p>
        </w:tc>
        <w:tc>
          <w:tcPr>
            <w:tcW w:w="41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9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69" w:name="page70"/>
    <w:bookmarkEnd w:id="69"/>
    <w:p>
      <w:pPr>
        <w:ind w:left="320"/>
        <w:spacing w:after="0"/>
        <w:rPr>
          <w:sz w:val="20"/>
          <w:szCs w:val="20"/>
          <w:color w:val="auto"/>
        </w:rPr>
      </w:pPr>
      <w:r>
        <w:rPr>
          <w:rFonts w:ascii="Arial" w:cs="Arial" w:eastAsia="Arial" w:hAnsi="Arial"/>
          <w:sz w:val="14"/>
          <w:szCs w:val="14"/>
          <w:i w:val="1"/>
          <w:iCs w:val="1"/>
          <w:color w:val="auto"/>
        </w:rPr>
        <w:t>Cash Used in Operating Activities</w:t>
      </w:r>
    </w:p>
    <w:p>
      <w:pPr>
        <w:spacing w:after="0" w:line="16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3"/>
          <w:szCs w:val="13"/>
          <w:color w:val="auto"/>
        </w:rPr>
        <w:t>Net cash used in operating activities for the year ended December 31, 2022 of $41.7 million resulted from cash outflows due to net loss of $61.3 million, adjusted for $27.2 million of non-cash items and cash outflows from changes in operating assets and liabilities of $7.6 million. Net cash used in operation activities for the year ended December 31, 2021 of $39.5 million resulted from cash outflows due to net loss of $56.6 million, adjusted for $22.8 million of non-cash items and cash outflows from changes in operating assets and liabilities of $5.7 million. The increase in net loss, net of non-cash items for the year ended December 31, 2022 compared to the year ended December 31, 2021 was mainly due to the higher operating expenses from the growth of the business. Net cash outflows from changes in operating assets and liabilities for year ended December 31, 2022 were primarily due to higher inventory build-up related to our iFuse-TORQ and iFuse Bedrock Granite implants and higher accounts receivable due to timing of collections and the increase in revenue in the fourth quarter of 2022, offset in part by a decrease in prepaid expenses due to timing of payments for software subscriptions and lower prepaid annual insurance premiums, an increase in accounts payable due to the timing of vendor payments, and an increase in accrued liabilities and other due to timing of other third-party payments and higher compensation and benefits accruals. Net cash outflows from changes in operating assets and liabilities for the year ended December 31, 2021 were primarily due to higher inventory build-up related to our iFuse-TORQ implants and timing of accounts receivable collections due to the increase in revenue in the fourth quarter of 2021, an increase in prepaid expenses due to higher prepaid insurance related to annual insurance premiums, and a decrease in accounts payable due to the timing of vendor payments, partially offset by an increase in accrued liabilities and other due to timing of other third-party payments and higher compensation and benefits accruals.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Cash (Used In) Provided by Investing Activities</w:t>
      </w:r>
    </w:p>
    <w:p>
      <w:pPr>
        <w:spacing w:after="0" w:line="17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Net cash used in investing activities in the year ended December 31, 2022 was $2.8 million compared to net cash provided by investing activities of $51.6 million in the year ended December 31, 2021. Net cash used in investing activities for the year ended December 31, 2022 consisted of purchases of property and equipment of $9.5 million related to individual components in instrument sets to support increased case volumes, increased demand for iFuse-TORQ and the launch of iFuse Bedrock Granite, as well as capitalized costs related to the lease in Santa Clara, partially offset by maturities of our marketable securities, net of purchases of $6.7 million. Net cash provided by investing activities for the year ended December 31, 2021 consisted of maturities of our marketable securities, net of purchases of $58.0 million, partially offset by purchases of property and equipment of $6.4 million for individual components in instrument sets, primarily for the launch of iFuse-TORQ and capitalized costs related to the lease in Santa Clara.</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Cash Provided by (Used In) Financing Activities</w:t>
      </w:r>
    </w:p>
    <w:p>
      <w:pPr>
        <w:spacing w:after="0" w:line="179"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Cash provided by financing activities in the year ended December 31, 2022 was $2.2 million related to proceeds from the issuance of common stock under our stock-based incentive compensation plans. Cash used in financing activities for the year ended December 31, 2021 was $1.7 million and includes the paydown of our debt by $5.0 million and $1.6 million of other payments associated with refinancing of our debt, partially offset by proceeds from the issuance of common stock under our stock-based incentive compensation plans of $4.9 million.</w:t>
      </w:r>
    </w:p>
    <w:p>
      <w:pPr>
        <w:spacing w:after="0" w:line="304"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color w:val="auto"/>
        </w:rPr>
        <w:t>Critical Accounting Policies, Significant Judgments, and Use of Estimates</w:t>
      </w:r>
    </w:p>
    <w:p>
      <w:pPr>
        <w:spacing w:after="0" w:line="183" w:lineRule="exact"/>
        <w:rPr>
          <w:sz w:val="20"/>
          <w:szCs w:val="20"/>
          <w:color w:val="auto"/>
        </w:rPr>
      </w:pPr>
    </w:p>
    <w:p>
      <w:pPr>
        <w:jc w:val="both"/>
        <w:ind w:firstLine="350"/>
        <w:spacing w:after="0" w:line="279" w:lineRule="auto"/>
        <w:rPr>
          <w:sz w:val="20"/>
          <w:szCs w:val="20"/>
          <w:color w:val="auto"/>
        </w:rPr>
      </w:pPr>
      <w:r>
        <w:rPr>
          <w:rFonts w:ascii="Arial" w:cs="Arial" w:eastAsia="Arial" w:hAnsi="Arial"/>
          <w:sz w:val="13"/>
          <w:szCs w:val="13"/>
          <w:color w:val="auto"/>
        </w:rPr>
        <w:t xml:space="preserve">This discussion and analysis of our financial condition and results of operations is based on our consolidated financial statements, which have been prepared in accordance with generally accepted accounting principles in the United States of America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We base our estimates on our historical experience, current market conditions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policy discussed below is critical to understanding our historical and future performance, as it relates to the more significant area involving management's judgments. For more comprehensive discussion of our significant accounting policies, refer to “Note 2 </w:t>
      </w:r>
      <w:r>
        <w:rPr>
          <w:rFonts w:ascii="Arial" w:cs="Arial" w:eastAsia="Arial" w:hAnsi="Arial"/>
          <w:sz w:val="13"/>
          <w:szCs w:val="13"/>
          <w:i w:val="1"/>
          <w:iCs w:val="1"/>
          <w:color w:val="auto"/>
        </w:rPr>
        <w:t>-</w:t>
      </w:r>
      <w:r>
        <w:rPr>
          <w:rFonts w:ascii="Arial" w:cs="Arial" w:eastAsia="Arial" w:hAnsi="Arial"/>
          <w:sz w:val="13"/>
          <w:szCs w:val="13"/>
          <w:color w:val="auto"/>
        </w:rPr>
        <w:t xml:space="preserve"> Summary of Significant Account Policies” in the accompanying Notes to Consolidated Financial Statements in Item 8 of this Form 10-K.</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79" w:lineRule="exact"/>
        <w:rPr>
          <w:sz w:val="20"/>
          <w:szCs w:val="20"/>
          <w:color w:val="auto"/>
        </w:rPr>
      </w:pPr>
    </w:p>
    <w:p>
      <w:pPr>
        <w:jc w:val="both"/>
        <w:ind w:firstLine="350"/>
        <w:spacing w:after="0" w:line="288" w:lineRule="auto"/>
        <w:rPr>
          <w:sz w:val="20"/>
          <w:szCs w:val="20"/>
          <w:color w:val="auto"/>
        </w:rPr>
      </w:pPr>
      <w:r>
        <w:rPr>
          <w:rFonts w:ascii="Arial" w:cs="Arial" w:eastAsia="Arial" w:hAnsi="Arial"/>
          <w:sz w:val="13"/>
          <w:szCs w:val="13"/>
          <w:color w:val="auto"/>
        </w:rPr>
        <w:t>We derive our revenue from the sale of our products to medical groups and hospitals through our direct sales force and distributors throughout the U.S. and Europe. In accordance with ASC 606, we recognize revenue when control is transferred to the customer, in an amount that reflects the consideration we expect to be entitled to in exchange for the goods or services. To recognize revenue,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31" w:lineRule="exact"/>
        <w:rPr>
          <w:sz w:val="20"/>
          <w:szCs w:val="20"/>
          <w:color w:val="auto"/>
        </w:rPr>
      </w:pPr>
    </w:p>
    <w:p>
      <w:pPr>
        <w:jc w:val="both"/>
        <w:ind w:firstLine="350"/>
        <w:spacing w:after="0" w:line="277" w:lineRule="auto"/>
        <w:rPr>
          <w:sz w:val="20"/>
          <w:szCs w:val="20"/>
          <w:color w:val="auto"/>
        </w:rPr>
      </w:pPr>
      <w:r>
        <w:rPr>
          <w:rFonts w:ascii="Arial" w:cs="Arial" w:eastAsia="Arial" w:hAnsi="Arial"/>
          <w:sz w:val="13"/>
          <w:szCs w:val="13"/>
          <w:color w:val="auto"/>
        </w:rPr>
        <w:t>As it relates to majority of our revenue consisting of product sales where our sales representative delivers the product at the point of implantation at hospital or medical facilities, we recognize the revenue upon completion of the procedure and authorization by the customer, net of rebates and price discounts. We also generate a small portion of our revenue from sale of products through distributors and hospital or medical facilities where the product is ordered in advance of a procedure. The performance obligation is the delivery of the product and therefore, we recognize revenue upon shipment to the customers, net of rebates and price discounts. We account for rebates and price discounts as reduction to revenue, calculated based on the terms agreed to with the customer. Historically, there had been no significant price discounts. Sales prices are specified in either customer contract, agreed price list, or purchase order, which is executed prior to the transfer of control to the customer. For certain hospitals and medical facilities, we have agreements in place consisting of either a master services agreement or an approved price list, which defines the terms and conditions of the arrangement, including the pricing information, payment terms and pertinent aspects of the relationship between the parties. We also have agreements in place with its distributors, which include standard terms that do not allow for payment contingent on resale of the product, obtaining financing, or other terms that could impact the distributor’s payment obligation. Our standard payment terms are generally net 30 to 90 days. We consider sales commissions and related expenses as incremental and recoverable costs of acquiring customer contracts. Our sales commissions paid to our sales representatives commensurate for each surgery performed. The period of benefit is concurrent when we recognize our revenue, as such, we also recognize sales commission as expense when incurred.</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6"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We grant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The fair value of our market-related performance awards is estimated using a Monte-Carlo simulation, which incorporates the probability of the achievement of the market-related performance goals at the date of grant. If such performance goals are not ultimately met, the expense is not reversed. Stock-based compensation expense is recognized ratably over the requisite service period.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98"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8"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See Note 2 of Notes to Consolidated Financial Statements for related discussions on recently adopted accounting standards and updates on recently issued accounting standards not yet effective, which information is incorporated by reference here.</w:t>
      </w:r>
    </w:p>
    <w:p>
      <w:pPr>
        <w:spacing w:after="0" w:line="23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As a "small reporting company", we are not required to provide the information otherwise required by this Item.</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154305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99"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9000" w:type="dxa"/>
            <w:vAlign w:val="bottom"/>
            <w:gridSpan w:val="9"/>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61"/>
        </w:trPr>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60" w:type="dxa"/>
            <w:vAlign w:val="bottom"/>
          </w:tcPr>
          <w:p>
            <w:pPr>
              <w:jc w:val="center"/>
              <w:ind w:right="1869"/>
              <w:spacing w:after="0"/>
              <w:rPr>
                <w:sz w:val="20"/>
                <w:szCs w:val="20"/>
                <w:color w:val="auto"/>
              </w:rPr>
            </w:pPr>
            <w:r>
              <w:rPr>
                <w:rFonts w:ascii="Arial" w:cs="Arial" w:eastAsia="Arial" w:hAnsi="Arial"/>
                <w:sz w:val="14"/>
                <w:szCs w:val="14"/>
                <w:b w:val="1"/>
                <w:bCs w:val="1"/>
                <w:color w:val="auto"/>
                <w:w w:val="99"/>
              </w:rPr>
              <w:t>SI-BONE, INC.</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1"/>
        </w:trPr>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gridSpan w:val="4"/>
          </w:tcPr>
          <w:p>
            <w:pPr>
              <w:jc w:val="center"/>
              <w:ind w:right="689"/>
              <w:spacing w:after="0"/>
              <w:rPr>
                <w:sz w:val="20"/>
                <w:szCs w:val="20"/>
                <w:color w:val="auto"/>
              </w:rPr>
            </w:pPr>
            <w:r>
              <w:rPr>
                <w:rFonts w:ascii="Arial" w:cs="Arial" w:eastAsia="Arial" w:hAnsi="Arial"/>
                <w:sz w:val="14"/>
                <w:szCs w:val="14"/>
                <w:b w:val="1"/>
                <w:bCs w:val="1"/>
                <w:color w:val="auto"/>
              </w:rPr>
              <w:t>INDEX TO CONSOLIDATED FINANCIAL STATEMENTS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8400" w:type="dxa"/>
            <w:vAlign w:val="bottom"/>
            <w:gridSpan w:val="8"/>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238)</w:t>
            </w:r>
          </w:p>
        </w:tc>
        <w:tc>
          <w:tcPr>
            <w:tcW w:w="2280" w:type="dxa"/>
            <w:vAlign w:val="bottom"/>
            <w:gridSpan w:val="4"/>
          </w:tcPr>
          <w:p>
            <w:pPr>
              <w:jc w:val="right"/>
              <w:ind w:right="560"/>
              <w:spacing w:after="0"/>
              <w:rPr>
                <w:sz w:val="20"/>
                <w:szCs w:val="20"/>
                <w:color w:val="auto"/>
              </w:rPr>
            </w:pPr>
            <w:r>
              <w:rPr>
                <w:rFonts w:ascii="Arial" w:cs="Arial" w:eastAsia="Arial" w:hAnsi="Arial"/>
                <w:sz w:val="14"/>
                <w:szCs w:val="14"/>
                <w:color w:val="0000FF"/>
              </w:rPr>
              <w:t>72</w:t>
            </w:r>
          </w:p>
        </w:tc>
      </w:tr>
      <w:tr>
        <w:trPr>
          <w:trHeight w:val="20"/>
        </w:trPr>
        <w:tc>
          <w:tcPr>
            <w:tcW w:w="60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0"/>
        </w:trPr>
        <w:tc>
          <w:tcPr>
            <w:tcW w:w="6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0000FF"/>
                <w:w w:val="87"/>
              </w:rPr>
              <w:t>Consolidated Balance Sheets</w:t>
            </w:r>
          </w:p>
        </w:tc>
        <w:tc>
          <w:tcPr>
            <w:tcW w:w="1660" w:type="dxa"/>
            <w:vAlign w:val="bottom"/>
            <w:gridSpan w:val="3"/>
          </w:tcPr>
          <w:p>
            <w:pPr>
              <w:spacing w:after="0"/>
              <w:rPr>
                <w:sz w:val="13"/>
                <w:szCs w:val="13"/>
                <w:color w:val="auto"/>
              </w:rPr>
            </w:pPr>
          </w:p>
        </w:tc>
        <w:tc>
          <w:tcPr>
            <w:tcW w:w="5120" w:type="dxa"/>
            <w:vAlign w:val="bottom"/>
            <w:gridSpan w:val="3"/>
          </w:tcPr>
          <w:p>
            <w:pPr>
              <w:spacing w:after="0"/>
              <w:rPr>
                <w:sz w:val="13"/>
                <w:szCs w:val="13"/>
                <w:color w:val="auto"/>
              </w:rPr>
            </w:pPr>
          </w:p>
        </w:tc>
        <w:tc>
          <w:tcPr>
            <w:tcW w:w="2280" w:type="dxa"/>
            <w:vAlign w:val="bottom"/>
            <w:gridSpan w:val="4"/>
          </w:tcPr>
          <w:p>
            <w:pPr>
              <w:jc w:val="right"/>
              <w:ind w:right="560"/>
              <w:spacing w:after="0"/>
              <w:rPr>
                <w:sz w:val="20"/>
                <w:szCs w:val="20"/>
                <w:color w:val="auto"/>
              </w:rPr>
            </w:pPr>
            <w:r>
              <w:rPr>
                <w:rFonts w:ascii="Arial" w:cs="Arial" w:eastAsia="Arial" w:hAnsi="Arial"/>
                <w:sz w:val="14"/>
                <w:szCs w:val="14"/>
                <w:color w:val="0000FF"/>
              </w:rPr>
              <w:t>74</w:t>
            </w:r>
          </w:p>
        </w:tc>
      </w:tr>
      <w:tr>
        <w:trPr>
          <w:trHeight w:val="20"/>
        </w:trPr>
        <w:tc>
          <w:tcPr>
            <w:tcW w:w="60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0"/>
        </w:trPr>
        <w:tc>
          <w:tcPr>
            <w:tcW w:w="600" w:type="dxa"/>
            <w:vAlign w:val="bottom"/>
          </w:tcPr>
          <w:p>
            <w:pPr>
              <w:spacing w:after="0"/>
              <w:rPr>
                <w:sz w:val="13"/>
                <w:szCs w:val="13"/>
                <w:color w:val="auto"/>
              </w:rPr>
            </w:pPr>
          </w:p>
        </w:tc>
        <w:tc>
          <w:tcPr>
            <w:tcW w:w="8400" w:type="dxa"/>
            <w:vAlign w:val="bottom"/>
            <w:gridSpan w:val="8"/>
          </w:tcPr>
          <w:p>
            <w:pPr>
              <w:spacing w:after="0"/>
              <w:rPr>
                <w:sz w:val="20"/>
                <w:szCs w:val="20"/>
                <w:color w:val="auto"/>
              </w:rPr>
            </w:pPr>
            <w:r>
              <w:rPr>
                <w:rFonts w:ascii="Arial" w:cs="Arial" w:eastAsia="Arial" w:hAnsi="Arial"/>
                <w:sz w:val="14"/>
                <w:szCs w:val="14"/>
                <w:color w:val="0000FF"/>
              </w:rPr>
              <w:t>Consolidated Statements of Operations and Comprehensive Loss</w:t>
            </w:r>
          </w:p>
        </w:tc>
        <w:tc>
          <w:tcPr>
            <w:tcW w:w="2280" w:type="dxa"/>
            <w:vAlign w:val="bottom"/>
            <w:gridSpan w:val="4"/>
          </w:tcPr>
          <w:p>
            <w:pPr>
              <w:jc w:val="right"/>
              <w:ind w:right="560"/>
              <w:spacing w:after="0"/>
              <w:rPr>
                <w:sz w:val="20"/>
                <w:szCs w:val="20"/>
                <w:color w:val="auto"/>
              </w:rPr>
            </w:pPr>
            <w:r>
              <w:rPr>
                <w:rFonts w:ascii="Arial" w:cs="Arial" w:eastAsia="Arial" w:hAnsi="Arial"/>
                <w:sz w:val="14"/>
                <w:szCs w:val="14"/>
                <w:color w:val="0000FF"/>
              </w:rPr>
              <w:t>75</w:t>
            </w:r>
          </w:p>
        </w:tc>
      </w:tr>
      <w:tr>
        <w:trPr>
          <w:trHeight w:val="20"/>
        </w:trPr>
        <w:tc>
          <w:tcPr>
            <w:tcW w:w="60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0"/>
        </w:trPr>
        <w:tc>
          <w:tcPr>
            <w:tcW w:w="600" w:type="dxa"/>
            <w:vAlign w:val="bottom"/>
          </w:tcPr>
          <w:p>
            <w:pPr>
              <w:spacing w:after="0"/>
              <w:rPr>
                <w:sz w:val="13"/>
                <w:szCs w:val="13"/>
                <w:color w:val="auto"/>
              </w:rPr>
            </w:pPr>
          </w:p>
        </w:tc>
        <w:tc>
          <w:tcPr>
            <w:tcW w:w="3640" w:type="dxa"/>
            <w:vAlign w:val="bottom"/>
            <w:gridSpan w:val="7"/>
          </w:tcPr>
          <w:p>
            <w:pPr>
              <w:spacing w:after="0"/>
              <w:rPr>
                <w:sz w:val="20"/>
                <w:szCs w:val="20"/>
                <w:color w:val="auto"/>
              </w:rPr>
            </w:pPr>
            <w:r>
              <w:rPr>
                <w:rFonts w:ascii="Arial" w:cs="Arial" w:eastAsia="Arial" w:hAnsi="Arial"/>
                <w:sz w:val="14"/>
                <w:szCs w:val="14"/>
                <w:color w:val="0000FF"/>
                <w:w w:val="96"/>
              </w:rPr>
              <w:t>Consolidated Statements of Changes in Stockholders' Equity</w:t>
            </w:r>
          </w:p>
        </w:tc>
        <w:tc>
          <w:tcPr>
            <w:tcW w:w="4760" w:type="dxa"/>
            <w:vAlign w:val="bottom"/>
          </w:tcPr>
          <w:p>
            <w:pPr>
              <w:spacing w:after="0"/>
              <w:rPr>
                <w:sz w:val="13"/>
                <w:szCs w:val="13"/>
                <w:color w:val="auto"/>
              </w:rPr>
            </w:pPr>
          </w:p>
        </w:tc>
        <w:tc>
          <w:tcPr>
            <w:tcW w:w="2280" w:type="dxa"/>
            <w:vAlign w:val="bottom"/>
            <w:gridSpan w:val="4"/>
          </w:tcPr>
          <w:p>
            <w:pPr>
              <w:jc w:val="right"/>
              <w:ind w:right="560"/>
              <w:spacing w:after="0"/>
              <w:rPr>
                <w:sz w:val="20"/>
                <w:szCs w:val="20"/>
                <w:color w:val="auto"/>
              </w:rPr>
            </w:pPr>
            <w:r>
              <w:rPr>
                <w:rFonts w:ascii="Arial" w:cs="Arial" w:eastAsia="Arial" w:hAnsi="Arial"/>
                <w:sz w:val="14"/>
                <w:szCs w:val="14"/>
                <w:color w:val="0000FF"/>
              </w:rPr>
              <w:t>76</w:t>
            </w:r>
          </w:p>
        </w:tc>
      </w:tr>
      <w:tr>
        <w:trPr>
          <w:trHeight w:val="20"/>
        </w:trPr>
        <w:tc>
          <w:tcPr>
            <w:tcW w:w="60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0"/>
        </w:trPr>
        <w:tc>
          <w:tcPr>
            <w:tcW w:w="600" w:type="dxa"/>
            <w:vAlign w:val="bottom"/>
          </w:tcPr>
          <w:p>
            <w:pPr>
              <w:spacing w:after="0"/>
              <w:rPr>
                <w:sz w:val="13"/>
                <w:szCs w:val="13"/>
                <w:color w:val="auto"/>
              </w:rPr>
            </w:pPr>
          </w:p>
        </w:tc>
        <w:tc>
          <w:tcPr>
            <w:tcW w:w="3400" w:type="dxa"/>
            <w:vAlign w:val="bottom"/>
            <w:gridSpan w:val="6"/>
          </w:tcPr>
          <w:p>
            <w:pPr>
              <w:spacing w:after="0"/>
              <w:rPr>
                <w:sz w:val="20"/>
                <w:szCs w:val="20"/>
                <w:color w:val="auto"/>
              </w:rPr>
            </w:pPr>
            <w:r>
              <w:rPr>
                <w:rFonts w:ascii="Arial" w:cs="Arial" w:eastAsia="Arial" w:hAnsi="Arial"/>
                <w:sz w:val="14"/>
                <w:szCs w:val="14"/>
                <w:color w:val="0000FF"/>
              </w:rPr>
              <w:t>Consolidated Statements of Cash Flows</w:t>
            </w:r>
          </w:p>
        </w:tc>
        <w:tc>
          <w:tcPr>
            <w:tcW w:w="5000" w:type="dxa"/>
            <w:vAlign w:val="bottom"/>
            <w:gridSpan w:val="2"/>
          </w:tcPr>
          <w:p>
            <w:pPr>
              <w:spacing w:after="0"/>
              <w:rPr>
                <w:sz w:val="13"/>
                <w:szCs w:val="13"/>
                <w:color w:val="auto"/>
              </w:rPr>
            </w:pPr>
          </w:p>
        </w:tc>
        <w:tc>
          <w:tcPr>
            <w:tcW w:w="2280" w:type="dxa"/>
            <w:vAlign w:val="bottom"/>
            <w:gridSpan w:val="4"/>
          </w:tcPr>
          <w:p>
            <w:pPr>
              <w:jc w:val="right"/>
              <w:ind w:right="560"/>
              <w:spacing w:after="0"/>
              <w:rPr>
                <w:sz w:val="20"/>
                <w:szCs w:val="20"/>
                <w:color w:val="auto"/>
              </w:rPr>
            </w:pPr>
            <w:r>
              <w:rPr>
                <w:rFonts w:ascii="Arial" w:cs="Arial" w:eastAsia="Arial" w:hAnsi="Arial"/>
                <w:sz w:val="14"/>
                <w:szCs w:val="14"/>
                <w:color w:val="0000FF"/>
              </w:rPr>
              <w:t>77</w:t>
            </w:r>
          </w:p>
        </w:tc>
      </w:tr>
      <w:tr>
        <w:trPr>
          <w:trHeight w:val="20"/>
        </w:trPr>
        <w:tc>
          <w:tcPr>
            <w:tcW w:w="60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0"/>
        </w:trPr>
        <w:tc>
          <w:tcPr>
            <w:tcW w:w="600" w:type="dxa"/>
            <w:vAlign w:val="bottom"/>
          </w:tcPr>
          <w:p>
            <w:pPr>
              <w:spacing w:after="0"/>
              <w:rPr>
                <w:sz w:val="13"/>
                <w:szCs w:val="13"/>
                <w:color w:val="auto"/>
              </w:rPr>
            </w:pPr>
          </w:p>
        </w:tc>
        <w:tc>
          <w:tcPr>
            <w:tcW w:w="8400" w:type="dxa"/>
            <w:vAlign w:val="bottom"/>
            <w:gridSpan w:val="8"/>
          </w:tcPr>
          <w:p>
            <w:pPr>
              <w:spacing w:after="0"/>
              <w:rPr>
                <w:sz w:val="20"/>
                <w:szCs w:val="20"/>
                <w:color w:val="auto"/>
              </w:rPr>
            </w:pPr>
            <w:r>
              <w:rPr>
                <w:rFonts w:ascii="Arial" w:cs="Arial" w:eastAsia="Arial" w:hAnsi="Arial"/>
                <w:sz w:val="14"/>
                <w:szCs w:val="14"/>
                <w:color w:val="0000FF"/>
              </w:rPr>
              <w:t>Notes to Consolidated Financial Statements</w:t>
            </w:r>
          </w:p>
        </w:tc>
        <w:tc>
          <w:tcPr>
            <w:tcW w:w="2280" w:type="dxa"/>
            <w:vAlign w:val="bottom"/>
            <w:gridSpan w:val="4"/>
          </w:tcPr>
          <w:p>
            <w:pPr>
              <w:jc w:val="right"/>
              <w:ind w:right="560"/>
              <w:spacing w:after="0"/>
              <w:rPr>
                <w:sz w:val="20"/>
                <w:szCs w:val="20"/>
                <w:color w:val="auto"/>
              </w:rPr>
            </w:pPr>
            <w:r>
              <w:rPr>
                <w:rFonts w:ascii="Arial" w:cs="Arial" w:eastAsia="Arial" w:hAnsi="Arial"/>
                <w:sz w:val="14"/>
                <w:szCs w:val="14"/>
                <w:color w:val="0000FF"/>
              </w:rPr>
              <w:t>78</w:t>
            </w:r>
          </w:p>
        </w:tc>
      </w:tr>
      <w:tr>
        <w:trPr>
          <w:trHeight w:val="20"/>
        </w:trPr>
        <w:tc>
          <w:tcPr>
            <w:tcW w:w="60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0"/>
        </w:trPr>
        <w:tc>
          <w:tcPr>
            <w:tcW w:w="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4"/>
                <w:szCs w:val="14"/>
                <w:color w:val="0000FF"/>
              </w:rPr>
              <w:t>Supplementary Data</w:t>
            </w:r>
          </w:p>
        </w:tc>
        <w:tc>
          <w:tcPr>
            <w:tcW w:w="5960" w:type="dxa"/>
            <w:vAlign w:val="bottom"/>
            <w:gridSpan w:val="4"/>
          </w:tcPr>
          <w:p>
            <w:pPr>
              <w:spacing w:after="0"/>
              <w:rPr>
                <w:sz w:val="13"/>
                <w:szCs w:val="13"/>
                <w:color w:val="auto"/>
              </w:rPr>
            </w:pPr>
          </w:p>
        </w:tc>
        <w:tc>
          <w:tcPr>
            <w:tcW w:w="2280" w:type="dxa"/>
            <w:vAlign w:val="bottom"/>
            <w:gridSpan w:val="4"/>
          </w:tcPr>
          <w:p>
            <w:pPr>
              <w:jc w:val="right"/>
              <w:ind w:right="560"/>
              <w:spacing w:after="0"/>
              <w:rPr>
                <w:sz w:val="20"/>
                <w:szCs w:val="20"/>
                <w:color w:val="auto"/>
              </w:rPr>
            </w:pPr>
            <w:r>
              <w:rPr>
                <w:rFonts w:ascii="Arial" w:cs="Arial" w:eastAsia="Arial" w:hAnsi="Arial"/>
                <w:sz w:val="14"/>
                <w:szCs w:val="14"/>
                <w:color w:val="0000FF"/>
              </w:rPr>
              <w:t>101</w:t>
            </w:r>
          </w:p>
        </w:tc>
      </w:tr>
      <w:tr>
        <w:trPr>
          <w:trHeight w:val="404"/>
        </w:trPr>
        <w:tc>
          <w:tcPr>
            <w:tcW w:w="600" w:type="dxa"/>
            <w:vAlign w:val="bottom"/>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7280" w:type="dxa"/>
            <w:vAlign w:val="bottom"/>
            <w:gridSpan w:val="7"/>
          </w:tcPr>
          <w:p>
            <w:pPr>
              <w:jc w:val="center"/>
              <w:ind w:left="509"/>
              <w:spacing w:after="0"/>
              <w:rPr>
                <w:sz w:val="20"/>
                <w:szCs w:val="20"/>
                <w:color w:val="auto"/>
              </w:rPr>
            </w:pPr>
            <w:r>
              <w:rPr>
                <w:rFonts w:ascii="Arial" w:cs="Arial" w:eastAsia="Arial" w:hAnsi="Arial"/>
                <w:sz w:val="14"/>
                <w:szCs w:val="14"/>
                <w:color w:val="auto"/>
                <w:w w:val="89"/>
              </w:rPr>
              <w:t>71</w:t>
            </w:r>
          </w:p>
        </w:tc>
        <w:tc>
          <w:tcPr>
            <w:tcW w:w="15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r>
      <w:tr>
        <w:trPr>
          <w:trHeight w:val="278"/>
        </w:trPr>
        <w:tc>
          <w:tcPr>
            <w:tcW w:w="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SI-BONE, Inc.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have audited the accompanying consolidated balance sheets of SI-BONE, Inc. and its subsidiaries (the “Company”) as of December 31, 2022 and 2021, and the related consolidated statements of operations and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 – U.S. Implantation Product Sales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As described in Note 2 to the consolidated financial statements, product sales where the Company’s sales representative delivers the product at the point of implantation at the hospital or medical facilities represent the majority of the Company's consolidated revenue. The Company’s consolidated revenue was $106.4 million for the year ended December 31, 2022, of which, $98.8 million is related to the U.S. Management recognizes the revenue from these sales upon completion of the procedure and authorization by the customer, net of rebates and price discounts. This represents the majority of the Company’s consolidated revenue.</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principal consideration for our determination that performing procedures relating to revenue recognition, U.S. implantation product sales is a critical audit matter is the high degree of auditor effort in performing procedures related to the Company’s revenue recognition.</w:t>
      </w:r>
    </w:p>
    <w:p>
      <w:pPr>
        <w:spacing w:after="0" w:line="143"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among others, (i) evaluating revenue transactions by testing the issuance and settlement of invoices and credit memos, (ii) tracing transactions not settled to a detailed listing of accounts receivable, (iii) confirming a sample of outstanding customer invoice balances at year end and obtaining and inspecting source documents, including invoices, sales contracts, and proof of implantation for unpaid invoices, and obtaining subsequent cash receipt for paid invoices, where applicable, for confirmations not returned, and (iv) testing the completeness and accuracy of data provided by management.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auto"/>
        </w:rPr>
        <w:t>/s/PricewaterhouseCoopers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March 2, 2023</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2013.</w:t>
      </w:r>
    </w:p>
    <w:p>
      <w:pPr>
        <w:spacing w:after="0" w:line="348"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638"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4"/>
                <w:szCs w:val="14"/>
                <w:color w:val="auto"/>
              </w:rPr>
            </w:pPr>
          </w:p>
        </w:tc>
        <w:tc>
          <w:tcPr>
            <w:tcW w:w="1140" w:type="dxa"/>
            <w:vAlign w:val="bottom"/>
          </w:tcPr>
          <w:p>
            <w:pPr>
              <w:jc w:val="right"/>
              <w:ind w:right="30"/>
              <w:spacing w:after="0"/>
              <w:rPr>
                <w:sz w:val="20"/>
                <w:szCs w:val="20"/>
                <w:color w:val="auto"/>
              </w:rPr>
            </w:pPr>
            <w:r>
              <w:rPr>
                <w:rFonts w:ascii="Arial" w:cs="Arial" w:eastAsia="Arial" w:hAnsi="Arial"/>
                <w:sz w:val="13"/>
                <w:szCs w:val="13"/>
                <w:b w:val="1"/>
                <w:bCs w:val="1"/>
                <w:color w:val="auto"/>
                <w:w w:val="87"/>
              </w:rPr>
              <w:t>December 31, 2021</w:t>
            </w:r>
          </w:p>
        </w:tc>
      </w:tr>
      <w:tr>
        <w:trPr>
          <w:trHeight w:val="163"/>
        </w:trPr>
        <w:tc>
          <w:tcPr>
            <w:tcW w:w="7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1"/>
        </w:trPr>
        <w:tc>
          <w:tcPr>
            <w:tcW w:w="7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63,419</w:t>
            </w:r>
          </w:p>
        </w:tc>
      </w:tr>
      <w:tr>
        <w:trPr>
          <w:trHeight w:val="180"/>
        </w:trPr>
        <w:tc>
          <w:tcPr>
            <w:tcW w:w="7800" w:type="dxa"/>
            <w:vAlign w:val="bottom"/>
          </w:tcPr>
          <w:p>
            <w:pPr>
              <w:ind w:left="260"/>
              <w:spacing w:after="0"/>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76,573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83,560</w:t>
            </w:r>
          </w:p>
        </w:tc>
      </w:tr>
      <w:tr>
        <w:trPr>
          <w:trHeight w:val="181"/>
        </w:trPr>
        <w:tc>
          <w:tcPr>
            <w:tcW w:w="7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 net of allowance for credit losses of $400 and $264, respectively</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14,246</w:t>
            </w:r>
          </w:p>
        </w:tc>
      </w:tr>
      <w:tr>
        <w:trPr>
          <w:trHeight w:val="180"/>
        </w:trPr>
        <w:tc>
          <w:tcPr>
            <w:tcW w:w="7800" w:type="dxa"/>
            <w:vAlign w:val="bottom"/>
          </w:tcPr>
          <w:p>
            <w:pPr>
              <w:ind w:left="26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17,282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11,498</w:t>
            </w:r>
          </w:p>
        </w:tc>
      </w:tr>
      <w:tr>
        <w:trPr>
          <w:trHeight w:val="181"/>
        </w:trPr>
        <w:tc>
          <w:tcPr>
            <w:tcW w:w="7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3,143</w:t>
            </w:r>
          </w:p>
        </w:tc>
      </w:tr>
      <w:tr>
        <w:trPr>
          <w:trHeight w:val="171"/>
        </w:trPr>
        <w:tc>
          <w:tcPr>
            <w:tcW w:w="780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137,611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175,866</w:t>
            </w:r>
          </w:p>
        </w:tc>
      </w:tr>
      <w:tr>
        <w:trPr>
          <w:trHeight w:val="181"/>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8,992</w:t>
            </w: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5,248</w:t>
            </w:r>
          </w:p>
        </w:tc>
      </w:tr>
      <w:tr>
        <w:trPr>
          <w:trHeight w:val="181"/>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171"/>
        </w:trPr>
        <w:tc>
          <w:tcPr>
            <w:tcW w:w="7800" w:type="dxa"/>
            <w:vAlign w:val="bottom"/>
          </w:tcPr>
          <w:p>
            <w:pPr>
              <w:ind w:left="52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157,552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190,506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4"/>
        </w:trPr>
        <w:tc>
          <w:tcPr>
            <w:tcW w:w="7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7800" w:type="dxa"/>
            <w:vAlign w:val="bottom"/>
          </w:tcPr>
          <w:p>
            <w:pPr>
              <w:ind w:left="40"/>
              <w:spacing w:after="0"/>
              <w:rPr>
                <w:sz w:val="20"/>
                <w:szCs w:val="20"/>
                <w:color w:val="auto"/>
              </w:rPr>
            </w:pPr>
            <w:r>
              <w:rPr>
                <w:rFonts w:ascii="Arial" w:cs="Arial" w:eastAsia="Arial" w:hAnsi="Arial"/>
                <w:sz w:val="14"/>
                <w:szCs w:val="14"/>
                <w:color w:val="auto"/>
              </w:rPr>
              <w:t>LIABILITIES AND STOCKHOLDERS’ EQUITY</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1"/>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780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6,279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3,198</w:t>
            </w:r>
          </w:p>
        </w:tc>
      </w:tr>
      <w:tr>
        <w:trPr>
          <w:trHeight w:val="181"/>
        </w:trPr>
        <w:tc>
          <w:tcPr>
            <w:tcW w:w="7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liabilities and other</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12,353</w:t>
            </w:r>
          </w:p>
        </w:tc>
      </w:tr>
      <w:tr>
        <w:trPr>
          <w:trHeight w:val="180"/>
        </w:trPr>
        <w:tc>
          <w:tcPr>
            <w:tcW w:w="78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Operating lease liabilities, current portion</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1,339</w:t>
            </w:r>
          </w:p>
        </w:tc>
      </w:tr>
      <w:tr>
        <w:trPr>
          <w:trHeight w:val="171"/>
        </w:trPr>
        <w:tc>
          <w:tcPr>
            <w:tcW w:w="78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16,890</w:t>
            </w: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color w:val="auto"/>
              </w:rPr>
              <w:t>Long-term borrowings</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35,171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34,973</w:t>
            </w:r>
          </w:p>
        </w:tc>
      </w:tr>
      <w:tr>
        <w:trPr>
          <w:trHeight w:val="181"/>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4,166</w:t>
            </w:r>
          </w:p>
        </w:tc>
      </w:tr>
      <w:tr>
        <w:trPr>
          <w:trHeight w:val="18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171"/>
        </w:trPr>
        <w:tc>
          <w:tcPr>
            <w:tcW w:w="7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59,250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56,086</w:t>
            </w:r>
          </w:p>
        </w:tc>
      </w:tr>
      <w:tr>
        <w:trPr>
          <w:trHeight w:val="192"/>
        </w:trPr>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0"/>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2"/>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0"/>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color w:val="auto"/>
              </w:rPr>
              <w:t>Preferred stock, $0.0001 par value; 5,000,000 shares authorized; no shares issued and outstanding</w:t>
            </w:r>
          </w:p>
        </w:tc>
        <w:tc>
          <w:tcPr>
            <w:tcW w:w="1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8"/>
        </w:trPr>
        <w:tc>
          <w:tcPr>
            <w:tcW w:w="78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8"/>
              </w:rPr>
              <w:t>Common stock, $0.0001 par value; 100,000,000 shares authorized; 34,731,577 and 33,674,085 shares issued and outstanding,</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91"/>
        </w:trPr>
        <w:tc>
          <w:tcPr>
            <w:tcW w:w="7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7800" w:type="dxa"/>
            <w:vAlign w:val="bottom"/>
          </w:tcPr>
          <w:p>
            <w:pPr>
              <w:ind w:left="4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455,172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429,914</w:t>
            </w:r>
          </w:p>
        </w:tc>
      </w:tr>
      <w:tr>
        <w:trPr>
          <w:trHeight w:val="181"/>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r>
      <w:tr>
        <w:trPr>
          <w:trHeight w:val="180"/>
        </w:trPr>
        <w:tc>
          <w:tcPr>
            <w:tcW w:w="7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(357,105)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(295,849)</w:t>
            </w:r>
          </w:p>
        </w:tc>
      </w:tr>
      <w:tr>
        <w:trPr>
          <w:trHeight w:val="171"/>
        </w:trPr>
        <w:tc>
          <w:tcPr>
            <w:tcW w:w="78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98,302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134,420</w:t>
            </w:r>
          </w:p>
        </w:tc>
      </w:tr>
      <w:tr>
        <w:trPr>
          <w:trHeight w:val="171"/>
        </w:trPr>
        <w:tc>
          <w:tcPr>
            <w:tcW w:w="7800" w:type="dxa"/>
            <w:vAlign w:val="bottom"/>
          </w:tcPr>
          <w:p>
            <w:pPr>
              <w:ind w:left="52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157,552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190,506</w:t>
            </w: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174625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00"/>
          </w:cols>
          <w:pgMar w:left="740" w:top="634" w:right="75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ind w:left="30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79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2021</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90,152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goods sold</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15,705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10,428</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90,704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79,724</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0" w:type="dxa"/>
            <w:vAlign w:val="bottom"/>
          </w:tcPr>
          <w:p>
            <w:pPr>
              <w:spacing w:after="0"/>
              <w:rPr>
                <w:sz w:val="15"/>
                <w:szCs w:val="15"/>
                <w:color w:val="auto"/>
              </w:rPr>
            </w:pPr>
          </w:p>
        </w:tc>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93,884</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7900" w:type="dxa"/>
            <w:vAlign w:val="bottom"/>
          </w:tcPr>
          <w:p>
            <w:pPr>
              <w:ind w:left="36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13,627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12,441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 w:type="dxa"/>
            <w:vAlign w:val="bottom"/>
          </w:tcPr>
          <w:p>
            <w:pPr>
              <w:spacing w:after="0"/>
              <w:rPr>
                <w:sz w:val="15"/>
                <w:szCs w:val="15"/>
                <w:color w:val="auto"/>
              </w:rPr>
            </w:pPr>
          </w:p>
        </w:tc>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25,069</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150,313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131,394</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(59,609)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(51,670)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Interest and other income (expense), net:</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 w:type="dxa"/>
            <w:vAlign w:val="bottom"/>
          </w:tcPr>
          <w:p>
            <w:pPr>
              <w:spacing w:after="0"/>
              <w:rPr>
                <w:sz w:val="15"/>
                <w:szCs w:val="15"/>
                <w:color w:val="auto"/>
              </w:rPr>
            </w:pPr>
          </w:p>
        </w:tc>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790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(5,365)</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 w:type="dxa"/>
            <w:vAlign w:val="bottom"/>
          </w:tcPr>
          <w:p>
            <w:pPr>
              <w:spacing w:after="0"/>
              <w:rPr>
                <w:sz w:val="15"/>
                <w:szCs w:val="15"/>
                <w:color w:val="auto"/>
              </w:rPr>
            </w:pPr>
          </w:p>
        </w:tc>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Net loss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(61,256)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(56,572)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 w:type="dxa"/>
            <w:vAlign w:val="bottom"/>
          </w:tcPr>
          <w:p>
            <w:pPr>
              <w:spacing w:after="0"/>
              <w:rPr>
                <w:sz w:val="15"/>
                <w:szCs w:val="15"/>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7900" w:type="dxa"/>
            <w:vAlign w:val="bottom"/>
          </w:tcPr>
          <w:p>
            <w:pPr>
              <w:ind w:left="400"/>
              <w:spacing w:after="0"/>
              <w:rPr>
                <w:sz w:val="20"/>
                <w:szCs w:val="20"/>
                <w:color w:val="auto"/>
              </w:rPr>
            </w:pPr>
            <w:r>
              <w:rPr>
                <w:rFonts w:ascii="Arial" w:cs="Arial" w:eastAsia="Arial" w:hAnsi="Arial"/>
                <w:sz w:val="14"/>
                <w:szCs w:val="14"/>
                <w:color w:val="auto"/>
              </w:rPr>
              <w:t>Unrealized loss of marketable securities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 w:type="dxa"/>
            <w:vAlign w:val="bottom"/>
          </w:tcPr>
          <w:p>
            <w:pPr>
              <w:spacing w:after="0"/>
              <w:rPr>
                <w:sz w:val="15"/>
                <w:szCs w:val="15"/>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Changes in foreign currency translation</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(61,376)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(56,744)</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 w:type="dxa"/>
            <w:vAlign w:val="bottom"/>
          </w:tcPr>
          <w:p>
            <w:pPr>
              <w:spacing w:after="0"/>
              <w:rPr>
                <w:sz w:val="14"/>
                <w:szCs w:val="14"/>
                <w:color w:val="auto"/>
              </w:rPr>
            </w:pPr>
          </w:p>
        </w:tc>
        <w:tc>
          <w:tcPr>
            <w:tcW w:w="7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Net loss per share, basic and diluted</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 w:type="dxa"/>
            <w:vAlign w:val="bottom"/>
          </w:tcPr>
          <w:p>
            <w:pPr>
              <w:spacing w:after="0"/>
              <w:rPr>
                <w:sz w:val="14"/>
                <w:szCs w:val="14"/>
                <w:color w:val="auto"/>
              </w:rPr>
            </w:pPr>
          </w:p>
        </w:tc>
        <w:tc>
          <w:tcPr>
            <w:tcW w:w="7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Weighted-average number of common shares used to compute basic and diluted net loss per share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34,201,824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33,145,930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900" w:type="dxa"/>
            <w:vAlign w:val="bottom"/>
            <w:vMerge w:val="restart"/>
          </w:tcPr>
          <w:p>
            <w:pPr>
              <w:jc w:val="center"/>
              <w:ind w:left="2529"/>
              <w:spacing w:after="0"/>
              <w:rPr>
                <w:sz w:val="20"/>
                <w:szCs w:val="20"/>
                <w:color w:val="auto"/>
              </w:rPr>
            </w:pPr>
            <w:r>
              <w:rPr>
                <w:rFonts w:ascii="Arial" w:cs="Arial" w:eastAsia="Arial" w:hAnsi="Arial"/>
                <w:sz w:val="14"/>
                <w:szCs w:val="14"/>
                <w:color w:val="auto"/>
                <w:w w:val="90"/>
              </w:rPr>
              <w:t>The accompanying notes are an integral part of these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0"/>
        </w:trPr>
        <w:tc>
          <w:tcPr>
            <w:tcW w:w="8300" w:type="dxa"/>
            <w:vAlign w:val="bottom"/>
            <w:gridSpan w:val="2"/>
          </w:tcPr>
          <w:p>
            <w:pPr>
              <w:jc w:val="right"/>
              <w:ind w:right="2509"/>
              <w:spacing w:after="0"/>
              <w:rPr>
                <w:sz w:val="20"/>
                <w:szCs w:val="20"/>
                <w:color w:val="auto"/>
              </w:rPr>
            </w:pPr>
            <w:r>
              <w:rPr>
                <w:rFonts w:ascii="Arial" w:cs="Arial" w:eastAsia="Arial" w:hAnsi="Arial"/>
                <w:sz w:val="14"/>
                <w:szCs w:val="14"/>
                <w:color w:val="auto"/>
              </w:rPr>
              <w:t>75</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0" w:type="dxa"/>
            <w:vAlign w:val="bottom"/>
            <w:tcBorders>
              <w:bottom w:val="single" w:sz="8" w:color="9A9A9A"/>
            </w:tcBorders>
          </w:tcPr>
          <w:p>
            <w:pPr>
              <w:spacing w:after="0"/>
              <w:rPr>
                <w:sz w:val="7"/>
                <w:szCs w:val="7"/>
                <w:color w:val="auto"/>
              </w:rPr>
            </w:pPr>
          </w:p>
        </w:tc>
        <w:tc>
          <w:tcPr>
            <w:tcW w:w="7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restart"/>
          </w:tcPr>
          <w:p>
            <w:pPr>
              <w:jc w:val="center"/>
              <w:ind w:right="5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1700" w:type="dxa"/>
            <w:vAlign w:val="bottom"/>
            <w:gridSpan w:val="3"/>
            <w:vMerge w:val="restart"/>
          </w:tcPr>
          <w:p>
            <w:pPr>
              <w:jc w:val="right"/>
              <w:ind w:right="252"/>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1700" w:type="dxa"/>
            <w:vAlign w:val="bottom"/>
            <w:tcBorders>
              <w:bottom w:val="single" w:sz="8" w:color="auto"/>
            </w:tcBorders>
            <w:gridSpan w:val="3"/>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w w:val="99"/>
              </w:rPr>
              <w:t>Paid-in</w:t>
            </w:r>
          </w:p>
        </w:tc>
        <w:tc>
          <w:tcPr>
            <w:tcW w:w="80" w:type="dxa"/>
            <w:vAlign w:val="bottom"/>
          </w:tcPr>
          <w:p>
            <w:pPr>
              <w:spacing w:after="0"/>
              <w:rPr>
                <w:sz w:val="10"/>
                <w:szCs w:val="10"/>
                <w:color w:val="auto"/>
              </w:rPr>
            </w:pPr>
          </w:p>
        </w:tc>
        <w:tc>
          <w:tcPr>
            <w:tcW w:w="10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w w:val="93"/>
              </w:rPr>
              <w:t>Comprehensive</w:t>
            </w:r>
          </w:p>
        </w:tc>
        <w:tc>
          <w:tcPr>
            <w:tcW w:w="100" w:type="dxa"/>
            <w:vAlign w:val="bottom"/>
          </w:tcPr>
          <w:p>
            <w:pPr>
              <w:spacing w:after="0"/>
              <w:rPr>
                <w:sz w:val="10"/>
                <w:szCs w:val="10"/>
                <w:color w:val="auto"/>
              </w:rPr>
            </w:pPr>
          </w:p>
        </w:tc>
        <w:tc>
          <w:tcPr>
            <w:tcW w:w="940" w:type="dxa"/>
            <w:vAlign w:val="bottom"/>
            <w:gridSpan w:val="2"/>
          </w:tcPr>
          <w:p>
            <w:pPr>
              <w:spacing w:after="0" w:line="107"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0"/>
                <w:szCs w:val="10"/>
                <w:color w:val="auto"/>
              </w:rPr>
            </w:pPr>
          </w:p>
        </w:tc>
        <w:tc>
          <w:tcPr>
            <w:tcW w:w="880" w:type="dxa"/>
            <w:vAlign w:val="bottom"/>
          </w:tcPr>
          <w:p>
            <w:pPr>
              <w:jc w:val="center"/>
              <w:ind w:right="31"/>
              <w:spacing w:after="0" w:line="107"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00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Income</w:t>
            </w:r>
          </w:p>
        </w:tc>
        <w:tc>
          <w:tcPr>
            <w:tcW w:w="100" w:type="dxa"/>
            <w:vAlign w:val="bottom"/>
          </w:tcPr>
          <w:p>
            <w:pPr>
              <w:spacing w:after="0"/>
              <w:rPr>
                <w:sz w:val="13"/>
                <w:szCs w:val="13"/>
                <w:color w:val="auto"/>
              </w:rPr>
            </w:pPr>
          </w:p>
        </w:tc>
        <w:tc>
          <w:tcPr>
            <w:tcW w:w="940" w:type="dxa"/>
            <w:vAlign w:val="bottom"/>
            <w:gridSpan w:val="2"/>
          </w:tcPr>
          <w:p>
            <w:pPr>
              <w:ind w:left="20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880" w:type="dxa"/>
            <w:vAlign w:val="bottom"/>
          </w:tcPr>
          <w:p>
            <w:pPr>
              <w:jc w:val="center"/>
              <w:ind w:right="31"/>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32,583,220</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408,113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(239,277)</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169,363</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Arial" w:cs="Arial" w:eastAsia="Arial" w:hAnsi="Arial"/>
                <w:sz w:val="14"/>
                <w:szCs w:val="14"/>
                <w:color w:val="auto"/>
                <w:w w:val="99"/>
              </w:rPr>
              <w:t>Issuance of common stock upon exercise of stock options, net of shares withheld</w:t>
            </w:r>
          </w:p>
        </w:tc>
        <w:tc>
          <w:tcPr>
            <w:tcW w:w="920" w:type="dxa"/>
            <w:vAlign w:val="bottom"/>
          </w:tcPr>
          <w:p>
            <w:pPr>
              <w:jc w:val="right"/>
              <w:spacing w:after="0"/>
              <w:rPr>
                <w:sz w:val="20"/>
                <w:szCs w:val="20"/>
                <w:color w:val="auto"/>
              </w:rPr>
            </w:pPr>
            <w:r>
              <w:rPr>
                <w:rFonts w:ascii="Arial" w:cs="Arial" w:eastAsia="Arial" w:hAnsi="Arial"/>
                <w:sz w:val="14"/>
                <w:szCs w:val="14"/>
                <w:color w:val="auto"/>
              </w:rPr>
              <w:t>369,375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related to employee stock 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147,295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Arial" w:cs="Arial" w:eastAsia="Arial" w:hAnsi="Arial"/>
                <w:sz w:val="14"/>
                <w:szCs w:val="14"/>
                <w:color w:val="auto"/>
              </w:rPr>
              <w:t>Issuance of common stock upon vesting of restricted stock units</w:t>
            </w:r>
          </w:p>
        </w:tc>
        <w:tc>
          <w:tcPr>
            <w:tcW w:w="920" w:type="dxa"/>
            <w:vAlign w:val="bottom"/>
          </w:tcPr>
          <w:p>
            <w:pPr>
              <w:jc w:val="right"/>
              <w:spacing w:after="0"/>
              <w:rPr>
                <w:sz w:val="20"/>
                <w:szCs w:val="20"/>
                <w:color w:val="auto"/>
              </w:rPr>
            </w:pPr>
            <w:r>
              <w:rPr>
                <w:rFonts w:ascii="Arial" w:cs="Arial" w:eastAsia="Arial" w:hAnsi="Arial"/>
                <w:sz w:val="14"/>
                <w:szCs w:val="14"/>
                <w:color w:val="auto"/>
              </w:rPr>
              <w:t>574,195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16,866</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Arial" w:cs="Arial" w:eastAsia="Arial" w:hAnsi="Arial"/>
                <w:sz w:val="14"/>
                <w:szCs w:val="14"/>
                <w:color w:val="auto"/>
              </w:rPr>
              <w:t>Vesting of early exercised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Arial" w:cs="Arial" w:eastAsia="Arial" w:hAnsi="Arial"/>
                <w:sz w:val="14"/>
                <w:szCs w:val="14"/>
                <w:color w:val="auto"/>
              </w:rPr>
              <w:t>Net unrealized loss on marketable securities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(56,572)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(56,572)</w:t>
            </w: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Balances as of December 31, 2021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33,674,085</w:t>
            </w: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429,914</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352</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(295,849)</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134,420</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Issuance of common stock upon exercise of stock options, net of shares withheld</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80,571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Arial" w:cs="Arial" w:eastAsia="Arial" w:hAnsi="Arial"/>
                <w:sz w:val="14"/>
                <w:szCs w:val="14"/>
                <w:color w:val="auto"/>
              </w:rPr>
              <w:t>Issuance of common stock related to employee stock purchase plan</w:t>
            </w:r>
          </w:p>
        </w:tc>
        <w:tc>
          <w:tcPr>
            <w:tcW w:w="920" w:type="dxa"/>
            <w:vAlign w:val="bottom"/>
          </w:tcPr>
          <w:p>
            <w:pPr>
              <w:jc w:val="right"/>
              <w:spacing w:after="0"/>
              <w:rPr>
                <w:sz w:val="20"/>
                <w:szCs w:val="20"/>
                <w:color w:val="auto"/>
              </w:rPr>
            </w:pPr>
            <w:r>
              <w:rPr>
                <w:rFonts w:ascii="Arial" w:cs="Arial" w:eastAsia="Arial" w:hAnsi="Arial"/>
                <w:sz w:val="14"/>
                <w:szCs w:val="14"/>
                <w:color w:val="auto"/>
              </w:rPr>
              <w:t>170,717</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vesting 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806,204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23,061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23,061</w:t>
            </w:r>
          </w:p>
        </w:tc>
        <w:tc>
          <w:tcPr>
            <w:tcW w:w="0" w:type="dxa"/>
            <w:vAlign w:val="bottom"/>
          </w:tcPr>
          <w:p>
            <w:pPr>
              <w:spacing w:after="0"/>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Arial" w:cs="Arial" w:eastAsia="Arial" w:hAnsi="Arial"/>
                <w:sz w:val="14"/>
                <w:szCs w:val="14"/>
                <w:color w:val="auto"/>
              </w:rPr>
              <w:t>Net unrealized loss on marketable securities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(61,256)</w:t>
            </w: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Balances as of December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34,731,577</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455,172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(357,105)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98,302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174625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60" w:top="730" w:right="3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00" w:type="dxa"/>
            <w:vAlign w:val="bottom"/>
          </w:tcPr>
          <w:p>
            <w:pPr>
              <w:spacing w:after="0"/>
              <w:rPr>
                <w:sz w:val="13"/>
                <w:szCs w:val="13"/>
                <w:color w:val="auto"/>
              </w:rPr>
            </w:pPr>
          </w:p>
        </w:tc>
        <w:tc>
          <w:tcPr>
            <w:tcW w:w="21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1"/>
                <w:szCs w:val="11"/>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7800" w:type="dxa"/>
            <w:vAlign w:val="bottom"/>
            <w:shd w:val="clear" w:color="auto" w:fill="CCEEFF"/>
          </w:tcPr>
          <w:p>
            <w:pPr>
              <w:ind w:left="180"/>
              <w:spacing w:after="0"/>
              <w:rPr>
                <w:sz w:val="20"/>
                <w:szCs w:val="20"/>
                <w:color w:val="auto"/>
              </w:rPr>
            </w:pPr>
            <w:r>
              <w:rPr>
                <w:rFonts w:ascii="Arial" w:cs="Arial" w:eastAsia="Arial" w:hAnsi="Arial"/>
                <w:sz w:val="11"/>
                <w:szCs w:val="11"/>
                <w:b w:val="1"/>
                <w:bCs w:val="1"/>
                <w:color w:val="auto"/>
              </w:rPr>
              <w:t>Cash flows from operating activities</w:t>
            </w: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800" w:type="dxa"/>
            <w:vAlign w:val="bottom"/>
          </w:tcPr>
          <w:p>
            <w:pPr>
              <w:ind w:left="180"/>
              <w:spacing w:after="0"/>
              <w:rPr>
                <w:sz w:val="20"/>
                <w:szCs w:val="20"/>
                <w:color w:val="auto"/>
              </w:rPr>
            </w:pPr>
            <w:r>
              <w:rPr>
                <w:rFonts w:ascii="Arial" w:cs="Arial" w:eastAsia="Arial" w:hAnsi="Arial"/>
                <w:sz w:val="11"/>
                <w:szCs w:val="11"/>
                <w:color w:val="auto"/>
              </w:rPr>
              <w:t>Net loss</w:t>
            </w:r>
          </w:p>
        </w:tc>
        <w:tc>
          <w:tcPr>
            <w:tcW w:w="780" w:type="dxa"/>
            <w:vAlign w:val="bottom"/>
          </w:tcPr>
          <w:p>
            <w:pPr>
              <w:jc w:val="right"/>
              <w:ind w:right="64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(61,256)</w:t>
            </w:r>
          </w:p>
        </w:tc>
        <w:tc>
          <w:tcPr>
            <w:tcW w:w="100" w:type="dxa"/>
            <w:vAlign w:val="bottom"/>
          </w:tcPr>
          <w:p>
            <w:pPr>
              <w:spacing w:after="0"/>
              <w:rPr>
                <w:sz w:val="13"/>
                <w:szCs w:val="13"/>
                <w:color w:val="auto"/>
              </w:rPr>
            </w:pPr>
          </w:p>
        </w:tc>
        <w:tc>
          <w:tcPr>
            <w:tcW w:w="760" w:type="dxa"/>
            <w:vAlign w:val="bottom"/>
          </w:tcPr>
          <w:p>
            <w:pPr>
              <w:jc w:val="right"/>
              <w:ind w:right="648"/>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(56,572)</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800" w:type="dxa"/>
            <w:vAlign w:val="bottom"/>
          </w:tcPr>
          <w:p>
            <w:pPr>
              <w:ind w:left="520"/>
              <w:spacing w:after="0"/>
              <w:rPr>
                <w:sz w:val="20"/>
                <w:szCs w:val="20"/>
                <w:color w:val="auto"/>
              </w:rPr>
            </w:pPr>
            <w:r>
              <w:rPr>
                <w:rFonts w:ascii="Arial" w:cs="Arial" w:eastAsia="Arial" w:hAnsi="Arial"/>
                <w:sz w:val="11"/>
                <w:szCs w:val="11"/>
                <w:color w:val="auto"/>
              </w:rPr>
              <w:t>Stock-based compensation</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23,061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16,866</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560"/>
              <w:spacing w:after="0"/>
              <w:rPr>
                <w:sz w:val="20"/>
                <w:szCs w:val="20"/>
                <w:color w:val="auto"/>
              </w:rPr>
            </w:pPr>
            <w:r>
              <w:rPr>
                <w:rFonts w:ascii="Arial" w:cs="Arial" w:eastAsia="Arial" w:hAnsi="Arial"/>
                <w:sz w:val="11"/>
                <w:szCs w:val="11"/>
                <w:color w:val="auto"/>
              </w:rPr>
              <w:t>Depreciation and amortization</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3,452</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2,086</w:t>
            </w:r>
          </w:p>
        </w:tc>
        <w:tc>
          <w:tcPr>
            <w:tcW w:w="0" w:type="dxa"/>
            <w:vAlign w:val="bottom"/>
          </w:tcPr>
          <w:p>
            <w:pPr>
              <w:spacing w:after="0"/>
              <w:rPr>
                <w:sz w:val="1"/>
                <w:szCs w:val="1"/>
                <w:color w:val="auto"/>
              </w:rPr>
            </w:pPr>
          </w:p>
        </w:tc>
      </w:tr>
      <w:tr>
        <w:trPr>
          <w:trHeight w:val="152"/>
        </w:trPr>
        <w:tc>
          <w:tcPr>
            <w:tcW w:w="7800" w:type="dxa"/>
            <w:vAlign w:val="bottom"/>
          </w:tcPr>
          <w:p>
            <w:pPr>
              <w:ind w:left="540"/>
              <w:spacing w:after="0"/>
              <w:rPr>
                <w:sz w:val="20"/>
                <w:szCs w:val="20"/>
                <w:color w:val="auto"/>
              </w:rPr>
            </w:pPr>
            <w:r>
              <w:rPr>
                <w:rFonts w:ascii="Arial" w:cs="Arial" w:eastAsia="Arial" w:hAnsi="Arial"/>
                <w:sz w:val="11"/>
                <w:szCs w:val="11"/>
                <w:color w:val="auto"/>
              </w:rPr>
              <w:t>Accounts receivable credit losses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Accretion of discount on marketable securities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1,294</w:t>
            </w:r>
          </w:p>
        </w:tc>
        <w:tc>
          <w:tcPr>
            <w:tcW w:w="0" w:type="dxa"/>
            <w:vAlign w:val="bottom"/>
          </w:tcPr>
          <w:p>
            <w:pPr>
              <w:spacing w:after="0"/>
              <w:rPr>
                <w:sz w:val="1"/>
                <w:szCs w:val="1"/>
                <w:color w:val="auto"/>
              </w:rPr>
            </w:pPr>
          </w:p>
        </w:tc>
      </w:tr>
      <w:tr>
        <w:trPr>
          <w:trHeight w:val="152"/>
        </w:trPr>
        <w:tc>
          <w:tcPr>
            <w:tcW w:w="7800" w:type="dxa"/>
            <w:vAlign w:val="bottom"/>
          </w:tcPr>
          <w:p>
            <w:pPr>
              <w:ind w:left="520"/>
              <w:spacing w:after="0"/>
              <w:rPr>
                <w:sz w:val="20"/>
                <w:szCs w:val="20"/>
                <w:color w:val="auto"/>
              </w:rPr>
            </w:pPr>
            <w:r>
              <w:rPr>
                <w:rFonts w:ascii="Arial" w:cs="Arial" w:eastAsia="Arial" w:hAnsi="Arial"/>
                <w:sz w:val="11"/>
                <w:szCs w:val="11"/>
                <w:color w:val="auto"/>
              </w:rPr>
              <w:t>Amortization of debt issuance costs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288</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560"/>
              <w:spacing w:after="0"/>
              <w:rPr>
                <w:sz w:val="20"/>
                <w:szCs w:val="20"/>
                <w:color w:val="auto"/>
              </w:rPr>
            </w:pPr>
            <w:r>
              <w:rPr>
                <w:rFonts w:ascii="Arial" w:cs="Arial" w:eastAsia="Arial" w:hAnsi="Arial"/>
                <w:sz w:val="11"/>
                <w:szCs w:val="11"/>
                <w:color w:val="auto"/>
              </w:rPr>
              <w:t>Loss on extinguishment of debt</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1,848</w:t>
            </w:r>
          </w:p>
        </w:tc>
        <w:tc>
          <w:tcPr>
            <w:tcW w:w="0" w:type="dxa"/>
            <w:vAlign w:val="bottom"/>
          </w:tcPr>
          <w:p>
            <w:pPr>
              <w:spacing w:after="0"/>
              <w:rPr>
                <w:sz w:val="1"/>
                <w:szCs w:val="1"/>
                <w:color w:val="auto"/>
              </w:rPr>
            </w:pPr>
          </w:p>
        </w:tc>
      </w:tr>
      <w:tr>
        <w:trPr>
          <w:trHeight w:val="152"/>
        </w:trPr>
        <w:tc>
          <w:tcPr>
            <w:tcW w:w="7800" w:type="dxa"/>
            <w:vAlign w:val="bottom"/>
          </w:tcPr>
          <w:p>
            <w:pPr>
              <w:ind w:left="520"/>
              <w:spacing w:after="0"/>
              <w:rPr>
                <w:sz w:val="20"/>
                <w:szCs w:val="20"/>
                <w:color w:val="auto"/>
              </w:rPr>
            </w:pPr>
            <w:r>
              <w:rPr>
                <w:rFonts w:ascii="Arial" w:cs="Arial" w:eastAsia="Arial" w:hAnsi="Arial"/>
                <w:sz w:val="11"/>
                <w:szCs w:val="11"/>
                <w:color w:val="auto"/>
              </w:rPr>
              <w:t>Loss on sale and disposal of property and equipment</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Changes in operating assets and liabilities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800" w:type="dxa"/>
            <w:vAlign w:val="bottom"/>
          </w:tcPr>
          <w:p>
            <w:pPr>
              <w:ind w:left="520"/>
              <w:spacing w:after="0"/>
              <w:rPr>
                <w:sz w:val="20"/>
                <w:szCs w:val="20"/>
                <w:color w:val="auto"/>
              </w:rPr>
            </w:pPr>
            <w:r>
              <w:rPr>
                <w:rFonts w:ascii="Arial" w:cs="Arial" w:eastAsia="Arial" w:hAnsi="Arial"/>
                <w:sz w:val="11"/>
                <w:szCs w:val="11"/>
                <w:color w:val="auto"/>
              </w:rPr>
              <w:t>Accounts receivable</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(6,479)</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(569)</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Inventory</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(5,709)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(5,784)</w:t>
            </w:r>
          </w:p>
        </w:tc>
        <w:tc>
          <w:tcPr>
            <w:tcW w:w="0" w:type="dxa"/>
            <w:vAlign w:val="bottom"/>
          </w:tcPr>
          <w:p>
            <w:pPr>
              <w:spacing w:after="0"/>
              <w:rPr>
                <w:sz w:val="1"/>
                <w:szCs w:val="1"/>
                <w:color w:val="auto"/>
              </w:rPr>
            </w:pPr>
          </w:p>
        </w:tc>
      </w:tr>
      <w:tr>
        <w:trPr>
          <w:trHeight w:val="152"/>
        </w:trPr>
        <w:tc>
          <w:tcPr>
            <w:tcW w:w="7800" w:type="dxa"/>
            <w:vAlign w:val="bottom"/>
          </w:tcPr>
          <w:p>
            <w:pPr>
              <w:ind w:left="520"/>
              <w:spacing w:after="0"/>
              <w:rPr>
                <w:sz w:val="20"/>
                <w:szCs w:val="20"/>
                <w:color w:val="auto"/>
              </w:rPr>
            </w:pPr>
            <w:r>
              <w:rPr>
                <w:rFonts w:ascii="Arial" w:cs="Arial" w:eastAsia="Arial" w:hAnsi="Arial"/>
                <w:sz w:val="11"/>
                <w:szCs w:val="11"/>
                <w:color w:val="auto"/>
              </w:rPr>
              <w:t>Prepaid expenses and other assets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810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(594)</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Accounts payable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w:t>
            </w:r>
          </w:p>
        </w:tc>
        <w:tc>
          <w:tcPr>
            <w:tcW w:w="0" w:type="dxa"/>
            <w:vAlign w:val="bottom"/>
          </w:tcPr>
          <w:p>
            <w:pPr>
              <w:spacing w:after="0"/>
              <w:rPr>
                <w:sz w:val="1"/>
                <w:szCs w:val="1"/>
                <w:color w:val="auto"/>
              </w:rPr>
            </w:pPr>
          </w:p>
        </w:tc>
      </w:tr>
      <w:tr>
        <w:trPr>
          <w:trHeight w:val="152"/>
        </w:trPr>
        <w:tc>
          <w:tcPr>
            <w:tcW w:w="780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Accrued liabilities and other</w:t>
            </w: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1,207</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1,723</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900"/>
              <w:spacing w:after="0"/>
              <w:rPr>
                <w:sz w:val="20"/>
                <w:szCs w:val="20"/>
                <w:color w:val="auto"/>
              </w:rPr>
            </w:pPr>
            <w:r>
              <w:rPr>
                <w:rFonts w:ascii="Arial" w:cs="Arial" w:eastAsia="Arial" w:hAnsi="Arial"/>
                <w:sz w:val="11"/>
                <w:szCs w:val="11"/>
                <w:color w:val="auto"/>
              </w:rPr>
              <w:t>Net cash used in operating activities</w:t>
            </w: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(41,655)</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(39,533)</w:t>
            </w:r>
          </w:p>
        </w:tc>
        <w:tc>
          <w:tcPr>
            <w:tcW w:w="0" w:type="dxa"/>
            <w:vAlign w:val="bottom"/>
          </w:tcPr>
          <w:p>
            <w:pPr>
              <w:spacing w:after="0"/>
              <w:rPr>
                <w:sz w:val="1"/>
                <w:szCs w:val="1"/>
                <w:color w:val="auto"/>
              </w:rPr>
            </w:pPr>
          </w:p>
        </w:tc>
      </w:tr>
      <w:tr>
        <w:trPr>
          <w:trHeight w:val="133"/>
        </w:trPr>
        <w:tc>
          <w:tcPr>
            <w:tcW w:w="7800" w:type="dxa"/>
            <w:vAlign w:val="bottom"/>
          </w:tcPr>
          <w:p>
            <w:pPr>
              <w:ind w:left="180"/>
              <w:spacing w:after="0"/>
              <w:rPr>
                <w:sz w:val="20"/>
                <w:szCs w:val="20"/>
                <w:color w:val="auto"/>
              </w:rPr>
            </w:pPr>
            <w:r>
              <w:rPr>
                <w:rFonts w:ascii="Arial" w:cs="Arial" w:eastAsia="Arial" w:hAnsi="Arial"/>
                <w:sz w:val="11"/>
                <w:szCs w:val="11"/>
                <w:b w:val="1"/>
                <w:bCs w:val="1"/>
                <w:color w:val="auto"/>
              </w:rPr>
              <w:t>Cash flows from investing activities</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8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Maturities of marketable securities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126,200</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159,990</w:t>
            </w:r>
          </w:p>
        </w:tc>
        <w:tc>
          <w:tcPr>
            <w:tcW w:w="0" w:type="dxa"/>
            <w:vAlign w:val="bottom"/>
          </w:tcPr>
          <w:p>
            <w:pPr>
              <w:spacing w:after="0"/>
              <w:rPr>
                <w:sz w:val="1"/>
                <w:szCs w:val="1"/>
                <w:color w:val="auto"/>
              </w:rPr>
            </w:pPr>
          </w:p>
        </w:tc>
      </w:tr>
      <w:tr>
        <w:trPr>
          <w:trHeight w:val="152"/>
        </w:trPr>
        <w:tc>
          <w:tcPr>
            <w:tcW w:w="7800" w:type="dxa"/>
            <w:vAlign w:val="bottom"/>
          </w:tcPr>
          <w:p>
            <w:pPr>
              <w:ind w:left="520"/>
              <w:spacing w:after="0"/>
              <w:rPr>
                <w:sz w:val="20"/>
                <w:szCs w:val="20"/>
                <w:color w:val="auto"/>
              </w:rPr>
            </w:pPr>
            <w:r>
              <w:rPr>
                <w:rFonts w:ascii="Arial" w:cs="Arial" w:eastAsia="Arial" w:hAnsi="Arial"/>
                <w:sz w:val="11"/>
                <w:szCs w:val="11"/>
                <w:color w:val="auto"/>
              </w:rPr>
              <w:t>Purchases of marketable securities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3"/>
              </w:rPr>
              <w:t>(119,508)</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3"/>
              </w:rPr>
              <w:t>(102,021)</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Purchases of property and equipment</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(9,507)</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(6,389)</w:t>
            </w:r>
          </w:p>
        </w:tc>
        <w:tc>
          <w:tcPr>
            <w:tcW w:w="0" w:type="dxa"/>
            <w:vAlign w:val="bottom"/>
          </w:tcPr>
          <w:p>
            <w:pPr>
              <w:spacing w:after="0"/>
              <w:rPr>
                <w:sz w:val="1"/>
                <w:szCs w:val="1"/>
                <w:color w:val="auto"/>
              </w:rPr>
            </w:pPr>
          </w:p>
        </w:tc>
      </w:tr>
      <w:tr>
        <w:trPr>
          <w:trHeight w:val="143"/>
        </w:trPr>
        <w:tc>
          <w:tcPr>
            <w:tcW w:w="7800" w:type="dxa"/>
            <w:vAlign w:val="bottom"/>
            <w:tcBorders>
              <w:bottom w:val="single" w:sz="8" w:color="CCEEFF"/>
            </w:tcBorders>
          </w:tcPr>
          <w:p>
            <w:pPr>
              <w:ind w:left="900"/>
              <w:spacing w:after="0" w:line="125" w:lineRule="exact"/>
              <w:rPr>
                <w:sz w:val="20"/>
                <w:szCs w:val="20"/>
                <w:color w:val="auto"/>
              </w:rPr>
            </w:pPr>
            <w:r>
              <w:rPr>
                <w:rFonts w:ascii="Arial" w:cs="Arial" w:eastAsia="Arial" w:hAnsi="Arial"/>
                <w:sz w:val="11"/>
                <w:szCs w:val="11"/>
                <w:color w:val="auto"/>
              </w:rPr>
              <w:t>Net cash (used in) provided by investing activities</w:t>
            </w:r>
          </w:p>
        </w:tc>
        <w:tc>
          <w:tcPr>
            <w:tcW w:w="7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(2,815)</w:t>
            </w: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51,580</w:t>
            </w:r>
          </w:p>
        </w:tc>
        <w:tc>
          <w:tcPr>
            <w:tcW w:w="0" w:type="dxa"/>
            <w:vAlign w:val="bottom"/>
          </w:tcPr>
          <w:p>
            <w:pPr>
              <w:spacing w:after="0"/>
              <w:rPr>
                <w:sz w:val="1"/>
                <w:szCs w:val="1"/>
                <w:color w:val="auto"/>
              </w:rPr>
            </w:pPr>
          </w:p>
        </w:tc>
      </w:tr>
      <w:tr>
        <w:trPr>
          <w:trHeight w:val="146"/>
        </w:trPr>
        <w:tc>
          <w:tcPr>
            <w:tcW w:w="7800" w:type="dxa"/>
            <w:vAlign w:val="bottom"/>
            <w:shd w:val="clear" w:color="auto" w:fill="CCEEFF"/>
          </w:tcPr>
          <w:p>
            <w:pPr>
              <w:ind w:left="180"/>
              <w:spacing w:after="0"/>
              <w:rPr>
                <w:sz w:val="20"/>
                <w:szCs w:val="20"/>
                <w:color w:val="auto"/>
              </w:rPr>
            </w:pPr>
            <w:r>
              <w:rPr>
                <w:rFonts w:ascii="Arial" w:cs="Arial" w:eastAsia="Arial" w:hAnsi="Arial"/>
                <w:sz w:val="11"/>
                <w:szCs w:val="11"/>
                <w:b w:val="1"/>
                <w:bCs w:val="1"/>
                <w:color w:val="auto"/>
              </w:rPr>
              <w:t>Cash flows from financing activities</w:t>
            </w: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800" w:type="dxa"/>
            <w:vAlign w:val="bottom"/>
          </w:tcPr>
          <w:p>
            <w:pPr>
              <w:ind w:left="520"/>
              <w:spacing w:after="0"/>
              <w:rPr>
                <w:sz w:val="20"/>
                <w:szCs w:val="20"/>
                <w:color w:val="auto"/>
              </w:rPr>
            </w:pPr>
            <w:r>
              <w:rPr>
                <w:rFonts w:ascii="Arial" w:cs="Arial" w:eastAsia="Arial" w:hAnsi="Arial"/>
                <w:sz w:val="11"/>
                <w:szCs w:val="11"/>
                <w:color w:val="auto"/>
              </w:rPr>
              <w:t>Proceeds from debt financing</w:t>
            </w:r>
          </w:p>
        </w:tc>
        <w:tc>
          <w:tcPr>
            <w:tcW w:w="7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35,000</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Repayments of debt financing</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(41,000)</w:t>
            </w:r>
          </w:p>
        </w:tc>
        <w:tc>
          <w:tcPr>
            <w:tcW w:w="0" w:type="dxa"/>
            <w:vAlign w:val="bottom"/>
          </w:tcPr>
          <w:p>
            <w:pPr>
              <w:spacing w:after="0"/>
              <w:rPr>
                <w:sz w:val="1"/>
                <w:szCs w:val="1"/>
                <w:color w:val="auto"/>
              </w:rPr>
            </w:pPr>
          </w:p>
        </w:tc>
      </w:tr>
      <w:tr>
        <w:trPr>
          <w:trHeight w:val="152"/>
        </w:trPr>
        <w:tc>
          <w:tcPr>
            <w:tcW w:w="7800" w:type="dxa"/>
            <w:vAlign w:val="bottom"/>
          </w:tcPr>
          <w:p>
            <w:pPr>
              <w:ind w:left="520"/>
              <w:spacing w:after="0"/>
              <w:rPr>
                <w:sz w:val="20"/>
                <w:szCs w:val="20"/>
                <w:color w:val="auto"/>
              </w:rPr>
            </w:pPr>
            <w:r>
              <w:rPr>
                <w:rFonts w:ascii="Arial" w:cs="Arial" w:eastAsia="Arial" w:hAnsi="Arial"/>
                <w:sz w:val="11"/>
                <w:szCs w:val="11"/>
                <w:color w:val="auto"/>
              </w:rPr>
              <w:t>Payments of debt issuance costs</w:t>
            </w:r>
          </w:p>
        </w:tc>
        <w:tc>
          <w:tcPr>
            <w:tcW w:w="7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Payments of prepayment penalty and lender fees</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w:t>
            </w:r>
          </w:p>
        </w:tc>
        <w:tc>
          <w:tcPr>
            <w:tcW w:w="0" w:type="dxa"/>
            <w:vAlign w:val="bottom"/>
          </w:tcPr>
          <w:p>
            <w:pPr>
              <w:spacing w:after="0"/>
              <w:rPr>
                <w:sz w:val="1"/>
                <w:szCs w:val="1"/>
                <w:color w:val="auto"/>
              </w:rPr>
            </w:pPr>
          </w:p>
        </w:tc>
      </w:tr>
      <w:tr>
        <w:trPr>
          <w:trHeight w:val="152"/>
        </w:trPr>
        <w:tc>
          <w:tcPr>
            <w:tcW w:w="7800" w:type="dxa"/>
            <w:vAlign w:val="bottom"/>
          </w:tcPr>
          <w:p>
            <w:pPr>
              <w:ind w:left="520"/>
              <w:spacing w:after="0"/>
              <w:rPr>
                <w:sz w:val="20"/>
                <w:szCs w:val="20"/>
                <w:color w:val="auto"/>
              </w:rPr>
            </w:pPr>
            <w:r>
              <w:rPr>
                <w:rFonts w:ascii="Arial" w:cs="Arial" w:eastAsia="Arial" w:hAnsi="Arial"/>
                <w:sz w:val="11"/>
                <w:szCs w:val="11"/>
                <w:color w:val="auto"/>
              </w:rPr>
              <w:t>Proceeds from the exercise of common stock options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379</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2,565</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Proceeds from issuance of common stock under employee stock purchase plan</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1,818</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2,343</w:t>
            </w:r>
          </w:p>
        </w:tc>
        <w:tc>
          <w:tcPr>
            <w:tcW w:w="0" w:type="dxa"/>
            <w:vAlign w:val="bottom"/>
          </w:tcPr>
          <w:p>
            <w:pPr>
              <w:spacing w:after="0"/>
              <w:rPr>
                <w:sz w:val="1"/>
                <w:szCs w:val="1"/>
                <w:color w:val="auto"/>
              </w:rPr>
            </w:pPr>
          </w:p>
        </w:tc>
      </w:tr>
      <w:tr>
        <w:trPr>
          <w:trHeight w:val="143"/>
        </w:trPr>
        <w:tc>
          <w:tcPr>
            <w:tcW w:w="7800" w:type="dxa"/>
            <w:vAlign w:val="bottom"/>
            <w:tcBorders>
              <w:bottom w:val="single" w:sz="8" w:color="CCEEFF"/>
            </w:tcBorders>
          </w:tcPr>
          <w:p>
            <w:pPr>
              <w:ind w:left="740"/>
              <w:spacing w:after="0" w:line="125" w:lineRule="exact"/>
              <w:rPr>
                <w:sz w:val="20"/>
                <w:szCs w:val="20"/>
                <w:color w:val="auto"/>
              </w:rPr>
            </w:pPr>
            <w:r>
              <w:rPr>
                <w:rFonts w:ascii="Arial" w:cs="Arial" w:eastAsia="Arial" w:hAnsi="Arial"/>
                <w:sz w:val="11"/>
                <w:szCs w:val="11"/>
                <w:color w:val="auto"/>
              </w:rPr>
              <w:t>Net cash provided by (used in) financing activities</w:t>
            </w:r>
          </w:p>
        </w:tc>
        <w:tc>
          <w:tcPr>
            <w:tcW w:w="7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2,197</w:t>
            </w: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(1,711)</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Effect of exchange rate changes on cash and cash equivalents</w:t>
            </w: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(429)</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(498)</w:t>
            </w:r>
          </w:p>
        </w:tc>
        <w:tc>
          <w:tcPr>
            <w:tcW w:w="0" w:type="dxa"/>
            <w:vAlign w:val="bottom"/>
          </w:tcPr>
          <w:p>
            <w:pPr>
              <w:spacing w:after="0"/>
              <w:rPr>
                <w:sz w:val="1"/>
                <w:szCs w:val="1"/>
                <w:color w:val="auto"/>
              </w:rPr>
            </w:pPr>
          </w:p>
        </w:tc>
      </w:tr>
      <w:tr>
        <w:trPr>
          <w:trHeight w:val="143"/>
        </w:trPr>
        <w:tc>
          <w:tcPr>
            <w:tcW w:w="7800" w:type="dxa"/>
            <w:vAlign w:val="bottom"/>
          </w:tcPr>
          <w:p>
            <w:pPr>
              <w:ind w:left="740"/>
              <w:spacing w:after="0" w:line="125" w:lineRule="exact"/>
              <w:rPr>
                <w:sz w:val="20"/>
                <w:szCs w:val="20"/>
                <w:color w:val="auto"/>
              </w:rPr>
            </w:pPr>
            <w:r>
              <w:rPr>
                <w:rFonts w:ascii="Arial" w:cs="Arial" w:eastAsia="Arial" w:hAnsi="Arial"/>
                <w:sz w:val="11"/>
                <w:szCs w:val="11"/>
                <w:color w:val="auto"/>
              </w:rPr>
              <w:t>Net (decrease) increase in cash and cash equivalents</w:t>
            </w:r>
          </w:p>
        </w:tc>
        <w:tc>
          <w:tcPr>
            <w:tcW w:w="7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(42,702)</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9,838</w:t>
            </w: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180"/>
              <w:spacing w:after="0"/>
              <w:rPr>
                <w:sz w:val="20"/>
                <w:szCs w:val="20"/>
                <w:color w:val="auto"/>
              </w:rPr>
            </w:pPr>
            <w:r>
              <w:rPr>
                <w:rFonts w:ascii="Arial" w:cs="Arial" w:eastAsia="Arial" w:hAnsi="Arial"/>
                <w:sz w:val="11"/>
                <w:szCs w:val="11"/>
                <w:b w:val="1"/>
                <w:bCs w:val="1"/>
                <w:color w:val="auto"/>
              </w:rPr>
              <w:t>Cash and cash equivalents at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Beginning of year</w:t>
            </w: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63,419</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53,581</w:t>
            </w:r>
          </w:p>
        </w:tc>
        <w:tc>
          <w:tcPr>
            <w:tcW w:w="0" w:type="dxa"/>
            <w:vAlign w:val="bottom"/>
          </w:tcPr>
          <w:p>
            <w:pPr>
              <w:spacing w:after="0"/>
              <w:rPr>
                <w:sz w:val="1"/>
                <w:szCs w:val="1"/>
                <w:color w:val="auto"/>
              </w:rPr>
            </w:pPr>
          </w:p>
        </w:tc>
      </w:tr>
      <w:tr>
        <w:trPr>
          <w:trHeight w:val="175"/>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End of year</w:t>
            </w:r>
          </w:p>
        </w:tc>
        <w:tc>
          <w:tcPr>
            <w:tcW w:w="78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20,717</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63,419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78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78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paid for interest</w:t>
            </w:r>
          </w:p>
        </w:tc>
        <w:tc>
          <w:tcPr>
            <w:tcW w:w="780" w:type="dxa"/>
            <w:vAlign w:val="bottom"/>
            <w:shd w:val="clear" w:color="auto" w:fill="CCEEFF"/>
          </w:tcPr>
          <w:p>
            <w:pPr>
              <w:jc w:val="right"/>
              <w:ind w:right="64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3,230</w:t>
            </w:r>
          </w:p>
        </w:tc>
        <w:tc>
          <w:tcPr>
            <w:tcW w:w="0" w:type="dxa"/>
            <w:vAlign w:val="bottom"/>
          </w:tcPr>
          <w:p>
            <w:pPr>
              <w:spacing w:after="0"/>
              <w:rPr>
                <w:sz w:val="1"/>
                <w:szCs w:val="1"/>
                <w:color w:val="auto"/>
              </w:rPr>
            </w:pPr>
          </w:p>
        </w:tc>
      </w:tr>
      <w:tr>
        <w:trPr>
          <w:trHeight w:val="153"/>
        </w:trPr>
        <w:tc>
          <w:tcPr>
            <w:tcW w:w="7800" w:type="dxa"/>
            <w:vAlign w:val="bottom"/>
          </w:tcPr>
          <w:p>
            <w:pPr>
              <w:ind w:left="180"/>
              <w:spacing w:after="0"/>
              <w:rPr>
                <w:sz w:val="20"/>
                <w:szCs w:val="20"/>
                <w:color w:val="auto"/>
              </w:rPr>
            </w:pPr>
            <w:r>
              <w:rPr>
                <w:rFonts w:ascii="Arial" w:cs="Arial" w:eastAsia="Arial" w:hAnsi="Arial"/>
                <w:sz w:val="11"/>
                <w:szCs w:val="11"/>
                <w:b w:val="1"/>
                <w:bCs w:val="1"/>
                <w:color w:val="auto"/>
              </w:rPr>
              <w:t>Supplemental disclosure of non-cash information</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Vesting of early exercised stock options</w:t>
            </w:r>
          </w:p>
        </w:tc>
        <w:tc>
          <w:tcPr>
            <w:tcW w:w="780" w:type="dxa"/>
            <w:vAlign w:val="bottom"/>
            <w:shd w:val="clear" w:color="auto" w:fill="CCEEFF"/>
          </w:tcPr>
          <w:p>
            <w:pPr>
              <w:jc w:val="right"/>
              <w:ind w:right="643"/>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45"/>
        </w:trPr>
        <w:tc>
          <w:tcPr>
            <w:tcW w:w="7800" w:type="dxa"/>
            <w:vAlign w:val="bottom"/>
          </w:tcPr>
          <w:p>
            <w:pPr>
              <w:ind w:left="180"/>
              <w:spacing w:after="0"/>
              <w:rPr>
                <w:sz w:val="20"/>
                <w:szCs w:val="20"/>
                <w:color w:val="auto"/>
              </w:rPr>
            </w:pPr>
            <w:r>
              <w:rPr>
                <w:rFonts w:ascii="Arial" w:cs="Arial" w:eastAsia="Arial" w:hAnsi="Arial"/>
                <w:sz w:val="11"/>
                <w:szCs w:val="11"/>
                <w:color w:val="auto"/>
              </w:rPr>
              <w:t>Unpaid purchases of property and equipment</w:t>
            </w:r>
          </w:p>
        </w:tc>
        <w:tc>
          <w:tcPr>
            <w:tcW w:w="7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1,115</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509</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174625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00"/>
          </w:cols>
          <w:pgMar w:left="740" w:top="804" w:right="759"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The Company and Nature of Business</w:t>
      </w:r>
    </w:p>
    <w:p>
      <w:pPr>
        <w:spacing w:after="0" w:line="98"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4"/>
          <w:szCs w:val="14"/>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 introduced its first generation iFuse implant in 2009 in the U.S., in 2010 in certain countries in the European Union, and in 2015 in certain countries in the rest of the world. The second generation iFuse implant, iFuse 3-D, was introduced in 2017 followed by iFuse-TORQ in 2021 and iFuse Bedrock Granite in 2022.</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168"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3"/>
          <w:szCs w:val="13"/>
          <w:color w:val="auto"/>
        </w:rPr>
        <w:t>The Company is subject to continuing risk and uncertainties as a result of the COVID-19 pandemic, and is closely monitoring the impact of the pandemic on all aspects of its business, including the impacts on its customers, patients that would benefit from procedures involving the Company's products, employees, suppliers, vendors, business partners and distribution channels. Economies worldwide continue to be negatively impacted by the COVID-19 pandemic, in particular with recurrent mutations of the virus, despite advances in vaccines, and the Company anticipates these disruptions will continue. Certain of the Company’s third-party suppliers have faced delays, product shortages and rising costs resulting from disruptions in the global supply chain, resulting in shop capacity issues impacting lead-times and quantities of implants and instruments available. As a result, the Company is continuing to work closely with its manufacturing partners and suppliers, as well as determining alternative sourcing strategies to enable the Company to source key components and maintain appropriate inventory levels to meet customer demand. As such the Company's future results of operations and liquidity could be adversely impacted by a variety of factors related to the COVID-19 pandemic, including those discussed in the section entitled "Risk Factors" in this report. As of the date of issuance of these consolidated financial statements, the extent to which the COVID-19 pandemic and global supply chain issues may materially impact the Company's financial condition, liquidity, or results of operations remains uncertain.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Basis of Presentation and Principles of Consolidation</w:t>
      </w:r>
    </w:p>
    <w:p>
      <w:pPr>
        <w:spacing w:after="0" w:line="136"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accompanying consolidated financial statements have been prepared in accordance with generally accepted accounting principles in the United States of America (“U.S. GAAP”). The consolidated financial statements include the Company's accounts, as well as those of the Company's wholly-owned international subsidiaries. All inter-company accounts and transactions have been eliminated.</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6"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Segments</w:t>
      </w:r>
    </w:p>
    <w:p>
      <w:pPr>
        <w:spacing w:after="0" w:line="179" w:lineRule="exact"/>
        <w:rPr>
          <w:sz w:val="20"/>
          <w:szCs w:val="20"/>
          <w:color w:val="auto"/>
        </w:rPr>
      </w:pPr>
    </w:p>
    <w:p>
      <w:pPr>
        <w:jc w:val="both"/>
        <w:ind w:firstLine="356"/>
        <w:spacing w:after="0" w:line="262" w:lineRule="auto"/>
        <w:rPr>
          <w:sz w:val="20"/>
          <w:szCs w:val="20"/>
          <w:color w:val="auto"/>
        </w:rPr>
      </w:pPr>
      <w:r>
        <w:rPr>
          <w:rFonts w:ascii="Arial" w:cs="Arial" w:eastAsia="Arial" w:hAnsi="Arial"/>
          <w:sz w:val="14"/>
          <w:szCs w:val="14"/>
          <w:color w:val="auto"/>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1" w:lineRule="exact"/>
        <w:rPr>
          <w:sz w:val="20"/>
          <w:szCs w:val="20"/>
          <w:color w:val="auto"/>
        </w:rPr>
      </w:pPr>
    </w:p>
    <w:p>
      <w:pPr>
        <w:jc w:val="both"/>
        <w:ind w:firstLine="350"/>
        <w:spacing w:after="0" w:line="321" w:lineRule="auto"/>
        <w:rPr>
          <w:sz w:val="20"/>
          <w:szCs w:val="20"/>
          <w:color w:val="auto"/>
        </w:rPr>
      </w:pPr>
      <w:r>
        <w:rPr>
          <w:rFonts w:ascii="Arial" w:cs="Arial" w:eastAsia="Arial" w:hAnsi="Arial"/>
          <w:sz w:val="13"/>
          <w:szCs w:val="13"/>
          <w:color w:val="auto"/>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Following table summarizes the Company's revenue by geography:</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8"/>
        </w:trPr>
        <w:tc>
          <w:tcPr>
            <w:tcW w:w="7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3"/>
                <w:szCs w:val="13"/>
                <w:b w:val="1"/>
                <w:bCs w:val="1"/>
                <w:color w:val="auto"/>
              </w:rPr>
              <w:t>Year Ended December 31,</w:t>
            </w:r>
          </w:p>
        </w:tc>
      </w:tr>
      <w:tr>
        <w:trPr>
          <w:trHeight w:val="160"/>
        </w:trPr>
        <w:tc>
          <w:tcPr>
            <w:tcW w:w="78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2021</w:t>
            </w:r>
          </w:p>
        </w:tc>
      </w:tr>
      <w:tr>
        <w:trPr>
          <w:trHeight w:val="160"/>
        </w:trPr>
        <w:tc>
          <w:tcPr>
            <w:tcW w:w="7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820" w:type="dxa"/>
            <w:vAlign w:val="bottom"/>
          </w:tcPr>
          <w:p>
            <w:pPr>
              <w:spacing w:after="0"/>
              <w:rPr>
                <w:sz w:val="13"/>
                <w:szCs w:val="13"/>
                <w:color w:val="auto"/>
              </w:rPr>
            </w:pPr>
          </w:p>
        </w:tc>
      </w:tr>
      <w:tr>
        <w:trPr>
          <w:trHeight w:val="183"/>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98,751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82,739</w:t>
            </w:r>
          </w:p>
        </w:tc>
      </w:tr>
      <w:tr>
        <w:trPr>
          <w:trHeight w:val="18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7,658</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7,413</w:t>
            </w:r>
          </w:p>
        </w:tc>
      </w:tr>
      <w:tr>
        <w:trPr>
          <w:trHeight w:val="196"/>
        </w:trPr>
        <w:tc>
          <w:tcPr>
            <w:tcW w:w="78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106,409</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90,152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Foreign Currency</w:t>
      </w:r>
    </w:p>
    <w:p>
      <w:pPr>
        <w:spacing w:after="0" w:line="136"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from foreign currency translation are recorded as a component of accumulated other comprehensive income (loss). Gains and losses from foreign currency transactions are recognized as a component of other income (expense), net.</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136" w:lineRule="exact"/>
        <w:rPr>
          <w:sz w:val="20"/>
          <w:szCs w:val="20"/>
          <w:color w:val="auto"/>
        </w:rPr>
      </w:pPr>
    </w:p>
    <w:p>
      <w:pPr>
        <w:jc w:val="both"/>
        <w:ind w:firstLine="350"/>
        <w:spacing w:after="0" w:line="297" w:lineRule="auto"/>
        <w:rPr>
          <w:sz w:val="20"/>
          <w:szCs w:val="20"/>
          <w:color w:val="auto"/>
        </w:rPr>
      </w:pPr>
      <w:r>
        <w:rPr>
          <w:rFonts w:ascii="Arial" w:cs="Arial" w:eastAsia="Arial" w:hAnsi="Arial"/>
          <w:sz w:val="13"/>
          <w:szCs w:val="13"/>
          <w:color w:val="auto"/>
        </w:rPr>
        <w:t>Financial instruments that potentially subject the Company to a concentration of credit risk consist of cash and marketable securities. The Company’s cash and marketable securities are deposited with financial institutions in the U.S. and in Europe. The majority of the Company’s cash and marketable securities are deposited with a single financial institution in the U.S. Deposits in this institution exceed the amount of insurance provided on such deposits. The Company has not experienced any net losses on its deposits of cash and marketable securities.</w:t>
      </w:r>
    </w:p>
    <w:p>
      <w:pPr>
        <w:spacing w:after="0" w:line="82"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The Company’s revenue and accounts receivable are spread across a large number of customers, primarily in the U.S., and no customer accounts for more than 10% of total revenue or gross accounts receivable in any period presented.</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6" w:lineRule="exact"/>
        <w:rPr>
          <w:sz w:val="20"/>
          <w:szCs w:val="20"/>
          <w:color w:val="auto"/>
        </w:rPr>
      </w:pPr>
    </w:p>
    <w:p>
      <w:pPr>
        <w:jc w:val="both"/>
        <w:ind w:firstLine="350"/>
        <w:spacing w:after="0" w:line="297" w:lineRule="auto"/>
        <w:rPr>
          <w:sz w:val="20"/>
          <w:szCs w:val="20"/>
          <w:color w:val="auto"/>
        </w:rPr>
      </w:pPr>
      <w:r>
        <w:rPr>
          <w:rFonts w:ascii="Arial" w:cs="Arial" w:eastAsia="Arial" w:hAnsi="Arial"/>
          <w:sz w:val="13"/>
          <w:szCs w:val="13"/>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Company's marketable securities are classified as Level 1 or Level 2 of the fair value hierarchy as defined below. The carrying value of the Company’s long-term debt also approximates fair value based on management’s estimation that a current interest rate would not differ materially from the stated rate.</w:t>
      </w:r>
    </w:p>
    <w:p>
      <w:pPr>
        <w:spacing w:after="0" w:line="82"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4"/>
          <w:szCs w:val="14"/>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3"/>
          <w:szCs w:val="13"/>
          <w:color w:val="auto"/>
        </w:rPr>
        <w:t>Level 1: Quoted prices (unadjusted) in active market that are accessible at measurement date for assets or liabilities. The fair value hierarchy gives the highest priority to Level 1 inputs.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Level 2: Observable prices that are based on inputs not quoted on active markets, but corroborated by market data.</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Level 3: Unobservable inputs are used when little or no market data is available. The fair value hierarchy gives the lowest priority to Level 3 inputs.</w:t>
      </w:r>
    </w:p>
    <w:p>
      <w:pPr>
        <w:spacing w:after="0" w:line="136" w:lineRule="exact"/>
        <w:rPr>
          <w:sz w:val="20"/>
          <w:szCs w:val="20"/>
          <w:color w:val="auto"/>
        </w:rPr>
      </w:pPr>
    </w:p>
    <w:p>
      <w:pPr>
        <w:jc w:val="both"/>
        <w:ind w:firstLine="350"/>
        <w:spacing w:after="0" w:line="321" w:lineRule="auto"/>
        <w:rPr>
          <w:sz w:val="20"/>
          <w:szCs w:val="20"/>
          <w:color w:val="auto"/>
        </w:rPr>
      </w:pPr>
      <w:r>
        <w:rPr>
          <w:rFonts w:ascii="Arial" w:cs="Arial" w:eastAsia="Arial" w:hAnsi="Arial"/>
          <w:sz w:val="13"/>
          <w:szCs w:val="13"/>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considers all highly liquid investments with remaining maturities at the date of purchase of three months or less to be cash equivalents.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136" w:lineRule="exact"/>
        <w:rPr>
          <w:sz w:val="20"/>
          <w:szCs w:val="20"/>
          <w:color w:val="auto"/>
        </w:rPr>
      </w:pPr>
    </w:p>
    <w:p>
      <w:pPr>
        <w:jc w:val="both"/>
        <w:ind w:firstLine="350"/>
        <w:spacing w:after="0" w:line="278" w:lineRule="auto"/>
        <w:rPr>
          <w:sz w:val="20"/>
          <w:szCs w:val="20"/>
          <w:color w:val="auto"/>
        </w:rPr>
      </w:pPr>
      <w:r>
        <w:rPr>
          <w:rFonts w:ascii="Arial" w:cs="Arial" w:eastAsia="Arial" w:hAnsi="Arial"/>
          <w:sz w:val="13"/>
          <w:szCs w:val="13"/>
          <w:color w:val="auto"/>
        </w:rPr>
        <w:t>The Company's marketable securities primarily consist of investments in money market funds, U.S. treasury securities, U.S. agency bonds, corporate bonds and commercial paper. All of the Company's marketable securities are available-for-sale debt securities and are classified based on their maturities. Marketable securities with remaining maturities at the date of purchase of three months or less are classified as cash equivalents. Short term investments are securities that original or remaining maturity is greater than three months and not more than twelve months. Long-term investments are securities that original or remaining maturity is more than twelve months. All marketable securities are recorded at their estimated fair value. When the fair value of a security is below its amortized cost, the amortized cost will be reduced to its fair value if it is more likely than not that the Company will be required to sell the potentially impaired security before recovery of its amortized cost basis, or the Company has the intention to sell the security. If neither of these conditions are met, the Company determines whether the impairment is due to credit losses by comparing the present value of the expected cash flows of the security with its amortized cost basis. The amount of impairment recognized is limited to the excess of the amortized cost over the fair value of the security. An allowance for credit losses for the excess of amortized cost over the expected cash flows is recorded in other income, net in the consolidated statements of operations. Impairment losses that are not credit-related are included in accumulated other comprehensive income (loss) in stockholders’ equity.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 and Allowance for Credit Losses</w:t>
      </w:r>
    </w:p>
    <w:p>
      <w:pPr>
        <w:spacing w:after="0" w:line="136" w:lineRule="exact"/>
        <w:rPr>
          <w:sz w:val="20"/>
          <w:szCs w:val="20"/>
          <w:color w:val="auto"/>
        </w:rPr>
      </w:pPr>
    </w:p>
    <w:p>
      <w:pPr>
        <w:jc w:val="both"/>
        <w:ind w:firstLine="350"/>
        <w:spacing w:after="0" w:line="260" w:lineRule="auto"/>
        <w:rPr>
          <w:sz w:val="20"/>
          <w:szCs w:val="20"/>
          <w:color w:val="auto"/>
        </w:rPr>
      </w:pPr>
      <w:r>
        <w:rPr>
          <w:rFonts w:ascii="Arial" w:cs="Arial" w:eastAsia="Arial" w:hAnsi="Arial"/>
          <w:sz w:val="14"/>
          <w:szCs w:val="14"/>
          <w:color w:val="auto"/>
        </w:rPr>
        <w:t>Trade accounts receivable are recorded at the invoiced amount, net of allowances for credit losses for any potential uncollectible amounts. The allowance for credit losses is based on our assessment of the collectability of accounts. Management regularly reviews the adequacy of the allowance for credit losses on a collective basis by considering the age of each outstanding invoice, each customer’s expected ability to pay and collection history, current market conditions, and reasonable and supportable forecasts of future economic conditions to determine whether the allowance is appropriate. Accounts receivable are written-off and charged against an allowance for credit losses when the Company has exhausted collection efforts without success. For the years ended December 31, 2022 and 2021, the allowance for credit losses activity was not significant.</w:t>
      </w:r>
    </w:p>
    <w:p>
      <w:pPr>
        <w:sectPr>
          <w:pgSz w:w="11900" w:h="16838" w:orient="portrait"/>
          <w:cols w:equalWidth="0" w:num="1">
            <w:col w:w="11280"/>
          </w:cols>
          <w:pgMar w:left="300" w:top="125" w:right="319" w:bottom="1440" w:gutter="0" w:footer="0" w:header="0"/>
        </w:sectPr>
      </w:pPr>
    </w:p>
    <w:p>
      <w:pPr>
        <w:spacing w:after="0" w:line="10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movement in the allowance for credit losses was as follows: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Balance at beginning of year</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Provision</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Write-offs</w:t>
      </w:r>
    </w:p>
    <w:p>
      <w:pPr>
        <w:spacing w:after="0" w:line="5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Balance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3"/>
                <w:szCs w:val="13"/>
                <w:b w:val="1"/>
                <w:bCs w:val="1"/>
                <w:color w:val="auto"/>
              </w:rPr>
              <w:t>2021</w:t>
            </w:r>
          </w:p>
        </w:tc>
      </w:tr>
      <w:tr>
        <w:trPr>
          <w:trHeight w:val="158"/>
        </w:trPr>
        <w:tc>
          <w:tcPr>
            <w:tcW w:w="4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ind w:left="1160"/>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tcBorders>
              <w:bottom w:val="single" w:sz="8" w:color="auto"/>
            </w:tcBorders>
          </w:tcPr>
          <w:p>
            <w:pPr>
              <w:spacing w:after="0"/>
              <w:rPr>
                <w:sz w:val="13"/>
                <w:szCs w:val="13"/>
                <w:color w:val="auto"/>
              </w:rPr>
            </w:pPr>
          </w:p>
        </w:tc>
      </w:tr>
      <w:tr>
        <w:trPr>
          <w:trHeight w:val="173"/>
        </w:trPr>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520" w:type="dxa"/>
            <w:vAlign w:val="bottom"/>
          </w:tcPr>
          <w:p>
            <w:pPr>
              <w:ind w:left="1260"/>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180"/>
        </w:trPr>
        <w:tc>
          <w:tcPr>
            <w:tcW w:w="480" w:type="dxa"/>
            <w:vAlign w:val="bottom"/>
          </w:tcPr>
          <w:p>
            <w:pPr>
              <w:spacing w:after="0"/>
              <w:rPr>
                <w:sz w:val="15"/>
                <w:szCs w:val="15"/>
                <w:color w:val="auto"/>
              </w:rPr>
            </w:pPr>
          </w:p>
        </w:tc>
        <w:tc>
          <w:tcPr>
            <w:tcW w:w="1520" w:type="dxa"/>
            <w:vAlign w:val="bottom"/>
          </w:tcPr>
          <w:p>
            <w:pPr>
              <w:ind w:left="1260"/>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1"/>
        </w:trPr>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w w:val="88"/>
              </w:rPr>
              <w:t>(14)</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71"/>
        </w:trPr>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-497840</wp:posOffset>
            </wp:positionV>
            <wp:extent cx="6494780" cy="121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94780" cy="12128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-262255</wp:posOffset>
            </wp:positionV>
            <wp:extent cx="6494780" cy="1143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94780" cy="11430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5860" w:space="720"/>
            <w:col w:w="4700"/>
          </w:cols>
          <w:pgMar w:left="300" w:top="125" w:right="319" w:bottom="1440" w:gutter="0" w:footer="0" w:header="0"/>
          <w:type w:val="continuous"/>
        </w:sectPr>
      </w:pPr>
    </w:p>
    <w:p>
      <w:pPr>
        <w:ind w:left="360"/>
        <w:spacing w:after="0"/>
        <w:rPr>
          <w:sz w:val="20"/>
          <w:szCs w:val="20"/>
          <w:color w:val="auto"/>
        </w:rPr>
      </w:pPr>
      <w:r>
        <w:rPr>
          <w:rFonts w:ascii="Arial" w:cs="Arial" w:eastAsia="Arial" w:hAnsi="Arial"/>
          <w:sz w:val="14"/>
          <w:szCs w:val="14"/>
          <w:b w:val="1"/>
          <w:bCs w:val="1"/>
          <w:i w:val="1"/>
          <w:iCs w:val="1"/>
          <w:color w:val="auto"/>
        </w:rPr>
        <w:t>Inventory</w:t>
      </w:r>
    </w:p>
    <w:p>
      <w:pPr>
        <w:spacing w:after="0" w:line="136" w:lineRule="exact"/>
        <w:rPr>
          <w:sz w:val="20"/>
          <w:szCs w:val="20"/>
          <w:color w:val="auto"/>
        </w:rPr>
      </w:pPr>
    </w:p>
    <w:p>
      <w:pPr>
        <w:ind w:firstLine="350"/>
        <w:spacing w:after="0" w:line="321" w:lineRule="auto"/>
        <w:rPr>
          <w:sz w:val="20"/>
          <w:szCs w:val="20"/>
          <w:color w:val="auto"/>
        </w:rPr>
      </w:pPr>
      <w:r>
        <w:rPr>
          <w:rFonts w:ascii="Arial" w:cs="Arial" w:eastAsia="Arial" w:hAnsi="Arial"/>
          <w:sz w:val="13"/>
          <w:szCs w:val="13"/>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136"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185" w:lineRule="exact"/>
        <w:rPr>
          <w:sz w:val="20"/>
          <w:szCs w:val="20"/>
          <w:color w:val="auto"/>
        </w:rPr>
      </w:pPr>
    </w:p>
    <w:tbl>
      <w:tblPr>
        <w:tblLayout w:type="fixed"/>
        <w:tblInd w:w="1100" w:type="dxa"/>
        <w:tblCellMar>
          <w:top w:w="0" w:type="dxa"/>
          <w:left w:w="0" w:type="dxa"/>
          <w:bottom w:w="0" w:type="dxa"/>
          <w:right w:w="0" w:type="dxa"/>
        </w:tblCellMar>
      </w:tblPr>
      <w:tr>
        <w:trPr>
          <w:trHeight w:val="180"/>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Computer and office equipment</w:t>
            </w:r>
          </w:p>
        </w:tc>
        <w:tc>
          <w:tcPr>
            <w:tcW w:w="3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5 years</w:t>
            </w:r>
          </w:p>
        </w:tc>
      </w:tr>
      <w:tr>
        <w:trPr>
          <w:trHeight w:val="180"/>
        </w:trPr>
        <w:tc>
          <w:tcPr>
            <w:tcW w:w="5000" w:type="dxa"/>
            <w:vAlign w:val="bottom"/>
          </w:tcPr>
          <w:p>
            <w:pPr>
              <w:ind w:left="40"/>
              <w:spacing w:after="0"/>
              <w:rPr>
                <w:sz w:val="20"/>
                <w:szCs w:val="20"/>
                <w:color w:val="auto"/>
              </w:rPr>
            </w:pPr>
            <w:r>
              <w:rPr>
                <w:rFonts w:ascii="Arial" w:cs="Arial" w:eastAsia="Arial" w:hAnsi="Arial"/>
                <w:sz w:val="14"/>
                <w:szCs w:val="14"/>
                <w:color w:val="auto"/>
              </w:rPr>
              <w:t>Machinery and equipment</w:t>
            </w:r>
          </w:p>
        </w:tc>
        <w:tc>
          <w:tcPr>
            <w:tcW w:w="3240" w:type="dxa"/>
            <w:vAlign w:val="bottom"/>
          </w:tcPr>
          <w:p>
            <w:pPr>
              <w:jc w:val="right"/>
              <w:spacing w:after="0"/>
              <w:rPr>
                <w:sz w:val="20"/>
                <w:szCs w:val="20"/>
                <w:color w:val="auto"/>
              </w:rPr>
            </w:pPr>
            <w:r>
              <w:rPr>
                <w:rFonts w:ascii="Arial" w:cs="Arial" w:eastAsia="Arial" w:hAnsi="Arial"/>
                <w:sz w:val="14"/>
                <w:szCs w:val="14"/>
                <w:color w:val="auto"/>
              </w:rPr>
              <w:t>3</w:t>
            </w:r>
          </w:p>
        </w:tc>
        <w:tc>
          <w:tcPr>
            <w:tcW w:w="860" w:type="dxa"/>
            <w:vAlign w:val="bottom"/>
          </w:tcPr>
          <w:p>
            <w:pPr>
              <w:ind w:left="20"/>
              <w:spacing w:after="0"/>
              <w:rPr>
                <w:sz w:val="20"/>
                <w:szCs w:val="20"/>
                <w:color w:val="auto"/>
              </w:rPr>
            </w:pPr>
            <w:r>
              <w:rPr>
                <w:rFonts w:ascii="Arial" w:cs="Arial" w:eastAsia="Arial" w:hAnsi="Arial"/>
                <w:sz w:val="14"/>
                <w:szCs w:val="14"/>
                <w:color w:val="auto"/>
              </w:rPr>
              <w:t>– 5 years</w:t>
            </w:r>
          </w:p>
        </w:tc>
      </w:tr>
      <w:tr>
        <w:trPr>
          <w:trHeight w:val="181"/>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Furniture and fixtures</w:t>
            </w:r>
          </w:p>
        </w:tc>
        <w:tc>
          <w:tcPr>
            <w:tcW w:w="324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7 years</w:t>
            </w:r>
          </w:p>
        </w:tc>
      </w:tr>
    </w:tbl>
    <w:p>
      <w:pPr>
        <w:spacing w:after="0" w:line="117" w:lineRule="exact"/>
        <w:rPr>
          <w:sz w:val="20"/>
          <w:szCs w:val="20"/>
          <w:color w:val="auto"/>
        </w:rPr>
      </w:pPr>
    </w:p>
    <w:p>
      <w:pPr>
        <w:ind w:firstLine="350"/>
        <w:spacing w:after="0" w:line="368" w:lineRule="auto"/>
        <w:rPr>
          <w:sz w:val="20"/>
          <w:szCs w:val="20"/>
          <w:color w:val="auto"/>
        </w:rPr>
      </w:pPr>
      <w:r>
        <w:rPr>
          <w:rFonts w:ascii="Arial" w:cs="Arial" w:eastAsia="Arial" w:hAnsi="Arial"/>
          <w:sz w:val="12"/>
          <w:szCs w:val="12"/>
          <w:color w:val="auto"/>
        </w:rPr>
        <w:t>Leasehold improvements are amortized over the lesser of their useful lives or the life of the lease. Upon sale or retirement of the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36" w:lineRule="exact"/>
        <w:rPr>
          <w:sz w:val="20"/>
          <w:szCs w:val="20"/>
          <w:color w:val="auto"/>
        </w:rPr>
      </w:pPr>
    </w:p>
    <w:p>
      <w:pPr>
        <w:jc w:val="both"/>
        <w:ind w:firstLine="350"/>
        <w:spacing w:after="0" w:line="258" w:lineRule="auto"/>
        <w:rPr>
          <w:sz w:val="20"/>
          <w:szCs w:val="20"/>
          <w:color w:val="auto"/>
        </w:rPr>
      </w:pPr>
      <w:r>
        <w:rPr>
          <w:rFonts w:ascii="Arial" w:cs="Arial" w:eastAsia="Arial" w:hAnsi="Arial"/>
          <w:sz w:val="14"/>
          <w:szCs w:val="14"/>
          <w:color w:val="auto"/>
        </w:rPr>
        <w:t>The Company reviews long-lived assets for impairment whenever events or changes in circumstances indicate that the carrying amount of the assets (or asset group) may not be fully recoverable. Whenever events or changes in circumstances suggest that the carrying amount of long-lived assets may not be recoverable, the Company estimates the future cash flows expected to be generated by the assets (or asset group) from its use or eventual disposition. If the sum of the expected future cash flows is less than the carrying amount of those assets, the Company recognizes an impairment loss based on the excess of the carrying amount over the fair value of the assets. Significant management judgment is required in the grouping of long-lived assets and forecasts of future operating results that are used in the discounted cash flow method of valuation. For the years ended December 31, 2022 and 2021, the Company has not experienced impairment losses on its long-lived assets.</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Leases</w:t>
      </w:r>
    </w:p>
    <w:p>
      <w:pPr>
        <w:spacing w:after="0" w:line="136" w:lineRule="exact"/>
        <w:rPr>
          <w:sz w:val="20"/>
          <w:szCs w:val="20"/>
          <w:color w:val="auto"/>
        </w:rPr>
      </w:pPr>
    </w:p>
    <w:p>
      <w:pPr>
        <w:jc w:val="both"/>
        <w:ind w:firstLine="350"/>
        <w:spacing w:after="0" w:line="368" w:lineRule="auto"/>
        <w:rPr>
          <w:sz w:val="20"/>
          <w:szCs w:val="20"/>
          <w:color w:val="auto"/>
        </w:rPr>
      </w:pPr>
      <w:r>
        <w:rPr>
          <w:rFonts w:ascii="Arial" w:cs="Arial" w:eastAsia="Arial" w:hAnsi="Arial"/>
          <w:sz w:val="12"/>
          <w:szCs w:val="12"/>
          <w:color w:val="auto"/>
        </w:rPr>
        <w:t>The Company determines if an arrangement is a lease at inception. The classification of leases is evaluated at commencement and, as necessary, at modification. Operating leases are included in operating lease right-of-use assets and operating lease liabilities on the consolidated balance sheets. The Company does not have any material finance leases in any of the periods presented.</w:t>
      </w:r>
    </w:p>
    <w:p>
      <w:pPr>
        <w:spacing w:after="0" w:line="44" w:lineRule="exact"/>
        <w:rPr>
          <w:sz w:val="20"/>
          <w:szCs w:val="20"/>
          <w:color w:val="auto"/>
        </w:rPr>
      </w:pPr>
    </w:p>
    <w:p>
      <w:pPr>
        <w:jc w:val="both"/>
        <w:ind w:firstLine="350"/>
        <w:spacing w:after="0" w:line="260" w:lineRule="auto"/>
        <w:rPr>
          <w:sz w:val="20"/>
          <w:szCs w:val="20"/>
          <w:color w:val="auto"/>
        </w:rPr>
      </w:pPr>
      <w:r>
        <w:rPr>
          <w:rFonts w:ascii="Arial" w:cs="Arial" w:eastAsia="Arial" w:hAnsi="Arial"/>
          <w:sz w:val="14"/>
          <w:szCs w:val="14"/>
          <w:color w:val="auto"/>
        </w:rPr>
        <w:t>Under Accounting Standards Update ("ASU") 2016-02, Leases Topic 842 ("Topic 842"), operating lease expense is recognized on a straight-line basis over the term of the lease. Variable lease payments are recognized as operating expenses in the period in which the obligation for those payments is incurred. Variable lease payments primarily include common area maintenance, utilities, real estate taxes and other operating costs that are passed on from the lessor in proportion to the space leased by the Company. The lease term represents the non-cancelable period of the lease. For certain leases, the Company has an option to extend the lease term. These renewal options are not considered in the remaining lease term unless it is reasonably certain that the Company will exercise such options.</w:t>
      </w:r>
    </w:p>
    <w:p>
      <w:pPr>
        <w:spacing w:after="0" w:line="104" w:lineRule="exact"/>
        <w:rPr>
          <w:sz w:val="20"/>
          <w:szCs w:val="20"/>
          <w:color w:val="auto"/>
        </w:rPr>
      </w:pPr>
    </w:p>
    <w:p>
      <w:pPr>
        <w:jc w:val="both"/>
        <w:ind w:firstLine="350"/>
        <w:spacing w:after="0" w:line="258" w:lineRule="auto"/>
        <w:rPr>
          <w:sz w:val="20"/>
          <w:szCs w:val="20"/>
          <w:color w:val="auto"/>
        </w:rPr>
      </w:pPr>
      <w:r>
        <w:rPr>
          <w:rFonts w:ascii="Arial" w:cs="Arial" w:eastAsia="Arial" w:hAnsi="Arial"/>
          <w:sz w:val="14"/>
          <w:szCs w:val="14"/>
          <w:color w:val="auto"/>
        </w:rPr>
        <w:t>The Company elected certain practical expedients under Topic 842 which are: (i) to not record leases with an initial term of twelve months or less on the balance sheet; (ii) to combine the lease and non-lease components in determining the lease liabilities and right-of-use assets, and (iii) to carry forward prior conclusions about lease identification and classification. The Company’s lease contracts do not provide an implicit borrowing rate; hence the Company determined the incremental borrowing rate based on information available at lease commencement to determine the present value of lease liability. The Company determines its incremental borrowing rate based on the rate of interest that the Company would have to pay to borrow on a collateralized basis over a similar term, an amount equal to the lease payments in a similar economic environment. The Company uses its headquarters in the U.S. ("parent entity")’s incremental borrowing rates as the treasury operations are managed centrally by the parent entity.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Company’s revenue is derived from the sale of its products to medical groups and hospitals through its direct sales force and distributors throughout the U.S. and Europe.</w:t>
      </w:r>
    </w:p>
    <w:p>
      <w:pPr>
        <w:spacing w:after="0" w:line="179" w:lineRule="exact"/>
        <w:rPr>
          <w:sz w:val="20"/>
          <w:szCs w:val="20"/>
          <w:color w:val="auto"/>
        </w:rPr>
      </w:pPr>
    </w:p>
    <w:p>
      <w:pPr>
        <w:jc w:val="both"/>
        <w:ind w:firstLine="382"/>
        <w:spacing w:after="0" w:line="276" w:lineRule="auto"/>
        <w:rPr>
          <w:sz w:val="20"/>
          <w:szCs w:val="20"/>
          <w:color w:val="auto"/>
        </w:rPr>
      </w:pPr>
      <w:r>
        <w:rPr>
          <w:rFonts w:ascii="Arial" w:cs="Arial" w:eastAsia="Arial" w:hAnsi="Arial"/>
          <w:sz w:val="13"/>
          <w:szCs w:val="13"/>
          <w:color w:val="auto"/>
        </w:rPr>
        <w:t>In accordance with Accounting Standards Codification ("ASC") 606, Revenue from Contracts with Customers (“ASC 606”), the Company recognizes revenue when control is transferred to the customer, in an amount that reflects the consideration the Company expects to be entitled to in exchange for the goods or services. Under the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distributors and to certain hospital or medical facilities where the products are ordered in advance of a procedure. The performance obligation is the delivery of the products and therefore, revenue is recognized upon shipment to the customers, net of rebates and price discounts. The Company accounts for rebates and price discounts as a reduction to revenue, calculated based on the terms agreed to with the customer. Historically, there had been no significant price discounts. Sales prices are specified in either the customer contract or agreed price list,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distributors, which include standard terms that do not allow for payment contingent on resale of the product, obtaining financing, or other terms that could impact the distributor’s payment obligation. The Company's standard payment terms are generally net 30 to 90 days.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Shipping and Handling Costs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Shipping and handling costs are treated as fulfillment costs, which are expensed as incurred and are included in cost of goods sold.</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Costs to Obtain Customer Contracts</w:t>
      </w:r>
    </w:p>
    <w:p>
      <w:pPr>
        <w:spacing w:after="0" w:line="179"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2"/>
          <w:szCs w:val="12"/>
          <w:color w:val="auto"/>
        </w:rPr>
        <w:t>Sales commissions and related expenses are considered incremental and recoverable costs of acquiring customer contracts. The Company’s sales commissions paid to its sales representatives are generally based on the surgeries performed. The Company applied the practical expedient that permits an entity to expense the cost to obtain a contract as incurred when the expected amortization is one year or less. The period of benefit is concurrent with when the Company recognizes its revenue and as such, the Company recognizes sales commission as expense when incurred.</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Warranty</w:t>
      </w:r>
    </w:p>
    <w:p>
      <w:pPr>
        <w:spacing w:after="0" w:line="136"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3"/>
          <w:szCs w:val="13"/>
          <w:color w:val="auto"/>
        </w:rPr>
        <w:t>The Company has a warranty program that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 warranty is not priced or sold separately and is intended to safeguard the customer against defects and it does not provide incremental service to the customer. As such, it is considered an assurance type warranty and is not accounted as a service type warranty, which could represent a separate performance obligation. The Company accounts for these one-time credits as sales reserves and is included in accrued liabilities and other in the consolidated balance sheets. Sales and warranty reserves from the warranty program were immaterial as of December 31, 2022 and 2021.</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Research and development costs are charged to operations as incurred and consist of costs incurred by the Company for the development of the Company’s product which primarily include:</w:t>
      </w:r>
    </w:p>
    <w:p>
      <w:pPr>
        <w:spacing w:after="0" w:line="31" w:lineRule="exact"/>
        <w:rPr>
          <w:sz w:val="20"/>
          <w:szCs w:val="20"/>
          <w:color w:val="auto"/>
        </w:rPr>
      </w:pPr>
    </w:p>
    <w:p>
      <w:pPr>
        <w:ind w:firstLine="5"/>
        <w:spacing w:after="0" w:line="266" w:lineRule="auto"/>
        <w:tabs>
          <w:tab w:leader="none" w:pos="214" w:val="left"/>
        </w:tabs>
        <w:numPr>
          <w:ilvl w:val="0"/>
          <w:numId w:val="41"/>
        </w:numPr>
        <w:rPr>
          <w:rFonts w:ascii="Arial" w:cs="Arial" w:eastAsia="Arial" w:hAnsi="Arial"/>
          <w:sz w:val="14"/>
          <w:szCs w:val="14"/>
          <w:color w:val="auto"/>
        </w:rPr>
      </w:pPr>
      <w:r>
        <w:rPr>
          <w:rFonts w:ascii="Arial" w:cs="Arial" w:eastAsia="Arial" w:hAnsi="Arial"/>
          <w:sz w:val="14"/>
          <w:szCs w:val="14"/>
          <w:color w:val="auto"/>
        </w:rPr>
        <w:t>employee-related expenses, including salaries, benefits, travel and stock-based compensation expense; (2) external research and development expenses; and (3) other expenses, which include direct and allocated expenses for facilities and other costs.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Advertising Expenditures</w:t>
      </w:r>
    </w:p>
    <w:p>
      <w:pPr>
        <w:spacing w:after="0" w:line="136"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The cost of advertising is expensed as incurred and is included under sales and marketing expense in the consolidated statements of operations. Advertising expenses were $1.6 million and $1.2 million for the years ended December 31, 2022 and 2021, respectively.</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Loss Contingency</w:t>
      </w:r>
    </w:p>
    <w:p>
      <w:pPr>
        <w:spacing w:after="0" w:line="200"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The Company is subject to various potential loss contingencies arising in the ordinary course of business. From time to time, the Company may be involved in certain proceedings, legal actions and claims. Such matters are subject to many uncertainties, and the outcomes of these matters are not within the Company's control and may not be known for prolonged periods of time. In some actions, the claimants may seek damages, as well as other relief, including injunctions which may prohibit the Company to engage in certain activities, which, if granted, could require significant expenditures and/or result in lost revenues. The Company records a liability in the consolidated financial statements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20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The Company applies the fair value recognition provisions of stock-based compensation.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 The Company uses historical data to estimate pre-vesting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46"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The Company estimates the grant date fair value of stock options using the Black-Scholes option valuation model. The model requires management to make a number of assumptions including expected volatility, expected term, risk-free interest rate and expected dividends. A number of these assumptions are subjective, and their determination generally require judgment.</w:t>
      </w:r>
    </w:p>
    <w:p>
      <w:pPr>
        <w:spacing w:after="0" w:line="67" w:lineRule="exact"/>
        <w:rPr>
          <w:sz w:val="20"/>
          <w:szCs w:val="20"/>
          <w:color w:val="auto"/>
        </w:rPr>
      </w:pPr>
    </w:p>
    <w:p>
      <w:pPr>
        <w:jc w:val="both"/>
        <w:ind w:left="320" w:hanging="251"/>
        <w:spacing w:after="0" w:line="267" w:lineRule="auto"/>
        <w:tabs>
          <w:tab w:leader="none" w:pos="316"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Expected Term - </w:t>
      </w:r>
      <w:r>
        <w:rPr>
          <w:rFonts w:ascii="Arial" w:cs="Arial" w:eastAsia="Arial" w:hAnsi="Arial"/>
          <w:sz w:val="14"/>
          <w:szCs w:val="14"/>
          <w:color w:val="auto"/>
        </w:rPr>
        <w:t>The expected term represents the period that the share-based awards are expected to be outstanding. The Company uses the simplified method to determine the expected term as</w:t>
      </w:r>
      <w:r>
        <w:rPr>
          <w:rFonts w:ascii="Arial" w:cs="Arial" w:eastAsia="Arial" w:hAnsi="Arial"/>
          <w:sz w:val="14"/>
          <w:szCs w:val="14"/>
          <w:i w:val="1"/>
          <w:iCs w:val="1"/>
          <w:color w:val="auto"/>
        </w:rPr>
        <w:t xml:space="preserve"> </w:t>
      </w:r>
      <w:r>
        <w:rPr>
          <w:rFonts w:ascii="Arial" w:cs="Arial" w:eastAsia="Arial" w:hAnsi="Arial"/>
          <w:sz w:val="14"/>
          <w:szCs w:val="14"/>
          <w:color w:val="auto"/>
        </w:rPr>
        <w:t>permitted by the guidance since the Company has no sufficient historical exercise patterns to estimate the expected life. The simplified method is calculated as the average of the time to vesting and the contractual life of the options.</w:t>
      </w:r>
    </w:p>
    <w:p>
      <w:pPr>
        <w:spacing w:after="0" w:line="99" w:lineRule="exact"/>
        <w:rPr>
          <w:rFonts w:ascii="Arial" w:cs="Arial" w:eastAsia="Arial" w:hAnsi="Arial"/>
          <w:sz w:val="14"/>
          <w:szCs w:val="14"/>
          <w:i w:val="1"/>
          <w:iCs w:val="1"/>
          <w:color w:val="auto"/>
        </w:rPr>
      </w:pPr>
    </w:p>
    <w:p>
      <w:pPr>
        <w:ind w:left="320" w:hanging="251"/>
        <w:spacing w:after="0"/>
        <w:tabs>
          <w:tab w:leader="none" w:pos="320" w:val="left"/>
        </w:tabs>
        <w:numPr>
          <w:ilvl w:val="0"/>
          <w:numId w:val="4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Expected Volatility - </w:t>
      </w:r>
      <w:r>
        <w:rPr>
          <w:rFonts w:ascii="Arial" w:cs="Arial" w:eastAsia="Arial" w:hAnsi="Arial"/>
          <w:sz w:val="12"/>
          <w:szCs w:val="12"/>
          <w:color w:val="auto"/>
        </w:rPr>
        <w:t>The expected volatility is measured using the historical daily changes in the market price of the Company's common stock over a period consistent with the expected term.</w:t>
      </w:r>
    </w:p>
    <w:p>
      <w:pPr>
        <w:spacing w:after="0" w:line="159" w:lineRule="exact"/>
        <w:rPr>
          <w:rFonts w:ascii="Arial" w:cs="Arial" w:eastAsia="Arial" w:hAnsi="Arial"/>
          <w:sz w:val="12"/>
          <w:szCs w:val="12"/>
          <w:i w:val="1"/>
          <w:iCs w:val="1"/>
          <w:color w:val="auto"/>
        </w:rPr>
      </w:pPr>
    </w:p>
    <w:p>
      <w:pPr>
        <w:ind w:left="320" w:hanging="251"/>
        <w:spacing w:after="0"/>
        <w:tabs>
          <w:tab w:leader="none" w:pos="320" w:val="left"/>
        </w:tabs>
        <w:numPr>
          <w:ilvl w:val="0"/>
          <w:numId w:val="4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Risk-Free Interest Rate - </w:t>
      </w:r>
      <w:r>
        <w:rPr>
          <w:rFonts w:ascii="Arial" w:cs="Arial" w:eastAsia="Arial" w:hAnsi="Arial"/>
          <w:sz w:val="12"/>
          <w:szCs w:val="12"/>
          <w:color w:val="auto"/>
        </w:rPr>
        <w:t>The risk-free interest rate is based on the U.S. Treasury zero coupon issued in effect at the time of grant for periods corresponding with the expected term of the option.</w:t>
      </w:r>
    </w:p>
    <w:p>
      <w:pPr>
        <w:spacing w:after="0" w:line="159" w:lineRule="exact"/>
        <w:rPr>
          <w:rFonts w:ascii="Arial" w:cs="Arial" w:eastAsia="Arial" w:hAnsi="Arial"/>
          <w:sz w:val="12"/>
          <w:szCs w:val="12"/>
          <w:i w:val="1"/>
          <w:iCs w:val="1"/>
          <w:color w:val="auto"/>
        </w:rPr>
      </w:pPr>
    </w:p>
    <w:p>
      <w:pPr>
        <w:ind w:left="320" w:hanging="251"/>
        <w:spacing w:after="0"/>
        <w:tabs>
          <w:tab w:leader="none" w:pos="320"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Dividend Yield - </w:t>
      </w:r>
      <w:r>
        <w:rPr>
          <w:rFonts w:ascii="Arial" w:cs="Arial" w:eastAsia="Arial" w:hAnsi="Arial"/>
          <w:sz w:val="13"/>
          <w:szCs w:val="13"/>
          <w:color w:val="auto"/>
        </w:rPr>
        <w:t>The Company has not paid any dividends and has no current plans to pay dividends on its common stock. As such, the Company uses expected dividend yield of zero.</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fair value of the restricted stock unit (“RSU”) grant is based on the market price of the Company’s common stock on the date of grant.</w:t>
      </w:r>
    </w:p>
    <w:p>
      <w:pPr>
        <w:spacing w:after="0" w:line="136"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9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Company grants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For these awards that are subject to market-related performance, the fair value is determined based on the number of shares granted and a Monte Carlo valuation model, which incorporates the probability of the achievement of the market-related performance goals as part of the grant date fair value. If such performance goals are not ultimately met, the expense is not reversed. Stock-based compensation expense is recognized ratably over the requisite service period.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1"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In the event the underlying terms of stock awards are modified on which stock-based compensation was granted, additional expense is recognized for any modification that increases the total fair value of the share-based payment arrangement at the modification date.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16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Company recognizes uncertain tax positions when it meets a more-likely-than-not threshold. The Company recognizes potential accrued interest and penalties related to unrecognized tax benefits as income tax expense.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Net Loss per Share of Common Stock</w:t>
      </w:r>
    </w:p>
    <w:p>
      <w:pPr>
        <w:spacing w:after="0" w:line="136"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4"/>
          <w:szCs w:val="14"/>
          <w:color w:val="auto"/>
        </w:rPr>
        <w:t>The Company calculates basic and diluted net loss per common share attributable to shareholders in conformity with the two-class method required for companies with participating securities. The Company considers all early exercised stock options to be participating securities as the holders are entitled to receive dividends on a pari passu basis in the event that a dividend is paid on common stock. Under the two-class method, the net loss attributable to common stock is not allocated to the early exercised stock options as the holders do not have a contractual obligation to share in losses.</w:t>
      </w:r>
    </w:p>
    <w:p>
      <w:pPr>
        <w:spacing w:after="0" w:line="103" w:lineRule="exact"/>
        <w:rPr>
          <w:sz w:val="20"/>
          <w:szCs w:val="20"/>
          <w:color w:val="auto"/>
        </w:rPr>
      </w:pPr>
    </w:p>
    <w:p>
      <w:pPr>
        <w:jc w:val="both"/>
        <w:ind w:firstLine="350"/>
        <w:spacing w:after="0" w:line="260" w:lineRule="auto"/>
        <w:rPr>
          <w:sz w:val="20"/>
          <w:szCs w:val="20"/>
          <w:color w:val="auto"/>
        </w:rPr>
      </w:pPr>
      <w:r>
        <w:rPr>
          <w:rFonts w:ascii="Arial" w:cs="Arial" w:eastAsia="Arial" w:hAnsi="Arial"/>
          <w:sz w:val="14"/>
          <w:szCs w:val="14"/>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common stock options, restricted stock units and warrants are considered to be potentially dilutive securities. Because the Company has reported a net loss in all periods presented, common stock options and warrants are anti-dilutive and therefore diluted net loss per common share is the same as basic net loss per common share for those periods.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136"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Comprehensive loss represents changes in the stockholders’ equity except those resulting from distributions to stockholders. The Company’s unrealized foreign currency translation income (losses) and unrealized gains (losses) on marketable securities represent the two components of other comprehensive income that are excluded from the reported net loss for each of the reporting periods and has been presented in the consolidated statements of operations and comprehensive loss.</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Warrants</w:t>
      </w:r>
    </w:p>
    <w:p>
      <w:pPr>
        <w:spacing w:after="0" w:line="136" w:lineRule="exact"/>
        <w:rPr>
          <w:sz w:val="20"/>
          <w:szCs w:val="20"/>
          <w:color w:val="auto"/>
        </w:rPr>
      </w:pPr>
    </w:p>
    <w:p>
      <w:pPr>
        <w:jc w:val="both"/>
        <w:ind w:firstLine="350"/>
        <w:spacing w:after="0" w:line="319" w:lineRule="auto"/>
        <w:rPr>
          <w:sz w:val="20"/>
          <w:szCs w:val="20"/>
          <w:color w:val="auto"/>
        </w:rPr>
      </w:pPr>
      <w:r>
        <w:rPr>
          <w:rFonts w:ascii="Arial" w:cs="Arial" w:eastAsia="Arial" w:hAnsi="Arial"/>
          <w:sz w:val="12"/>
          <w:szCs w:val="12"/>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equity section of the consolidated balance sheet. The Company determined that the warrants for shares of common stock issued in connection with its prior debt arrangements are required to be classified in equity. Warrants classified as equity are recorded as additional paid-in capital on the consolidated balance sheet and no further adjustments to their valuation are made.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9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Recently Adopted Accounting Standards</w:t>
      </w:r>
    </w:p>
    <w:p>
      <w:pPr>
        <w:spacing w:after="0" w:line="136"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In August 2020, the Financial Accounting Standards Board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ASU is effective for public companies, excluding entities eligible to be smaller reporting companies, for fiscal years beginning after December 15, 2021. The new standard went effective on January 1, 2022, and it did not impact the Company's consolidated financial statements and related disclosures.</w:t>
      </w:r>
    </w:p>
    <w:p>
      <w:pPr>
        <w:spacing w:after="0" w:line="95" w:lineRule="exact"/>
        <w:rPr>
          <w:sz w:val="20"/>
          <w:szCs w:val="20"/>
          <w:color w:val="auto"/>
        </w:rPr>
      </w:pPr>
    </w:p>
    <w:p>
      <w:pPr>
        <w:jc w:val="both"/>
        <w:ind w:firstLine="382"/>
        <w:spacing w:after="0" w:line="277" w:lineRule="auto"/>
        <w:rPr>
          <w:sz w:val="20"/>
          <w:szCs w:val="20"/>
          <w:color w:val="auto"/>
        </w:rPr>
      </w:pPr>
      <w:r>
        <w:rPr>
          <w:rFonts w:ascii="Arial" w:cs="Arial" w:eastAsia="Arial" w:hAnsi="Arial"/>
          <w:sz w:val="13"/>
          <w:szCs w:val="13"/>
          <w:color w:val="auto"/>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which clarifies and reduces diversity in an issuer’s accounting for modifications or exchanges of freestanding equity-classified written call options that remain equity classified after modification or exchange. An entity should measure the effect of a modification or an exchange of a freestanding equity-classified written call option that remains equity classified after modification or exchange as follows: i) for a modification or an exchange that is a part of or directly related to a modification or an exchange of an existing debt instrument or line-of-credit or revolving-debt arrangements (hereinafter, referred to as a “debt” or “debt instrument”), as the difference between the fair value of the modified or exchanged written call option and the fair value of that written call option immediately before it is modified or exchanged; ii) for all other modifications or exchanges, as the excess, if any, of the fair value of the modified or exchanged written call option over the fair value of that written call option immediately before it is modified or exchanged. The amendments in this update are effective for all entities for fiscal years beginning after December 15, 2021, including interim periods within those fiscal years. An entity should apply the amendments prospectively to modifications or exchanges occurring on or after the effective date of the amendments. The new standard went effective on January 1, 2022, and it did not impact the Company's consolidated financial statements and related disclosures.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Recently Issued Accounting Standards Not Yet Effective</w:t>
      </w:r>
    </w:p>
    <w:p>
      <w:pPr>
        <w:spacing w:after="0" w:line="179" w:lineRule="exact"/>
        <w:rPr>
          <w:sz w:val="20"/>
          <w:szCs w:val="20"/>
          <w:color w:val="auto"/>
        </w:rPr>
      </w:pPr>
    </w:p>
    <w:p>
      <w:pPr>
        <w:jc w:val="both"/>
        <w:ind w:firstLine="350"/>
        <w:spacing w:after="0" w:line="260" w:lineRule="auto"/>
        <w:rPr>
          <w:sz w:val="20"/>
          <w:szCs w:val="20"/>
          <w:color w:val="auto"/>
        </w:rPr>
      </w:pPr>
      <w:r>
        <w:rPr>
          <w:rFonts w:ascii="Arial" w:cs="Arial" w:eastAsia="Arial" w:hAnsi="Arial"/>
          <w:sz w:val="14"/>
          <w:szCs w:val="14"/>
          <w:color w:val="auto"/>
        </w:rPr>
        <w:t>In March 2022, the FASB issued ASU 2022-02, Financial Instruments - Credit Losses (Topic 326), Troubled Debt Restructurings (“TDRs”) and Vintage Disclosures. ASU 2022-02 eliminates the accounting guidance for TDRs in ASC 310-40, Receivables - Troubled Debt Restructurings by Creditors. In addition, ASU 2022-02 also requires that public business entities disclose current-period gross write-offs by year of origination for financing receivables and net investments in leases within the scope of Subtopic 326-20, Financial Instruments—Credit Losses—Measured at Amortized Cost. The ASU is effective for public companies, excluding entities eligible to be smaller reporting companies, for fiscal years beginning after December 15, 2022. The Company is currently evaluating the impact of applying this guidance on its consolidated financial statements and related disclosures.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Marketable Securities</w:t>
      </w:r>
    </w:p>
    <w:p>
      <w:pPr>
        <w:spacing w:after="0" w:line="18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All of the Company's marketable securities were available-for-sale debt securities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table below summarizes the marketable securities:</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5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3"/>
                <w:szCs w:val="13"/>
                <w:b w:val="1"/>
                <w:bCs w:val="1"/>
                <w:color w:val="auto"/>
                <w:w w:val="88"/>
              </w:rPr>
              <w:t>December 31, 2022</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0"/>
        </w:trPr>
        <w:tc>
          <w:tcPr>
            <w:tcW w:w="5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3"/>
              </w:rPr>
              <w:t>Amortized Cost</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Unrealized Gains</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Unrealized Losses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Aggregate Fair Value</w:t>
            </w:r>
          </w:p>
        </w:tc>
      </w:tr>
      <w:tr>
        <w:trPr>
          <w:trHeight w:val="160"/>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8"/>
          </w:tcPr>
          <w:p>
            <w:pPr>
              <w:jc w:val="center"/>
              <w:ind w:right="360"/>
              <w:spacing w:after="0"/>
              <w:rPr>
                <w:sz w:val="20"/>
                <w:szCs w:val="20"/>
                <w:color w:val="auto"/>
              </w:rPr>
            </w:pPr>
            <w:r>
              <w:rPr>
                <w:rFonts w:ascii="Arial" w:cs="Arial" w:eastAsia="Arial" w:hAnsi="Arial"/>
                <w:sz w:val="13"/>
                <w:szCs w:val="13"/>
                <w:b w:val="1"/>
                <w:bCs w:val="1"/>
                <w:color w:val="auto"/>
                <w:w w:val="84"/>
              </w:rPr>
              <w:t>(in thousands)</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3"/>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8,002</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8,002</w:t>
            </w:r>
          </w:p>
        </w:tc>
      </w:tr>
      <w:tr>
        <w:trPr>
          <w:trHeight w:val="171"/>
        </w:trPr>
        <w:tc>
          <w:tcPr>
            <w:tcW w:w="51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Cash equivalents</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8,002</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8,002</w:t>
            </w:r>
          </w:p>
        </w:tc>
      </w:tr>
      <w:tr>
        <w:trPr>
          <w:trHeight w:val="139"/>
        </w:trPr>
        <w:tc>
          <w:tcPr>
            <w:tcW w:w="5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80"/>
        </w:trPr>
        <w:tc>
          <w:tcPr>
            <w:tcW w:w="5140" w:type="dxa"/>
            <w:vAlign w:val="bottom"/>
          </w:tcPr>
          <w:p>
            <w:pPr>
              <w:spacing w:after="0"/>
              <w:rPr>
                <w:sz w:val="20"/>
                <w:szCs w:val="20"/>
                <w:color w:val="auto"/>
              </w:rPr>
            </w:pPr>
            <w:r>
              <w:rPr>
                <w:rFonts w:ascii="Arial" w:cs="Arial" w:eastAsia="Arial" w:hAnsi="Arial"/>
                <w:sz w:val="14"/>
                <w:szCs w:val="14"/>
                <w:color w:val="auto"/>
              </w:rPr>
              <w:t>U.S. treasury securities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48,636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48,535</w:t>
            </w:r>
          </w:p>
        </w:tc>
      </w:tr>
      <w:tr>
        <w:trPr>
          <w:trHeight w:val="181"/>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U.S. agency bonds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2,921</w:t>
            </w:r>
          </w:p>
        </w:tc>
      </w:tr>
      <w:tr>
        <w:trPr>
          <w:trHeight w:val="180"/>
        </w:trPr>
        <w:tc>
          <w:tcPr>
            <w:tcW w:w="5140" w:type="dxa"/>
            <w:vAlign w:val="bottom"/>
          </w:tcPr>
          <w:p>
            <w:pPr>
              <w:spacing w:after="0"/>
              <w:rPr>
                <w:sz w:val="20"/>
                <w:szCs w:val="20"/>
                <w:color w:val="auto"/>
              </w:rPr>
            </w:pPr>
            <w:r>
              <w:rPr>
                <w:rFonts w:ascii="Arial" w:cs="Arial" w:eastAsia="Arial" w:hAnsi="Arial"/>
                <w:sz w:val="14"/>
                <w:szCs w:val="14"/>
                <w:color w:val="auto"/>
              </w:rPr>
              <w:t>Corporate bonds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2,914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2,911</w:t>
            </w:r>
          </w:p>
        </w:tc>
      </w:tr>
      <w:tr>
        <w:trPr>
          <w:trHeight w:val="181"/>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22,206</w:t>
            </w:r>
          </w:p>
        </w:tc>
      </w:tr>
      <w:tr>
        <w:trPr>
          <w:trHeight w:val="171"/>
        </w:trPr>
        <w:tc>
          <w:tcPr>
            <w:tcW w:w="51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Short-term investments</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76,674</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76,573</w:t>
            </w:r>
          </w:p>
        </w:tc>
      </w:tr>
      <w:tr>
        <w:trPr>
          <w:trHeight w:val="196"/>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marketable securities</w:t>
            </w: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84,676</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84,575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321"/>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3"/>
                <w:szCs w:val="13"/>
                <w:b w:val="1"/>
                <w:bCs w:val="1"/>
                <w:color w:val="auto"/>
                <w:w w:val="87"/>
              </w:rPr>
              <w:t>December 31, 2021</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0"/>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3"/>
              </w:rPr>
              <w:t>Amortized Cost</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Unrealized Gains</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Unrealized Losses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Aggregate Fair Value</w:t>
            </w:r>
          </w:p>
        </w:tc>
      </w:tr>
      <w:tr>
        <w:trPr>
          <w:trHeight w:val="160"/>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8"/>
          </w:tcPr>
          <w:p>
            <w:pPr>
              <w:jc w:val="center"/>
              <w:ind w:right="340"/>
              <w:spacing w:after="0"/>
              <w:rPr>
                <w:sz w:val="20"/>
                <w:szCs w:val="20"/>
                <w:color w:val="auto"/>
              </w:rPr>
            </w:pPr>
            <w:r>
              <w:rPr>
                <w:rFonts w:ascii="Arial" w:cs="Arial" w:eastAsia="Arial" w:hAnsi="Arial"/>
                <w:sz w:val="13"/>
                <w:szCs w:val="13"/>
                <w:b w:val="1"/>
                <w:bCs w:val="1"/>
                <w:color w:val="auto"/>
                <w:w w:val="87"/>
              </w:rPr>
              <w:t>(in thousands)</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3"/>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57,829</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57,829</w:t>
            </w:r>
          </w:p>
        </w:tc>
      </w:tr>
      <w:tr>
        <w:trPr>
          <w:trHeight w:val="171"/>
        </w:trPr>
        <w:tc>
          <w:tcPr>
            <w:tcW w:w="514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57,829</w:t>
            </w: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57,829</w:t>
            </w:r>
          </w:p>
        </w:tc>
      </w:tr>
      <w:tr>
        <w:trPr>
          <w:trHeight w:val="97"/>
        </w:trPr>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80"/>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U.S. treasury securities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28,064</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28,048</w:t>
            </w:r>
          </w:p>
        </w:tc>
      </w:tr>
      <w:tr>
        <w:trPr>
          <w:trHeight w:val="180"/>
        </w:trPr>
        <w:tc>
          <w:tcPr>
            <w:tcW w:w="5140" w:type="dxa"/>
            <w:vAlign w:val="bottom"/>
          </w:tcPr>
          <w:p>
            <w:pPr>
              <w:spacing w:after="0"/>
              <w:rPr>
                <w:sz w:val="20"/>
                <w:szCs w:val="20"/>
                <w:color w:val="auto"/>
              </w:rPr>
            </w:pPr>
            <w:r>
              <w:rPr>
                <w:rFonts w:ascii="Arial" w:cs="Arial" w:eastAsia="Arial" w:hAnsi="Arial"/>
                <w:sz w:val="14"/>
                <w:szCs w:val="14"/>
                <w:color w:val="auto"/>
              </w:rPr>
              <w:t>Corporate bonds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31,558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31,539</w:t>
            </w:r>
          </w:p>
        </w:tc>
      </w:tr>
      <w:tr>
        <w:trPr>
          <w:trHeight w:val="181"/>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23,973</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23,973</w:t>
            </w:r>
          </w:p>
        </w:tc>
      </w:tr>
      <w:tr>
        <w:trPr>
          <w:trHeight w:val="171"/>
        </w:trPr>
        <w:tc>
          <w:tcPr>
            <w:tcW w:w="5140" w:type="dxa"/>
            <w:vAlign w:val="bottom"/>
          </w:tcPr>
          <w:p>
            <w:pPr>
              <w:ind w:left="160"/>
              <w:spacing w:after="0"/>
              <w:rPr>
                <w:sz w:val="20"/>
                <w:szCs w:val="20"/>
                <w:color w:val="auto"/>
              </w:rPr>
            </w:pPr>
            <w:r>
              <w:rPr>
                <w:rFonts w:ascii="Arial" w:cs="Arial" w:eastAsia="Arial" w:hAnsi="Arial"/>
                <w:sz w:val="14"/>
                <w:szCs w:val="14"/>
                <w:color w:val="auto"/>
              </w:rPr>
              <w:t>Short-term investments</w:t>
            </w: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83,595</w:t>
            </w: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83,560</w:t>
            </w:r>
          </w:p>
        </w:tc>
      </w:tr>
      <w:tr>
        <w:trPr>
          <w:trHeight w:val="65"/>
        </w:trPr>
        <w:tc>
          <w:tcPr>
            <w:tcW w:w="5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0"/>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Total marketable securities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141,424</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141,389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As of December 31, 2022 and 2021,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consolidated balance sheets during the years ended December 31, 2022 and 2021.</w:t>
      </w:r>
    </w:p>
    <w:p>
      <w:pPr>
        <w:spacing w:after="0" w:line="16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Company elected to present accrued interest receivable separately from short-term and long-term investments on its consolidated balance sheets. Accrued interest receivable was $0.2 million as of December 31, 2022,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years ended December 31, 2022 and 2021.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Fair Value Measurement</w:t>
      </w:r>
    </w:p>
    <w:p>
      <w:pPr>
        <w:spacing w:after="0" w:line="183"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4"/>
          <w:szCs w:val="14"/>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requires fair value hierarchy measurements and disclosures for the periods presented.</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table below summarizes the fair value of the Company’s marketable securities measured at fair value on a recurring basis based on the three-tier fair value hierarchy:</w:t>
      </w:r>
    </w:p>
    <w:p>
      <w:pPr>
        <w:spacing w:after="0" w:line="115" w:lineRule="exact"/>
        <w:rPr>
          <w:sz w:val="20"/>
          <w:szCs w:val="20"/>
          <w:color w:val="auto"/>
        </w:rPr>
      </w:pPr>
    </w:p>
    <w:tbl>
      <w:tblPr>
        <w:tblLayout w:type="fixed"/>
        <w:tblInd w:w="420" w:type="dxa"/>
        <w:tblCellMar>
          <w:top w:w="0" w:type="dxa"/>
          <w:left w:w="0" w:type="dxa"/>
          <w:bottom w:w="0" w:type="dxa"/>
          <w:right w:w="0" w:type="dxa"/>
        </w:tblCellMar>
      </w:tblPr>
      <w:tr>
        <w:trPr>
          <w:trHeight w:val="168"/>
        </w:trPr>
        <w:tc>
          <w:tcPr>
            <w:tcW w:w="5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December 31, 2022</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0"/>
        </w:trPr>
        <w:tc>
          <w:tcPr>
            <w:tcW w:w="5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Level 1</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Level 2</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Total</w:t>
            </w:r>
          </w:p>
        </w:tc>
      </w:tr>
      <w:tr>
        <w:trPr>
          <w:trHeight w:val="160"/>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Marketable securities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5160" w:type="dxa"/>
            <w:vAlign w:val="bottom"/>
          </w:tcPr>
          <w:p>
            <w:pPr>
              <w:ind w:left="100"/>
              <w:spacing w:after="0"/>
              <w:rPr>
                <w:sz w:val="20"/>
                <w:szCs w:val="20"/>
                <w:color w:val="auto"/>
              </w:rPr>
            </w:pPr>
            <w:r>
              <w:rPr>
                <w:rFonts w:ascii="Arial" w:cs="Arial" w:eastAsia="Arial" w:hAnsi="Arial"/>
                <w:sz w:val="14"/>
                <w:szCs w:val="14"/>
                <w:color w:val="auto"/>
              </w:rPr>
              <w:t>Money market funds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8,002</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793"/>
              <w:spacing w:after="0"/>
              <w:rPr>
                <w:sz w:val="20"/>
                <w:szCs w:val="20"/>
                <w:color w:val="auto"/>
              </w:rPr>
            </w:pPr>
            <w:r>
              <w:rPr>
                <w:rFonts w:ascii="Arial" w:cs="Arial" w:eastAsia="Arial" w:hAnsi="Arial"/>
                <w:sz w:val="14"/>
                <w:szCs w:val="14"/>
                <w:color w:val="auto"/>
              </w:rPr>
              <w:t>$</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8,002</w:t>
            </w:r>
          </w:p>
        </w:tc>
      </w:tr>
      <w:tr>
        <w:trPr>
          <w:trHeight w:val="181"/>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U.S. treasury securities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48,535</w:t>
            </w:r>
          </w:p>
        </w:tc>
      </w:tr>
      <w:tr>
        <w:trPr>
          <w:trHeight w:val="180"/>
        </w:trPr>
        <w:tc>
          <w:tcPr>
            <w:tcW w:w="5160" w:type="dxa"/>
            <w:vAlign w:val="bottom"/>
          </w:tcPr>
          <w:p>
            <w:pPr>
              <w:ind w:left="100"/>
              <w:spacing w:after="0"/>
              <w:rPr>
                <w:sz w:val="20"/>
                <w:szCs w:val="20"/>
                <w:color w:val="auto"/>
              </w:rPr>
            </w:pPr>
            <w:r>
              <w:rPr>
                <w:rFonts w:ascii="Arial" w:cs="Arial" w:eastAsia="Arial" w:hAnsi="Arial"/>
                <w:sz w:val="14"/>
                <w:szCs w:val="14"/>
                <w:color w:val="auto"/>
              </w:rPr>
              <w:t>U.S. agency bonds</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2,921</w:t>
            </w:r>
          </w:p>
        </w:tc>
        <w:tc>
          <w:tcPr>
            <w:tcW w:w="100" w:type="dxa"/>
            <w:vAlign w:val="bottom"/>
            <w:shd w:val="clear" w:color="auto" w:fill="CCEEFF"/>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2,921</w:t>
            </w:r>
          </w:p>
        </w:tc>
      </w:tr>
      <w:tr>
        <w:trPr>
          <w:trHeight w:val="181"/>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 bonds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w:t>
            </w:r>
          </w:p>
        </w:tc>
      </w:tr>
      <w:tr>
        <w:trPr>
          <w:trHeight w:val="180"/>
        </w:trPr>
        <w:tc>
          <w:tcPr>
            <w:tcW w:w="51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Commercial paper</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22,206</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22,206</w:t>
            </w:r>
          </w:p>
        </w:tc>
      </w:tr>
      <w:tr>
        <w:trPr>
          <w:trHeight w:val="196"/>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marketable securities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56,537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28,038</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84,575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353"/>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December 31, 2021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60"/>
        </w:trPr>
        <w:tc>
          <w:tcPr>
            <w:tcW w:w="5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Level 1</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Level 2</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Total</w:t>
            </w:r>
          </w:p>
        </w:tc>
      </w:tr>
      <w:tr>
        <w:trPr>
          <w:trHeight w:val="160"/>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Marketable securities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5160" w:type="dxa"/>
            <w:vAlign w:val="bottom"/>
          </w:tcPr>
          <w:p>
            <w:pPr>
              <w:ind w:left="100"/>
              <w:spacing w:after="0"/>
              <w:rPr>
                <w:sz w:val="20"/>
                <w:szCs w:val="20"/>
                <w:color w:val="auto"/>
              </w:rPr>
            </w:pPr>
            <w:r>
              <w:rPr>
                <w:rFonts w:ascii="Arial" w:cs="Arial" w:eastAsia="Arial" w:hAnsi="Arial"/>
                <w:sz w:val="14"/>
                <w:szCs w:val="14"/>
                <w:color w:val="auto"/>
              </w:rPr>
              <w:t>Money market funds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57,829</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793"/>
              <w:spacing w:after="0"/>
              <w:rPr>
                <w:sz w:val="20"/>
                <w:szCs w:val="20"/>
                <w:color w:val="auto"/>
              </w:rPr>
            </w:pPr>
            <w:r>
              <w:rPr>
                <w:rFonts w:ascii="Arial" w:cs="Arial" w:eastAsia="Arial" w:hAnsi="Arial"/>
                <w:sz w:val="14"/>
                <w:szCs w:val="14"/>
                <w:color w:val="auto"/>
              </w:rPr>
              <w:t>$</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57,829</w:t>
            </w:r>
          </w:p>
        </w:tc>
      </w:tr>
      <w:tr>
        <w:trPr>
          <w:trHeight w:val="181"/>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U.S. treasury securities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28,048</w:t>
            </w:r>
          </w:p>
        </w:tc>
      </w:tr>
      <w:tr>
        <w:trPr>
          <w:trHeight w:val="180"/>
        </w:trPr>
        <w:tc>
          <w:tcPr>
            <w:tcW w:w="5160" w:type="dxa"/>
            <w:vAlign w:val="bottom"/>
          </w:tcPr>
          <w:p>
            <w:pPr>
              <w:ind w:left="100"/>
              <w:spacing w:after="0"/>
              <w:rPr>
                <w:sz w:val="20"/>
                <w:szCs w:val="20"/>
                <w:color w:val="auto"/>
              </w:rPr>
            </w:pPr>
            <w:r>
              <w:rPr>
                <w:rFonts w:ascii="Arial" w:cs="Arial" w:eastAsia="Arial" w:hAnsi="Arial"/>
                <w:sz w:val="14"/>
                <w:szCs w:val="14"/>
                <w:color w:val="auto"/>
              </w:rPr>
              <w:t>Corporate bonds</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31,539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31,539</w:t>
            </w:r>
          </w:p>
        </w:tc>
      </w:tr>
      <w:tr>
        <w:trPr>
          <w:trHeight w:val="181"/>
        </w:trPr>
        <w:tc>
          <w:tcPr>
            <w:tcW w:w="5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Commercial paper</w:t>
            </w: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23,973</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23,973</w:t>
            </w:r>
          </w:p>
        </w:tc>
      </w:tr>
      <w:tr>
        <w:trPr>
          <w:trHeight w:val="171"/>
        </w:trPr>
        <w:tc>
          <w:tcPr>
            <w:tcW w:w="5160" w:type="dxa"/>
            <w:vAlign w:val="bottom"/>
          </w:tcPr>
          <w:p>
            <w:pPr>
              <w:ind w:left="260"/>
              <w:spacing w:after="0"/>
              <w:rPr>
                <w:sz w:val="20"/>
                <w:szCs w:val="20"/>
                <w:color w:val="auto"/>
              </w:rPr>
            </w:pPr>
            <w:r>
              <w:rPr>
                <w:rFonts w:ascii="Arial" w:cs="Arial" w:eastAsia="Arial" w:hAnsi="Arial"/>
                <w:sz w:val="14"/>
                <w:szCs w:val="14"/>
                <w:color w:val="auto"/>
              </w:rPr>
              <w:t>Total marketable securities</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85,877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55,512</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141,389</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60" w:right="9500" w:hanging="355"/>
        <w:spacing w:after="0" w:line="514" w:lineRule="auto"/>
        <w:tabs>
          <w:tab w:leader="none" w:pos="151"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Balance Sheet Components </w:t>
      </w:r>
      <w:r>
        <w:rPr>
          <w:rFonts w:ascii="Arial" w:cs="Arial" w:eastAsia="Arial" w:hAnsi="Arial"/>
          <w:sz w:val="13"/>
          <w:szCs w:val="13"/>
          <w:b w:val="1"/>
          <w:bCs w:val="1"/>
          <w:i w:val="1"/>
          <w:iCs w:val="1"/>
          <w:color w:val="auto"/>
        </w:rPr>
        <w:t>Inventory</w:t>
      </w:r>
    </w:p>
    <w:p>
      <w:pPr>
        <w:ind w:firstLine="350"/>
        <w:spacing w:after="0" w:line="281" w:lineRule="auto"/>
        <w:rPr>
          <w:sz w:val="20"/>
          <w:szCs w:val="20"/>
          <w:color w:val="auto"/>
        </w:rPr>
      </w:pPr>
      <w:r>
        <w:rPr>
          <w:rFonts w:ascii="Arial" w:cs="Arial" w:eastAsia="Arial" w:hAnsi="Arial"/>
          <w:sz w:val="14"/>
          <w:szCs w:val="14"/>
          <w:color w:val="auto"/>
        </w:rPr>
        <w:t>As of December 31, 2022, inventory consisted of finished goods of $15.6 million and work-in-progress and components of $1.7 million. As of December 31, 2021, inventory consisted of finished goods.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Property and Equipment, net</w:t>
      </w:r>
      <w:r>
        <w:rPr>
          <w:rFonts w:ascii="Arial" w:cs="Arial" w:eastAsia="Arial" w:hAnsi="Arial"/>
          <w:sz w:val="14"/>
          <w:szCs w:val="14"/>
          <w:color w:val="auto"/>
        </w:rPr>
        <w:t>:</w:t>
      </w: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168"/>
        </w:trPr>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w w:val="87"/>
              </w:rPr>
              <w:t>December 31, 2021</w:t>
            </w:r>
          </w:p>
        </w:tc>
      </w:tr>
      <w:tr>
        <w:trPr>
          <w:trHeight w:val="245"/>
        </w:trPr>
        <w:tc>
          <w:tcPr>
            <w:tcW w:w="7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4"/>
          </w:tcPr>
          <w:p>
            <w:pPr>
              <w:jc w:val="right"/>
              <w:ind w:right="830"/>
              <w:spacing w:after="0"/>
              <w:rPr>
                <w:sz w:val="20"/>
                <w:szCs w:val="20"/>
                <w:color w:val="auto"/>
              </w:rPr>
            </w:pPr>
            <w:r>
              <w:rPr>
                <w:rFonts w:ascii="Arial" w:cs="Arial" w:eastAsia="Arial" w:hAnsi="Arial"/>
                <w:sz w:val="13"/>
                <w:szCs w:val="13"/>
                <w:b w:val="1"/>
                <w:bCs w:val="1"/>
                <w:color w:val="auto"/>
              </w:rPr>
              <w:t>(in thousands)</w:t>
            </w:r>
          </w:p>
        </w:tc>
      </w:tr>
      <w:tr>
        <w:trPr>
          <w:trHeight w:val="183"/>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Machinery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10,573</w:t>
            </w:r>
          </w:p>
        </w:tc>
      </w:tr>
      <w:tr>
        <w:trPr>
          <w:trHeight w:val="180"/>
        </w:trPr>
        <w:tc>
          <w:tcPr>
            <w:tcW w:w="7800" w:type="dxa"/>
            <w:vAlign w:val="bottom"/>
          </w:tcPr>
          <w:p>
            <w:pPr>
              <w:ind w:left="40"/>
              <w:spacing w:after="0"/>
              <w:rPr>
                <w:sz w:val="20"/>
                <w:szCs w:val="20"/>
                <w:color w:val="auto"/>
              </w:rPr>
            </w:pPr>
            <w:r>
              <w:rPr>
                <w:rFonts w:ascii="Arial" w:cs="Arial" w:eastAsia="Arial" w:hAnsi="Arial"/>
                <w:sz w:val="14"/>
                <w:szCs w:val="14"/>
                <w:color w:val="auto"/>
              </w:rPr>
              <w:t>Construction in progress</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3,657</w:t>
            </w:r>
          </w:p>
        </w:tc>
      </w:tr>
      <w:tr>
        <w:trPr>
          <w:trHeight w:val="181"/>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Computer and office equipment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r>
      <w:tr>
        <w:trPr>
          <w:trHeight w:val="180"/>
        </w:trPr>
        <w:tc>
          <w:tcPr>
            <w:tcW w:w="7800" w:type="dxa"/>
            <w:vAlign w:val="bottom"/>
          </w:tcPr>
          <w:p>
            <w:pPr>
              <w:ind w:left="40"/>
              <w:spacing w:after="0"/>
              <w:rPr>
                <w:sz w:val="20"/>
                <w:szCs w:val="20"/>
                <w:color w:val="auto"/>
              </w:rPr>
            </w:pPr>
            <w:r>
              <w:rPr>
                <w:rFonts w:ascii="Arial" w:cs="Arial" w:eastAsia="Arial" w:hAnsi="Arial"/>
                <w:sz w:val="14"/>
                <w:szCs w:val="14"/>
                <w:color w:val="auto"/>
              </w:rPr>
              <w:t>Leasehold improvements</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503</w:t>
            </w:r>
          </w:p>
        </w:tc>
      </w:tr>
      <w:tr>
        <w:trPr>
          <w:trHeight w:val="180"/>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Furniture and fixtures</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r>
      <w:tr>
        <w:trPr>
          <w:trHeight w:val="17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25,771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15,958</w:t>
            </w:r>
          </w:p>
        </w:tc>
      </w:tr>
      <w:tr>
        <w:trPr>
          <w:trHeight w:val="180"/>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 and amortization</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(10,207)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(6,966)</w:t>
            </w:r>
          </w:p>
        </w:tc>
      </w:tr>
      <w:tr>
        <w:trPr>
          <w:trHeight w:val="171"/>
        </w:trPr>
        <w:tc>
          <w:tcPr>
            <w:tcW w:w="78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8,992</w:t>
            </w: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As of December 31, 2022, construction in progress pertains to cost of individual components of a custom instrument set used for surgical placement of the Company's products that have not yet been placed into service of $5.0 million and construction costs related to the lease in Santa Clara and software costs of $2.9 million. Depreciation expense was $3.4 million and $2.1 million for the years ended December 31, 2022 and 2021, respectively.</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Accrued Liabilities and Other</w:t>
      </w:r>
      <w:r>
        <w:rPr>
          <w:rFonts w:ascii="Arial" w:cs="Arial" w:eastAsia="Arial" w:hAnsi="Arial"/>
          <w:sz w:val="14"/>
          <w:szCs w:val="14"/>
          <w:color w:val="auto"/>
        </w:rPr>
        <w:t>:</w:t>
      </w:r>
    </w:p>
    <w:p>
      <w:pPr>
        <w:spacing w:after="0" w:line="115" w:lineRule="exact"/>
        <w:rPr>
          <w:sz w:val="20"/>
          <w:szCs w:val="20"/>
          <w:color w:val="auto"/>
        </w:rPr>
      </w:pPr>
    </w:p>
    <w:tbl>
      <w:tblPr>
        <w:tblLayout w:type="fixed"/>
        <w:tblInd w:w="440" w:type="dxa"/>
        <w:tblCellMar>
          <w:top w:w="0" w:type="dxa"/>
          <w:left w:w="0" w:type="dxa"/>
          <w:bottom w:w="0" w:type="dxa"/>
          <w:right w:w="0" w:type="dxa"/>
        </w:tblCellMar>
      </w:tblPr>
      <w:tr>
        <w:trPr>
          <w:trHeight w:val="168"/>
        </w:trPr>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w w:val="87"/>
              </w:rPr>
              <w:t>December 31, 2021</w:t>
            </w:r>
          </w:p>
        </w:tc>
      </w:tr>
      <w:tr>
        <w:trPr>
          <w:trHeight w:val="160"/>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4"/>
          </w:tcPr>
          <w:p>
            <w:pPr>
              <w:jc w:val="right"/>
              <w:ind w:right="811"/>
              <w:spacing w:after="0"/>
              <w:rPr>
                <w:sz w:val="20"/>
                <w:szCs w:val="20"/>
                <w:color w:val="auto"/>
              </w:rPr>
            </w:pPr>
            <w:r>
              <w:rPr>
                <w:rFonts w:ascii="Arial" w:cs="Arial" w:eastAsia="Arial" w:hAnsi="Arial"/>
                <w:sz w:val="13"/>
                <w:szCs w:val="13"/>
                <w:b w:val="1"/>
                <w:bCs w:val="1"/>
                <w:color w:val="auto"/>
              </w:rPr>
              <w:t>(in thousands)</w:t>
            </w:r>
          </w:p>
        </w:tc>
      </w:tr>
      <w:tr>
        <w:trPr>
          <w:trHeight w:val="183"/>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compensation and related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10,055</w:t>
            </w:r>
          </w:p>
        </w:tc>
      </w:tr>
      <w:tr>
        <w:trPr>
          <w:trHeight w:val="180"/>
        </w:trPr>
        <w:tc>
          <w:tcPr>
            <w:tcW w:w="7800" w:type="dxa"/>
            <w:vAlign w:val="bottom"/>
          </w:tcPr>
          <w:p>
            <w:pPr>
              <w:ind w:left="40"/>
              <w:spacing w:after="0"/>
              <w:rPr>
                <w:sz w:val="20"/>
                <w:szCs w:val="20"/>
                <w:color w:val="auto"/>
              </w:rPr>
            </w:pPr>
            <w:r>
              <w:rPr>
                <w:rFonts w:ascii="Arial" w:cs="Arial" w:eastAsia="Arial" w:hAnsi="Arial"/>
                <w:sz w:val="14"/>
                <w:szCs w:val="14"/>
                <w:color w:val="auto"/>
              </w:rPr>
              <w:t>Accrued professional services</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995</w:t>
            </w:r>
          </w:p>
        </w:tc>
      </w:tr>
      <w:tr>
        <w:trPr>
          <w:trHeight w:val="180"/>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w:t>
            </w:r>
          </w:p>
        </w:tc>
      </w:tr>
      <w:tr>
        <w:trPr>
          <w:trHeight w:val="171"/>
        </w:trPr>
        <w:tc>
          <w:tcPr>
            <w:tcW w:w="78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12,353</w:t>
            </w: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Commitments and Contingencies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Leases</w:t>
      </w:r>
    </w:p>
    <w:p>
      <w:pPr>
        <w:spacing w:after="0" w:line="136"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The Company has a non-cancelable operating lease for an office building space, located in Santa Clara, California, which expires in May 2025 and a building used for research and development and warehouse space in Santa Clara, California, which expires in October 2026. The Company also has non-cancelable operating leases for its office building spaces in Gallarate, Italy and Knaresborough, United Kingdom, which expire in August 2027 and December 2025, respectively.</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also leases vehicles under operating lease arrangements for certain of its personnel in Europe which expire at various times throughout 2022 to 2027.</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Supplemental information related to lease expense and valuation of the lease assets and lease liabilities are as follows: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55" w:lineRule="exact"/>
        <w:rPr>
          <w:sz w:val="20"/>
          <w:szCs w:val="20"/>
          <w:color w:val="auto"/>
        </w:rPr>
      </w:pPr>
    </w:p>
    <w:tbl>
      <w:tblPr>
        <w:tblLayout w:type="fixed"/>
        <w:tblInd w:w="360" w:type="dxa"/>
        <w:tblCellMar>
          <w:top w:w="0" w:type="dxa"/>
          <w:left w:w="0" w:type="dxa"/>
          <w:bottom w:w="0" w:type="dxa"/>
          <w:right w:w="0" w:type="dxa"/>
        </w:tblCellMar>
      </w:tblPr>
      <w:tr>
        <w:trPr>
          <w:trHeight w:val="168"/>
        </w:trPr>
        <w:tc>
          <w:tcPr>
            <w:tcW w:w="1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3"/>
                <w:szCs w:val="13"/>
                <w:b w:val="1"/>
                <w:bCs w:val="1"/>
                <w:color w:val="auto"/>
                <w:w w:val="92"/>
              </w:rPr>
              <w:t>December 31, 2022</w:t>
            </w: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3"/>
                <w:szCs w:val="13"/>
                <w:b w:val="1"/>
                <w:bCs w:val="1"/>
                <w:color w:val="auto"/>
              </w:rPr>
              <w:t>December 31, 2021</w:t>
            </w:r>
          </w:p>
        </w:tc>
      </w:tr>
      <w:tr>
        <w:trPr>
          <w:trHeight w:val="160"/>
        </w:trPr>
        <w:tc>
          <w:tcPr>
            <w:tcW w:w="16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tcPr>
          <w:p>
            <w:pPr>
              <w:ind w:left="820"/>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Pr>
          <w:p>
            <w:pPr>
              <w:spacing w:after="0"/>
              <w:rPr>
                <w:sz w:val="13"/>
                <w:szCs w:val="13"/>
                <w:color w:val="auto"/>
              </w:rPr>
            </w:pPr>
          </w:p>
        </w:tc>
      </w:tr>
      <w:tr>
        <w:trPr>
          <w:trHeight w:val="204"/>
        </w:trPr>
        <w:tc>
          <w:tcPr>
            <w:tcW w:w="16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1,599</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1,181</w:t>
            </w:r>
          </w:p>
        </w:tc>
      </w:tr>
      <w:tr>
        <w:trPr>
          <w:trHeight w:val="201"/>
        </w:trPr>
        <w:tc>
          <w:tcPr>
            <w:tcW w:w="160" w:type="dxa"/>
            <w:vAlign w:val="bottom"/>
          </w:tcPr>
          <w:p>
            <w:pPr>
              <w:spacing w:after="0"/>
              <w:rPr>
                <w:sz w:val="17"/>
                <w:szCs w:val="17"/>
                <w:color w:val="auto"/>
              </w:rPr>
            </w:pPr>
          </w:p>
        </w:tc>
        <w:tc>
          <w:tcPr>
            <w:tcW w:w="7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Variable lease expense</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461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266</w:t>
            </w:r>
          </w:p>
        </w:tc>
      </w:tr>
      <w:tr>
        <w:trPr>
          <w:trHeight w:val="196"/>
        </w:trPr>
        <w:tc>
          <w:tcPr>
            <w:tcW w:w="160" w:type="dxa"/>
            <w:vAlign w:val="bottom"/>
          </w:tcPr>
          <w:p>
            <w:pPr>
              <w:spacing w:after="0"/>
              <w:rPr>
                <w:sz w:val="16"/>
                <w:szCs w:val="16"/>
                <w:color w:val="auto"/>
              </w:rPr>
            </w:pPr>
          </w:p>
        </w:tc>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lease expense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2,060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1,447</w:t>
            </w:r>
          </w:p>
        </w:tc>
      </w:tr>
      <w:tr>
        <w:trPr>
          <w:trHeight w:val="20"/>
        </w:trPr>
        <w:tc>
          <w:tcPr>
            <w:tcW w:w="16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16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2"/>
        </w:trPr>
        <w:tc>
          <w:tcPr>
            <w:tcW w:w="16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1,600</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1,225</w:t>
            </w:r>
          </w:p>
        </w:tc>
      </w:tr>
      <w:tr>
        <w:trPr>
          <w:trHeight w:val="180"/>
        </w:trPr>
        <w:tc>
          <w:tcPr>
            <w:tcW w:w="160" w:type="dxa"/>
            <w:vAlign w:val="bottom"/>
          </w:tcPr>
          <w:p>
            <w:pPr>
              <w:spacing w:after="0"/>
              <w:rPr>
                <w:sz w:val="15"/>
                <w:szCs w:val="15"/>
                <w:color w:val="auto"/>
              </w:rPr>
            </w:pPr>
          </w:p>
        </w:tc>
        <w:tc>
          <w:tcPr>
            <w:tcW w:w="7480" w:type="dxa"/>
            <w:vAlign w:val="bottom"/>
          </w:tcPr>
          <w:p>
            <w:pPr>
              <w:spacing w:after="0"/>
              <w:rPr>
                <w:sz w:val="20"/>
                <w:szCs w:val="20"/>
                <w:color w:val="auto"/>
              </w:rPr>
            </w:pPr>
            <w:r>
              <w:rPr>
                <w:rFonts w:ascii="Arial" w:cs="Arial" w:eastAsia="Arial" w:hAnsi="Arial"/>
                <w:sz w:val="14"/>
                <w:szCs w:val="14"/>
                <w:color w:val="auto"/>
              </w:rPr>
              <w:t>Leased assets obtained in exchange for new operating lease liabilities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2"/>
        </w:trPr>
        <w:tc>
          <w:tcPr>
            <w:tcW w:w="1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33"/>
              <w:spacing w:after="0"/>
              <w:rPr>
                <w:sz w:val="20"/>
                <w:szCs w:val="20"/>
                <w:color w:val="auto"/>
              </w:rPr>
            </w:pPr>
            <w:r>
              <w:rPr>
                <w:rFonts w:ascii="Arial" w:cs="Arial" w:eastAsia="Arial" w:hAnsi="Arial"/>
                <w:sz w:val="14"/>
                <w:szCs w:val="14"/>
                <w:color w:val="auto"/>
              </w:rPr>
              <w:t>127</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2,896</w:t>
            </w:r>
          </w:p>
        </w:tc>
      </w:tr>
      <w:tr>
        <w:trPr>
          <w:trHeight w:val="212"/>
        </w:trPr>
        <w:tc>
          <w:tcPr>
            <w:tcW w:w="16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1"/>
        </w:trPr>
        <w:tc>
          <w:tcPr>
            <w:tcW w:w="16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4"/>
                <w:szCs w:val="14"/>
                <w:color w:val="auto"/>
              </w:rPr>
              <w:t>Weighted average remaining lease term (in years)</w:t>
            </w:r>
          </w:p>
        </w:tc>
        <w:tc>
          <w:tcPr>
            <w:tcW w:w="160" w:type="dxa"/>
            <w:vAlign w:val="bottom"/>
          </w:tcPr>
          <w:p>
            <w:pPr>
              <w:spacing w:after="0"/>
              <w:rPr>
                <w:sz w:val="17"/>
                <w:szCs w:val="17"/>
                <w:color w:val="auto"/>
              </w:rPr>
            </w:pPr>
          </w:p>
        </w:tc>
        <w:tc>
          <w:tcPr>
            <w:tcW w:w="1340" w:type="dxa"/>
            <w:vAlign w:val="bottom"/>
            <w:gridSpan w:val="2"/>
          </w:tcPr>
          <w:p>
            <w:pPr>
              <w:jc w:val="right"/>
              <w:ind w:right="33"/>
              <w:spacing w:after="0"/>
              <w:rPr>
                <w:sz w:val="20"/>
                <w:szCs w:val="20"/>
                <w:color w:val="auto"/>
              </w:rPr>
            </w:pPr>
            <w:r>
              <w:rPr>
                <w:rFonts w:ascii="Arial" w:cs="Arial" w:eastAsia="Arial" w:hAnsi="Arial"/>
                <w:sz w:val="14"/>
                <w:szCs w:val="14"/>
                <w:color w:val="auto"/>
              </w:rPr>
              <w:t>3.05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3.98</w:t>
            </w:r>
          </w:p>
        </w:tc>
      </w:tr>
      <w:tr>
        <w:trPr>
          <w:trHeight w:val="202"/>
        </w:trPr>
        <w:tc>
          <w:tcPr>
            <w:tcW w:w="16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discount rate</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5.75%</w:t>
            </w:r>
          </w:p>
        </w:tc>
      </w:tr>
      <w:tr>
        <w:trPr>
          <w:trHeight w:val="562"/>
        </w:trPr>
        <w:tc>
          <w:tcPr>
            <w:tcW w:w="7640" w:type="dxa"/>
            <w:vAlign w:val="bottom"/>
            <w:gridSpan w:val="2"/>
          </w:tcPr>
          <w:p>
            <w:pPr>
              <w:spacing w:after="0"/>
              <w:rPr>
                <w:sz w:val="20"/>
                <w:szCs w:val="20"/>
                <w:color w:val="auto"/>
              </w:rPr>
            </w:pPr>
            <w:r>
              <w:rPr>
                <w:rFonts w:ascii="Arial" w:cs="Arial" w:eastAsia="Arial" w:hAnsi="Arial"/>
                <w:sz w:val="14"/>
                <w:szCs w:val="14"/>
                <w:color w:val="auto"/>
              </w:rPr>
              <w:t>Future minimum lease payments under non-cancelable operating leases as of December 31, 2022 was as follows: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3"/>
        </w:trPr>
        <w:tc>
          <w:tcPr>
            <w:tcW w:w="76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4"/>
          </w:tcPr>
          <w:p>
            <w:pPr>
              <w:ind w:left="720"/>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Pr>
          <w:p>
            <w:pPr>
              <w:spacing w:after="0"/>
              <w:rPr>
                <w:sz w:val="24"/>
                <w:szCs w:val="24"/>
                <w:color w:val="auto"/>
              </w:rPr>
            </w:pPr>
          </w:p>
        </w:tc>
      </w:tr>
      <w:tr>
        <w:trPr>
          <w:trHeight w:val="181"/>
        </w:trPr>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2023</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993"/>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1,590</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7640" w:type="dxa"/>
            <w:vAlign w:val="bottom"/>
            <w:gridSpan w:val="2"/>
          </w:tcPr>
          <w:p>
            <w:pPr>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w w:val="96"/>
              </w:rPr>
              <w:t>1,513</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1"/>
        </w:trPr>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2025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1,004</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7640" w:type="dxa"/>
            <w:vAlign w:val="bottom"/>
            <w:gridSpan w:val="2"/>
          </w:tcPr>
          <w:p>
            <w:pPr>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529</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1"/>
        </w:trPr>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2027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1"/>
        </w:trPr>
        <w:tc>
          <w:tcPr>
            <w:tcW w:w="7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operating lease payments</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6"/>
              </w:rPr>
              <w:t>4,645</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imputed interest</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w w:val="91"/>
              </w:rPr>
              <w:t>(386)</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7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operating lease liabilities</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6"/>
              </w:rPr>
              <w:t>4,259</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December 31, 2022, the Company had no operating lease liabilities that had not commenced.</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Purchase Commitments and Obligations</w:t>
      </w:r>
    </w:p>
    <w:p>
      <w:pPr>
        <w:spacing w:after="0" w:line="136" w:lineRule="exact"/>
        <w:rPr>
          <w:sz w:val="20"/>
          <w:szCs w:val="20"/>
          <w:color w:val="auto"/>
        </w:rPr>
      </w:pPr>
    </w:p>
    <w:p>
      <w:pPr>
        <w:jc w:val="both"/>
        <w:ind w:firstLine="350"/>
        <w:spacing w:after="0" w:line="331" w:lineRule="auto"/>
        <w:rPr>
          <w:sz w:val="20"/>
          <w:szCs w:val="20"/>
          <w:color w:val="auto"/>
        </w:rPr>
      </w:pPr>
      <w:r>
        <w:rPr>
          <w:rFonts w:ascii="Arial" w:cs="Arial" w:eastAsia="Arial" w:hAnsi="Arial"/>
          <w:sz w:val="12"/>
          <w:szCs w:val="12"/>
          <w:color w:val="auto"/>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$0.8 million and $1.2 million as of December 31, 2022 and 2021, respectively.</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Indemnification</w:t>
      </w:r>
    </w:p>
    <w:p>
      <w:pPr>
        <w:spacing w:after="0" w:line="136" w:lineRule="exact"/>
        <w:rPr>
          <w:sz w:val="20"/>
          <w:szCs w:val="20"/>
          <w:color w:val="auto"/>
        </w:rPr>
      </w:pPr>
    </w:p>
    <w:p>
      <w:pPr>
        <w:jc w:val="both"/>
        <w:ind w:firstLine="350"/>
        <w:spacing w:after="0" w:line="288" w:lineRule="auto"/>
        <w:rPr>
          <w:sz w:val="20"/>
          <w:szCs w:val="20"/>
          <w:color w:val="auto"/>
        </w:rPr>
      </w:pPr>
      <w:r>
        <w:rPr>
          <w:rFonts w:ascii="Arial" w:cs="Arial" w:eastAsia="Arial" w:hAnsi="Arial"/>
          <w:sz w:val="13"/>
          <w:szCs w:val="13"/>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52"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Company has not incurred costs to defend lawsuits or settle claims related to these indemnification agreements. No liability associated with such indemnifications has been recorded to</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5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Legal Contingencies</w:t>
      </w:r>
    </w:p>
    <w:p>
      <w:pPr>
        <w:spacing w:after="0" w:line="136"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w:t>
      </w:r>
    </w:p>
    <w:p>
      <w:pPr>
        <w:spacing w:after="0" w:line="86" w:lineRule="exact"/>
        <w:rPr>
          <w:sz w:val="20"/>
          <w:szCs w:val="20"/>
          <w:color w:val="auto"/>
        </w:rPr>
      </w:pPr>
    </w:p>
    <w:p>
      <w:pPr>
        <w:ind w:left="380" w:right="10260" w:hanging="375"/>
        <w:spacing w:after="0" w:line="630" w:lineRule="auto"/>
        <w:tabs>
          <w:tab w:leader="none" w:pos="139" w:val="left"/>
        </w:tabs>
        <w:numPr>
          <w:ilvl w:val="0"/>
          <w:numId w:val="4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Borrowings </w:t>
      </w:r>
      <w:r>
        <w:rPr>
          <w:rFonts w:ascii="Arial" w:cs="Arial" w:eastAsia="Arial" w:hAnsi="Arial"/>
          <w:sz w:val="12"/>
          <w:szCs w:val="12"/>
          <w:b w:val="1"/>
          <w:bCs w:val="1"/>
          <w:i w:val="1"/>
          <w:iCs w:val="1"/>
          <w:color w:val="auto"/>
        </w:rPr>
        <w:t>Term Loan</w:t>
      </w:r>
    </w:p>
    <w:p>
      <w:pPr>
        <w:spacing w:after="0" w:line="1" w:lineRule="exact"/>
        <w:rPr>
          <w:rFonts w:ascii="Arial" w:cs="Arial" w:eastAsia="Arial" w:hAnsi="Arial"/>
          <w:sz w:val="12"/>
          <w:szCs w:val="12"/>
          <w:b w:val="1"/>
          <w:bCs w:val="1"/>
          <w:color w:val="auto"/>
        </w:rPr>
      </w:pPr>
    </w:p>
    <w:p>
      <w:pPr>
        <w:ind w:left="380"/>
        <w:spacing w:after="0"/>
        <w:rPr>
          <w:rFonts w:ascii="Arial" w:cs="Arial" w:eastAsia="Arial" w:hAnsi="Arial"/>
          <w:sz w:val="12"/>
          <w:szCs w:val="12"/>
          <w:b w:val="1"/>
          <w:bCs w:val="1"/>
          <w:color w:val="auto"/>
        </w:rPr>
      </w:pPr>
      <w:r>
        <w:rPr>
          <w:rFonts w:ascii="Arial" w:cs="Arial" w:eastAsia="Arial" w:hAnsi="Arial"/>
          <w:sz w:val="14"/>
          <w:szCs w:val="14"/>
          <w:color w:val="auto"/>
        </w:rPr>
        <w:t>The following table summarizes the outstanding borrowings from the term loan as of the periods presented:</w:t>
      </w:r>
    </w:p>
    <w:p>
      <w:pPr>
        <w:spacing w:after="0" w:line="125" w:lineRule="exact"/>
        <w:rPr>
          <w:sz w:val="20"/>
          <w:szCs w:val="20"/>
          <w:color w:val="auto"/>
        </w:rPr>
      </w:pPr>
    </w:p>
    <w:tbl>
      <w:tblPr>
        <w:tblLayout w:type="fixed"/>
        <w:tblInd w:w="440" w:type="dxa"/>
        <w:tblCellMar>
          <w:top w:w="0" w:type="dxa"/>
          <w:left w:w="0" w:type="dxa"/>
          <w:bottom w:w="0" w:type="dxa"/>
          <w:right w:w="0" w:type="dxa"/>
        </w:tblCellMar>
      </w:tblPr>
      <w:tr>
        <w:trPr>
          <w:trHeight w:val="168"/>
        </w:trPr>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w w:val="87"/>
              </w:rPr>
              <w:t>December 31, 2021</w:t>
            </w:r>
          </w:p>
        </w:tc>
      </w:tr>
      <w:tr>
        <w:trPr>
          <w:trHeight w:val="160"/>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4"/>
          </w:tcPr>
          <w:p>
            <w:pPr>
              <w:jc w:val="right"/>
              <w:ind w:right="830"/>
              <w:spacing w:after="0"/>
              <w:rPr>
                <w:sz w:val="20"/>
                <w:szCs w:val="20"/>
                <w:color w:val="auto"/>
              </w:rPr>
            </w:pPr>
            <w:r>
              <w:rPr>
                <w:rFonts w:ascii="Arial" w:cs="Arial" w:eastAsia="Arial" w:hAnsi="Arial"/>
                <w:sz w:val="13"/>
                <w:szCs w:val="13"/>
                <w:b w:val="1"/>
                <w:bCs w:val="1"/>
                <w:color w:val="auto"/>
              </w:rPr>
              <w:t>(in thousands)</w:t>
            </w:r>
          </w:p>
        </w:tc>
      </w:tr>
      <w:tr>
        <w:trPr>
          <w:trHeight w:val="183"/>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Principal outstanding and final fee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35,700</w:t>
            </w:r>
          </w:p>
        </w:tc>
      </w:tr>
      <w:tr>
        <w:trPr>
          <w:trHeight w:val="180"/>
        </w:trPr>
        <w:tc>
          <w:tcPr>
            <w:tcW w:w="7800" w:type="dxa"/>
            <w:vAlign w:val="bottom"/>
          </w:tcPr>
          <w:p>
            <w:pPr>
              <w:ind w:left="40"/>
              <w:spacing w:after="0"/>
              <w:rPr>
                <w:sz w:val="20"/>
                <w:szCs w:val="20"/>
                <w:color w:val="auto"/>
              </w:rPr>
            </w:pPr>
            <w:r>
              <w:rPr>
                <w:rFonts w:ascii="Arial" w:cs="Arial" w:eastAsia="Arial" w:hAnsi="Arial"/>
                <w:sz w:val="14"/>
                <w:szCs w:val="14"/>
                <w:color w:val="auto"/>
              </w:rPr>
              <w:t>Less: Unamortized debt issuance costs</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1"/>
        </w:trPr>
        <w:tc>
          <w:tcPr>
            <w:tcW w:w="7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Unaccreted value of final fee</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w:t>
            </w:r>
          </w:p>
        </w:tc>
      </w:tr>
      <w:tr>
        <w:trPr>
          <w:trHeight w:val="171"/>
        </w:trPr>
        <w:tc>
          <w:tcPr>
            <w:tcW w:w="7800" w:type="dxa"/>
            <w:vAlign w:val="bottom"/>
          </w:tcPr>
          <w:p>
            <w:pPr>
              <w:ind w:left="40"/>
              <w:spacing w:after="0"/>
              <w:rPr>
                <w:sz w:val="20"/>
                <w:szCs w:val="20"/>
                <w:color w:val="auto"/>
              </w:rPr>
            </w:pPr>
            <w:r>
              <w:rPr>
                <w:rFonts w:ascii="Arial" w:cs="Arial" w:eastAsia="Arial" w:hAnsi="Arial"/>
                <w:sz w:val="14"/>
                <w:szCs w:val="14"/>
                <w:color w:val="auto"/>
              </w:rPr>
              <w:t>Outstanding debt, net of debt issuance costs and unaccreted value of final fee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35,171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34,973</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2"/>
        </w:trPr>
        <w:tc>
          <w:tcPr>
            <w:tcW w:w="78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Classified as:</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80"/>
        </w:trPr>
        <w:tc>
          <w:tcPr>
            <w:tcW w:w="7800" w:type="dxa"/>
            <w:vAlign w:val="bottom"/>
          </w:tcPr>
          <w:p>
            <w:pPr>
              <w:ind w:left="340"/>
              <w:spacing w:after="0"/>
              <w:rPr>
                <w:sz w:val="20"/>
                <w:szCs w:val="20"/>
                <w:color w:val="auto"/>
              </w:rPr>
            </w:pPr>
            <w:r>
              <w:rPr>
                <w:rFonts w:ascii="Arial" w:cs="Arial" w:eastAsia="Arial" w:hAnsi="Arial"/>
                <w:sz w:val="14"/>
                <w:szCs w:val="14"/>
                <w:color w:val="auto"/>
              </w:rPr>
              <w:t>Long-term borrowings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35,171</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34,973</w:t>
            </w: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3"/>
          <w:szCs w:val="13"/>
          <w:color w:val="auto"/>
        </w:rPr>
        <w:t>In May 29, 2020, the Company entered into a term loan with Solar Capital Partners (“Solar”). Pursuant to the Loan and Security Agreement, Solar provided an aggregate principal amount of $40.0 million term loan (the “Solar Term Loan”). The Solar Term Loan bore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included an interest-only period of 36 months through June 2023, and then repaid in equal monthly principal payments plus interest through June 1, 2025. The Company was also obligated to pay a final fee equal to $1.0 million or 2.5% of the aggregate principal amount of the Solar Term Loan, which was fully earned by Solar on the effective date of the Loan and Security Agreement with Solar. With respect to the Solar Term Loan, this final fee was due and payable on the earliest of (i) the maturity date, (ii) the acceleration of the loan balance or (iii) its full prepayment, refinancing, substitution or replacement. The Company paid in full and terminated the Solar Term Loan in August 2021.</w:t>
      </w:r>
    </w:p>
    <w:p>
      <w:pPr>
        <w:spacing w:after="0" w:line="14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3"/>
          <w:szCs w:val="13"/>
          <w:color w:val="auto"/>
        </w:rPr>
        <w:t>The outstanding debt as of December 31, 2021 and 2022 was related to a term loan pursuant to the Loan and Security Agreement dated August 12, 2021 (the “Effective Date”), entered into by the Company with Silicon Valley Bank (“SVB”). Pursuant the agreement, SVB provided an aggregate principal amount of $35.0 million to the Company (the “SVB Term Loan”). The Company used the proceeds of the SVB Term Loan to repay in full and terminate the Solar Term Loan, which was accounted for as debt extinguishment in accordance with the accounting standards. The Company recognized the unamortized debt issuance costs and unaccreted value of final fee of $1.3 million and the prepayment penalty and lender fees of $0.5 million related to Solar Term Loan as a loss on debt extinguishment. The costs and fees are reflected as interest expense in the consolidated statement of operations. The total debt issuance costs of $0.1 million associated with the SVB Term Loan were recorded in the consolidated balance sheet as a direct deduction from the carrying amount of the loan, and are amortized as a component of interest expense using straight-line method over the life of the term loan. The SVB Term Loan matures (the “Maturity Date”) on either (a) August 1, 2025 or (b) August 1, 2026 dependent on the Company’s achievement of a certain financial performance milestone as of December 31, 2022, as set forth in the loan agreement. As of December 31, 2022, the Company achieved the performance milestone, therefore the Maturity Date is extended to August 1, 2026. The Company accounted for this change in Maturity Date as a debt modification, and accordingly, the unamortized discount and debt issuance costs associated with the SVB Term Loan are being amortized to interest expense using straight-line method over the remaining term of the loan through August 1, 2026. The extension of the Maturity Date did not have a material impact on the effective interest rates immediately before and after the debt modification.</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3"/>
          <w:szCs w:val="13"/>
          <w:color w:val="auto"/>
        </w:rPr>
        <w:t>Interest on the SVB Term Loan is payable monthly at an annual rate set at the greater of (a) 5.75% and (b) prime rate as published in the Wall Street Journal plus 2.5%. Commencing on September 1, 2023, the Company will be required to make monthly principal amortization payments. The Company may elect to prepay the SVB Term Loan prior to the Maturity Date subject to a prepayment fee equal to 1% if the prepayment occurs prior to the second anniversary of the Effective Date and 0% if the prepayment occurs on or at any time after the second anniversary of the Effective Date. The SVB Term Loan is secured by substantially all the Company's assets other than the Company's intellectual property. The Company is also obligated to pay a final payment equal to $0.7 million or 2% of the aggregate principal amount of the SVB Term Loan, which is considered fully earned by SVB on the effective date of the Loan and Security Agreement with SVB. This final payment shall be due and payable on the earliest of (i) the maturity date, (ii) the full repayment of the loan, (iii) permitted prepayment and mandatory prepayment upon an acceleration as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40"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specified in the agreement or (iv) the termination of the agreement. The final payment is included within the long-term borrowings and is accreted to interest expense using straight-line method over the life of the term loan.</w:t>
      </w:r>
    </w:p>
    <w:p>
      <w:pPr>
        <w:spacing w:after="0" w:line="37"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The effective interest rate related to the SVB Term Loan was 7.8% and 6.3% for the years ended December 31, 2022 and 2021, respectively. The effective interest rate related to the Solar Term Loan (excluding the write-down of unamortized debt issuance costs and prepayment penalty related to the Solar Term Loan) was 10.3% for the year ended December 31, 2021.</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table below summarizes the future principal and final fee payments under the SVB Term Loan as of December 31, 2022:</w:t>
      </w:r>
    </w:p>
    <w:p>
      <w:pPr>
        <w:spacing w:after="0" w:line="196"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7840" w:type="dxa"/>
            <w:vAlign w:val="bottom"/>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6"/>
                <w:szCs w:val="16"/>
                <w:color w:val="auto"/>
              </w:rPr>
            </w:pPr>
          </w:p>
        </w:tc>
        <w:tc>
          <w:tcPr>
            <w:tcW w:w="1260" w:type="dxa"/>
            <w:vAlign w:val="bottom"/>
          </w:tcPr>
          <w:p>
            <w:pPr>
              <w:jc w:val="right"/>
              <w:ind w:right="290"/>
              <w:spacing w:after="0"/>
              <w:rPr>
                <w:sz w:val="20"/>
                <w:szCs w:val="20"/>
                <w:color w:val="auto"/>
              </w:rPr>
            </w:pPr>
            <w:r>
              <w:rPr>
                <w:rFonts w:ascii="Arial" w:cs="Arial" w:eastAsia="Arial" w:hAnsi="Arial"/>
                <w:sz w:val="13"/>
                <w:szCs w:val="13"/>
                <w:b w:val="1"/>
                <w:bCs w:val="1"/>
                <w:color w:val="auto"/>
                <w:w w:val="98"/>
              </w:rPr>
              <w:t>(in thousands)</w:t>
            </w:r>
          </w:p>
        </w:tc>
      </w:tr>
      <w:tr>
        <w:trPr>
          <w:trHeight w:val="181"/>
        </w:trPr>
        <w:tc>
          <w:tcPr>
            <w:tcW w:w="7840" w:type="dxa"/>
            <w:vAlign w:val="bottom"/>
            <w:shd w:val="clear" w:color="auto" w:fill="CCEEFF"/>
          </w:tcPr>
          <w:p>
            <w:pPr>
              <w:jc w:val="right"/>
              <w:ind w:right="7309"/>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4,861</w:t>
            </w:r>
          </w:p>
        </w:tc>
      </w:tr>
      <w:tr>
        <w:trPr>
          <w:trHeight w:val="180"/>
        </w:trPr>
        <w:tc>
          <w:tcPr>
            <w:tcW w:w="7840" w:type="dxa"/>
            <w:vAlign w:val="bottom"/>
          </w:tcPr>
          <w:p>
            <w:pPr>
              <w:jc w:val="right"/>
              <w:ind w:right="7309"/>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11,667</w:t>
            </w:r>
          </w:p>
        </w:tc>
      </w:tr>
      <w:tr>
        <w:trPr>
          <w:trHeight w:val="181"/>
        </w:trPr>
        <w:tc>
          <w:tcPr>
            <w:tcW w:w="7840" w:type="dxa"/>
            <w:vAlign w:val="bottom"/>
            <w:shd w:val="clear" w:color="auto" w:fill="CCEEFF"/>
          </w:tcPr>
          <w:p>
            <w:pPr>
              <w:jc w:val="right"/>
              <w:ind w:right="7309"/>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11,667</w:t>
            </w:r>
          </w:p>
        </w:tc>
      </w:tr>
      <w:tr>
        <w:trPr>
          <w:trHeight w:val="180"/>
        </w:trPr>
        <w:tc>
          <w:tcPr>
            <w:tcW w:w="7840" w:type="dxa"/>
            <w:vAlign w:val="bottom"/>
          </w:tcPr>
          <w:p>
            <w:pPr>
              <w:jc w:val="right"/>
              <w:ind w:right="7309"/>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7,505</w:t>
            </w:r>
          </w:p>
        </w:tc>
      </w:tr>
      <w:tr>
        <w:trPr>
          <w:trHeight w:val="181"/>
        </w:trPr>
        <w:tc>
          <w:tcPr>
            <w:tcW w:w="7840" w:type="dxa"/>
            <w:vAlign w:val="bottom"/>
            <w:shd w:val="clear" w:color="auto" w:fill="CCEEFF"/>
          </w:tcPr>
          <w:p>
            <w:pPr>
              <w:jc w:val="right"/>
              <w:ind w:right="7309"/>
              <w:spacing w:after="0"/>
              <w:rPr>
                <w:sz w:val="20"/>
                <w:szCs w:val="20"/>
                <w:color w:val="auto"/>
              </w:rPr>
            </w:pPr>
            <w:r>
              <w:rPr>
                <w:rFonts w:ascii="Arial" w:cs="Arial" w:eastAsia="Arial" w:hAnsi="Arial"/>
                <w:sz w:val="14"/>
                <w:szCs w:val="14"/>
                <w:color w:val="auto"/>
              </w:rPr>
              <w:t>2027</w:t>
            </w: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840" w:type="dxa"/>
            <w:vAlign w:val="bottom"/>
          </w:tcPr>
          <w:p>
            <w:pPr>
              <w:ind w:left="40"/>
              <w:spacing w:after="0"/>
              <w:rPr>
                <w:sz w:val="20"/>
                <w:szCs w:val="20"/>
                <w:color w:val="auto"/>
              </w:rPr>
            </w:pPr>
            <w:r>
              <w:rPr>
                <w:rFonts w:ascii="Arial" w:cs="Arial" w:eastAsia="Arial" w:hAnsi="Arial"/>
                <w:sz w:val="14"/>
                <w:szCs w:val="14"/>
                <w:color w:val="auto"/>
              </w:rPr>
              <w:t>Total principal and final fee payments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35,700</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SVB Term Loan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December 31, 2022, the Company was in compliance with all debt covenants.</w:t>
      </w:r>
    </w:p>
    <w:p>
      <w:pPr>
        <w:spacing w:after="0" w:line="141"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3"/>
          <w:szCs w:val="13"/>
          <w:color w:val="auto"/>
        </w:rPr>
        <w:t>In January 2023, the Company's outstanding amount under the SVB Term Loan was refinanced on a long-term basis and is accordingly classified as term note, non-current as of December 31, 2022. See Note 15 for a discussion of the Company's full repayment and termination of the SVB term loan and entry into a new term loan and revolving credit facility.</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CARES Act</w:t>
      </w:r>
    </w:p>
    <w:p>
      <w:pPr>
        <w:spacing w:after="0" w:line="94"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On March 27, 2020, the U.S. federal government enacted the “Coronavirus Aid, Relief and Economic Security (CARES) Act,” which, among other things, allowed employers to defer the deposit and payment of an employer's share of social security taxes through December 31, 2020. As of December 31, 2022, the Company had paid the deferred taxes and had no remaining liability. As of December 31, 2021, the Company recorded a liability of $0.5 million related to the deferral of the taxes that was included in accrued liabilities in the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Warrants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table below summarizes common stock warrants issued and outstanding at December 31, 2022 and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2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Date</w:t>
            </w:r>
          </w:p>
        </w:tc>
        <w:tc>
          <w:tcPr>
            <w:tcW w:w="380" w:type="dxa"/>
            <w:vAlign w:val="bottom"/>
          </w:tcPr>
          <w:p>
            <w:pPr>
              <w:spacing w:after="0"/>
              <w:rPr>
                <w:sz w:val="11"/>
                <w:szCs w:val="11"/>
                <w:color w:val="auto"/>
              </w:rPr>
            </w:pPr>
          </w:p>
        </w:tc>
        <w:tc>
          <w:tcPr>
            <w:tcW w:w="12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2"/>
              </w:rPr>
              <w:t>Shares</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8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vMerge w:val="restart"/>
          </w:tcPr>
          <w:p>
            <w:pPr>
              <w:jc w:val="center"/>
              <w:spacing w:after="0" w:line="128" w:lineRule="exact"/>
              <w:rPr>
                <w:sz w:val="20"/>
                <w:szCs w:val="20"/>
                <w:color w:val="auto"/>
              </w:rPr>
            </w:pPr>
            <w:r>
              <w:rPr>
                <w:rFonts w:ascii="Arial" w:cs="Arial" w:eastAsia="Arial" w:hAnsi="Arial"/>
                <w:sz w:val="13"/>
                <w:szCs w:val="13"/>
                <w:b w:val="1"/>
                <w:bCs w:val="1"/>
                <w:color w:val="auto"/>
                <w:w w:val="91"/>
              </w:rPr>
              <w:t>Underlying</w:t>
            </w:r>
          </w:p>
        </w:tc>
        <w:tc>
          <w:tcPr>
            <w:tcW w:w="260" w:type="dxa"/>
            <w:vAlign w:val="bottom"/>
          </w:tcPr>
          <w:p>
            <w:pPr>
              <w:spacing w:after="0"/>
              <w:rPr>
                <w:sz w:val="7"/>
                <w:szCs w:val="7"/>
                <w:color w:val="auto"/>
              </w:rPr>
            </w:pPr>
          </w:p>
        </w:tc>
        <w:tc>
          <w:tcPr>
            <w:tcW w:w="1440" w:type="dxa"/>
            <w:vAlign w:val="bottom"/>
            <w:gridSpan w:val="2"/>
            <w:vMerge w:val="restart"/>
          </w:tcPr>
          <w:p>
            <w:pPr>
              <w:jc w:val="center"/>
              <w:ind w:right="260"/>
              <w:spacing w:after="0" w:line="128" w:lineRule="exact"/>
              <w:rPr>
                <w:sz w:val="20"/>
                <w:szCs w:val="20"/>
                <w:color w:val="auto"/>
              </w:rPr>
            </w:pPr>
            <w:r>
              <w:rPr>
                <w:rFonts w:ascii="Arial" w:cs="Arial" w:eastAsia="Arial" w:hAnsi="Arial"/>
                <w:sz w:val="13"/>
                <w:szCs w:val="13"/>
                <w:b w:val="1"/>
                <w:bCs w:val="1"/>
                <w:color w:val="auto"/>
                <w:w w:val="89"/>
              </w:rPr>
              <w:t>Price per</w:t>
            </w:r>
          </w:p>
        </w:tc>
        <w:tc>
          <w:tcPr>
            <w:tcW w:w="180" w:type="dxa"/>
            <w:vAlign w:val="bottom"/>
          </w:tcPr>
          <w:p>
            <w:pPr>
              <w:spacing w:after="0"/>
              <w:rPr>
                <w:sz w:val="7"/>
                <w:szCs w:val="7"/>
                <w:color w:val="auto"/>
              </w:rPr>
            </w:pPr>
          </w:p>
        </w:tc>
        <w:tc>
          <w:tcPr>
            <w:tcW w:w="1140" w:type="dxa"/>
            <w:vAlign w:val="bottom"/>
            <w:vMerge w:val="restart"/>
          </w:tcPr>
          <w:p>
            <w:pPr>
              <w:jc w:val="right"/>
              <w:ind w:right="311"/>
              <w:spacing w:after="0" w:line="128" w:lineRule="exact"/>
              <w:rPr>
                <w:sz w:val="20"/>
                <w:szCs w:val="20"/>
                <w:color w:val="auto"/>
              </w:rPr>
            </w:pPr>
            <w:r>
              <w:rPr>
                <w:rFonts w:ascii="Arial" w:cs="Arial" w:eastAsia="Arial" w:hAnsi="Arial"/>
                <w:sz w:val="13"/>
                <w:szCs w:val="13"/>
                <w:b w:val="1"/>
                <w:bCs w:val="1"/>
                <w:color w:val="auto"/>
              </w:rPr>
              <w:t>Fair Value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Issuance</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Expiration</w:t>
            </w:r>
          </w:p>
        </w:tc>
        <w:tc>
          <w:tcPr>
            <w:tcW w:w="38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2"/>
              </w:rPr>
              <w:t>Warrants</w:t>
            </w:r>
          </w:p>
        </w:tc>
        <w:tc>
          <w:tcPr>
            <w:tcW w:w="26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Share</w:t>
            </w:r>
          </w:p>
        </w:tc>
        <w:tc>
          <w:tcPr>
            <w:tcW w:w="180" w:type="dxa"/>
            <w:vAlign w:val="bottom"/>
          </w:tcPr>
          <w:p>
            <w:pPr>
              <w:spacing w:after="0"/>
              <w:rPr>
                <w:sz w:val="14"/>
                <w:szCs w:val="14"/>
                <w:color w:val="auto"/>
              </w:rPr>
            </w:pPr>
          </w:p>
        </w:tc>
        <w:tc>
          <w:tcPr>
            <w:tcW w:w="1140" w:type="dxa"/>
            <w:vAlign w:val="bottom"/>
          </w:tcPr>
          <w:p>
            <w:pPr>
              <w:jc w:val="right"/>
              <w:ind w:right="211"/>
              <w:spacing w:after="0"/>
              <w:rPr>
                <w:sz w:val="20"/>
                <w:szCs w:val="20"/>
                <w:color w:val="auto"/>
              </w:rPr>
            </w:pPr>
            <w:r>
              <w:rPr>
                <w:rFonts w:ascii="Arial" w:cs="Arial" w:eastAsia="Arial" w:hAnsi="Arial"/>
                <w:sz w:val="13"/>
                <w:szCs w:val="13"/>
                <w:b w:val="1"/>
                <w:bCs w:val="1"/>
                <w:color w:val="auto"/>
                <w:w w:val="93"/>
              </w:rPr>
              <w:t>(in thousands)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20" w:type="dxa"/>
            <w:vAlign w:val="bottom"/>
          </w:tcPr>
          <w:p>
            <w:pPr>
              <w:spacing w:after="0"/>
              <w:rPr>
                <w:sz w:val="15"/>
                <w:szCs w:val="15"/>
                <w:color w:val="auto"/>
              </w:rPr>
            </w:pPr>
          </w:p>
        </w:tc>
        <w:tc>
          <w:tcPr>
            <w:tcW w:w="1040" w:type="dxa"/>
            <w:vAlign w:val="bottom"/>
            <w:tcBorders>
              <w:top w:val="single" w:sz="8" w:color="auto"/>
            </w:tcBorders>
            <w:gridSpan w:val="2"/>
            <w:shd w:val="clear" w:color="auto" w:fill="CCEEFF"/>
          </w:tcPr>
          <w:p>
            <w:pPr>
              <w:jc w:val="center"/>
              <w:ind w:left="109"/>
              <w:spacing w:after="0"/>
              <w:rPr>
                <w:sz w:val="20"/>
                <w:szCs w:val="20"/>
                <w:color w:val="auto"/>
              </w:rPr>
            </w:pPr>
            <w:r>
              <w:rPr>
                <w:rFonts w:ascii="Arial" w:cs="Arial" w:eastAsia="Arial" w:hAnsi="Arial"/>
                <w:sz w:val="14"/>
                <w:szCs w:val="14"/>
                <w:color w:val="auto"/>
                <w:w w:val="91"/>
              </w:rPr>
              <w:t>3/1/2017</w:t>
            </w: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3/1/2027</w:t>
            </w:r>
          </w:p>
        </w:tc>
        <w:tc>
          <w:tcPr>
            <w:tcW w:w="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2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$5.94</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040" w:type="dxa"/>
            <w:vAlign w:val="bottom"/>
            <w:gridSpan w:val="2"/>
          </w:tcPr>
          <w:p>
            <w:pPr>
              <w:jc w:val="center"/>
              <w:ind w:left="109"/>
              <w:spacing w:after="0"/>
              <w:rPr>
                <w:sz w:val="20"/>
                <w:szCs w:val="20"/>
                <w:color w:val="auto"/>
              </w:rPr>
            </w:pPr>
            <w:r>
              <w:rPr>
                <w:rFonts w:ascii="Arial" w:cs="Arial" w:eastAsia="Arial" w:hAnsi="Arial"/>
                <w:sz w:val="14"/>
                <w:szCs w:val="14"/>
                <w:color w:val="auto"/>
                <w:w w:val="93"/>
              </w:rPr>
              <w:t>7/22/2013</w:t>
            </w:r>
          </w:p>
        </w:tc>
        <w:tc>
          <w:tcPr>
            <w:tcW w:w="1520" w:type="dxa"/>
            <w:vAlign w:val="bottom"/>
            <w:gridSpan w:val="3"/>
          </w:tcPr>
          <w:p>
            <w:pPr>
              <w:jc w:val="center"/>
              <w:ind w:left="190"/>
              <w:spacing w:after="0"/>
              <w:rPr>
                <w:sz w:val="20"/>
                <w:szCs w:val="20"/>
                <w:color w:val="auto"/>
              </w:rPr>
            </w:pPr>
            <w:r>
              <w:rPr>
                <w:rFonts w:ascii="Arial" w:cs="Arial" w:eastAsia="Arial" w:hAnsi="Arial"/>
                <w:sz w:val="14"/>
                <w:szCs w:val="14"/>
                <w:color w:val="auto"/>
                <w:w w:val="93"/>
              </w:rPr>
              <w:t>7/22/2023</w:t>
            </w:r>
          </w:p>
        </w:tc>
        <w:tc>
          <w:tcPr>
            <w:tcW w:w="380" w:type="dxa"/>
            <w:vAlign w:val="bottom"/>
          </w:tcPr>
          <w:p>
            <w:pPr>
              <w:ind w:left="20"/>
              <w:spacing w:after="0"/>
              <w:rPr>
                <w:sz w:val="20"/>
                <w:szCs w:val="20"/>
                <w:color w:val="auto"/>
              </w:rPr>
            </w:pPr>
            <w:r>
              <w:rPr>
                <w:rFonts w:ascii="Arial" w:cs="Arial" w:eastAsia="Arial" w:hAnsi="Arial"/>
                <w:sz w:val="11"/>
                <w:szCs w:val="11"/>
                <w:color w:val="auto"/>
              </w:rPr>
              <w:t>[a]</w:t>
            </w:r>
          </w:p>
        </w:tc>
        <w:tc>
          <w:tcPr>
            <w:tcW w:w="1240" w:type="dxa"/>
            <w:vAlign w:val="bottom"/>
          </w:tcPr>
          <w:p>
            <w:pPr>
              <w:jc w:val="right"/>
              <w:spacing w:after="0"/>
              <w:rPr>
                <w:sz w:val="20"/>
                <w:szCs w:val="20"/>
                <w:color w:val="auto"/>
              </w:rPr>
            </w:pPr>
            <w:r>
              <w:rPr>
                <w:rFonts w:ascii="Arial" w:cs="Arial" w:eastAsia="Arial" w:hAnsi="Arial"/>
                <w:sz w:val="14"/>
                <w:szCs w:val="14"/>
                <w:color w:val="auto"/>
              </w:rPr>
              <w:t>32,983</w:t>
            </w:r>
          </w:p>
        </w:tc>
        <w:tc>
          <w:tcPr>
            <w:tcW w:w="1500" w:type="dxa"/>
            <w:vAlign w:val="bottom"/>
            <w:gridSpan w:val="2"/>
          </w:tcPr>
          <w:p>
            <w:pPr>
              <w:jc w:val="center"/>
              <w:ind w:left="189"/>
              <w:spacing w:after="0"/>
              <w:rPr>
                <w:sz w:val="20"/>
                <w:szCs w:val="20"/>
                <w:color w:val="auto"/>
              </w:rPr>
            </w:pPr>
            <w:r>
              <w:rPr>
                <w:rFonts w:ascii="Arial" w:cs="Arial" w:eastAsia="Arial" w:hAnsi="Arial"/>
                <w:sz w:val="14"/>
                <w:szCs w:val="14"/>
                <w:color w:val="auto"/>
                <w:w w:val="91"/>
              </w:rPr>
              <w:t>$9.10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w:t>
            </w:r>
          </w:p>
        </w:tc>
        <w:tc>
          <w:tcPr>
            <w:tcW w:w="440" w:type="dxa"/>
            <w:vAlign w:val="bottom"/>
          </w:tcPr>
          <w:p>
            <w:pPr>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1040" w:type="dxa"/>
            <w:vAlign w:val="bottom"/>
            <w:gridSpan w:val="2"/>
            <w:shd w:val="clear" w:color="auto" w:fill="CCEEFF"/>
          </w:tcPr>
          <w:p>
            <w:pPr>
              <w:jc w:val="center"/>
              <w:ind w:left="89"/>
              <w:spacing w:after="0"/>
              <w:rPr>
                <w:sz w:val="20"/>
                <w:szCs w:val="20"/>
                <w:color w:val="auto"/>
              </w:rPr>
            </w:pPr>
            <w:r>
              <w:rPr>
                <w:rFonts w:ascii="Arial" w:cs="Arial" w:eastAsia="Arial" w:hAnsi="Arial"/>
                <w:sz w:val="14"/>
                <w:szCs w:val="14"/>
                <w:color w:val="auto"/>
                <w:w w:val="91"/>
              </w:rPr>
              <w:t>11/26/2014</w:t>
            </w:r>
          </w:p>
        </w:tc>
        <w:tc>
          <w:tcPr>
            <w:tcW w:w="1520" w:type="dxa"/>
            <w:vAlign w:val="bottom"/>
            <w:gridSpan w:val="3"/>
            <w:shd w:val="clear" w:color="auto" w:fill="CCEEFF"/>
          </w:tcPr>
          <w:p>
            <w:pPr>
              <w:jc w:val="center"/>
              <w:ind w:left="210"/>
              <w:spacing w:after="0"/>
              <w:rPr>
                <w:sz w:val="20"/>
                <w:szCs w:val="20"/>
                <w:color w:val="auto"/>
              </w:rPr>
            </w:pPr>
            <w:r>
              <w:rPr>
                <w:rFonts w:ascii="Arial" w:cs="Arial" w:eastAsia="Arial" w:hAnsi="Arial"/>
                <w:sz w:val="14"/>
                <w:szCs w:val="14"/>
                <w:color w:val="auto"/>
                <w:w w:val="91"/>
              </w:rPr>
              <w:t>11/26/2024</w:t>
            </w: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6,680</w:t>
            </w:r>
          </w:p>
        </w:tc>
        <w:tc>
          <w:tcPr>
            <w:tcW w:w="1500" w:type="dxa"/>
            <w:vAlign w:val="bottom"/>
            <w:gridSpan w:val="2"/>
            <w:shd w:val="clear" w:color="auto" w:fill="CCEEFF"/>
          </w:tcPr>
          <w:p>
            <w:pPr>
              <w:jc w:val="center"/>
              <w:ind w:left="169"/>
              <w:spacing w:after="0"/>
              <w:rPr>
                <w:sz w:val="20"/>
                <w:szCs w:val="20"/>
                <w:color w:val="auto"/>
              </w:rPr>
            </w:pPr>
            <w:r>
              <w:rPr>
                <w:rFonts w:ascii="Arial" w:cs="Arial" w:eastAsia="Arial" w:hAnsi="Arial"/>
                <w:sz w:val="14"/>
                <w:szCs w:val="14"/>
                <w:color w:val="auto"/>
                <w:w w:val="88"/>
              </w:rPr>
              <w:t>$16.47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440" w:type="dxa"/>
            <w:vAlign w:val="bottom"/>
            <w:shd w:val="clear" w:color="auto" w:fill="CCEEFF"/>
          </w:tcPr>
          <w:p>
            <w:pPr>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040" w:type="dxa"/>
            <w:vAlign w:val="bottom"/>
            <w:gridSpan w:val="2"/>
          </w:tcPr>
          <w:p>
            <w:pPr>
              <w:jc w:val="center"/>
              <w:ind w:left="109"/>
              <w:spacing w:after="0"/>
              <w:rPr>
                <w:sz w:val="20"/>
                <w:szCs w:val="20"/>
                <w:color w:val="auto"/>
              </w:rPr>
            </w:pPr>
            <w:r>
              <w:rPr>
                <w:rFonts w:ascii="Arial" w:cs="Arial" w:eastAsia="Arial" w:hAnsi="Arial"/>
                <w:sz w:val="14"/>
                <w:szCs w:val="14"/>
                <w:color w:val="auto"/>
                <w:w w:val="94"/>
              </w:rPr>
              <w:t>10/20/2015</w:t>
            </w:r>
          </w:p>
        </w:tc>
        <w:tc>
          <w:tcPr>
            <w:tcW w:w="1520" w:type="dxa"/>
            <w:vAlign w:val="bottom"/>
            <w:gridSpan w:val="3"/>
          </w:tcPr>
          <w:p>
            <w:pPr>
              <w:jc w:val="center"/>
              <w:ind w:left="210"/>
              <w:spacing w:after="0"/>
              <w:rPr>
                <w:sz w:val="20"/>
                <w:szCs w:val="20"/>
                <w:color w:val="auto"/>
              </w:rPr>
            </w:pPr>
            <w:r>
              <w:rPr>
                <w:rFonts w:ascii="Arial" w:cs="Arial" w:eastAsia="Arial" w:hAnsi="Arial"/>
                <w:sz w:val="14"/>
                <w:szCs w:val="14"/>
                <w:color w:val="auto"/>
                <w:w w:val="91"/>
              </w:rPr>
              <w:t>10/20/2025</w:t>
            </w:r>
          </w:p>
        </w:tc>
        <w:tc>
          <w:tcPr>
            <w:tcW w:w="380" w:type="dxa"/>
            <w:vAlign w:val="bottom"/>
          </w:tcPr>
          <w:p>
            <w:pPr>
              <w:ind w:left="20"/>
              <w:spacing w:after="0"/>
              <w:rPr>
                <w:sz w:val="20"/>
                <w:szCs w:val="20"/>
                <w:color w:val="auto"/>
              </w:rPr>
            </w:pPr>
            <w:r>
              <w:rPr>
                <w:rFonts w:ascii="Arial" w:cs="Arial" w:eastAsia="Arial" w:hAnsi="Arial"/>
                <w:sz w:val="11"/>
                <w:szCs w:val="11"/>
                <w:color w:val="auto"/>
              </w:rPr>
              <w:t>[a]</w:t>
            </w:r>
          </w:p>
        </w:tc>
        <w:tc>
          <w:tcPr>
            <w:tcW w:w="1240" w:type="dxa"/>
            <w:vAlign w:val="bottom"/>
          </w:tcPr>
          <w:p>
            <w:pPr>
              <w:jc w:val="right"/>
              <w:spacing w:after="0"/>
              <w:rPr>
                <w:sz w:val="20"/>
                <w:szCs w:val="20"/>
                <w:color w:val="auto"/>
              </w:rPr>
            </w:pPr>
            <w:r>
              <w:rPr>
                <w:rFonts w:ascii="Arial" w:cs="Arial" w:eastAsia="Arial" w:hAnsi="Arial"/>
                <w:sz w:val="14"/>
                <w:szCs w:val="14"/>
                <w:color w:val="auto"/>
              </w:rPr>
              <w:t>41,650</w:t>
            </w:r>
          </w:p>
        </w:tc>
        <w:tc>
          <w:tcPr>
            <w:tcW w:w="1500" w:type="dxa"/>
            <w:vAlign w:val="bottom"/>
            <w:gridSpan w:val="2"/>
          </w:tcPr>
          <w:p>
            <w:pPr>
              <w:jc w:val="center"/>
              <w:ind w:left="169"/>
              <w:spacing w:after="0"/>
              <w:rPr>
                <w:sz w:val="20"/>
                <w:szCs w:val="20"/>
                <w:color w:val="auto"/>
              </w:rPr>
            </w:pPr>
            <w:r>
              <w:rPr>
                <w:rFonts w:ascii="Arial" w:cs="Arial" w:eastAsia="Arial" w:hAnsi="Arial"/>
                <w:sz w:val="14"/>
                <w:szCs w:val="14"/>
                <w:color w:val="auto"/>
                <w:w w:val="88"/>
              </w:rPr>
              <w:t>$16.47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396</w:t>
            </w:r>
          </w:p>
        </w:tc>
        <w:tc>
          <w:tcPr>
            <w:tcW w:w="440" w:type="dxa"/>
            <w:vAlign w:val="bottom"/>
          </w:tcPr>
          <w:p>
            <w:pPr>
              <w:spacing w:after="0"/>
              <w:rPr>
                <w:sz w:val="20"/>
                <w:szCs w:val="20"/>
                <w:color w:val="auto"/>
              </w:rPr>
            </w:pPr>
            <w:r>
              <w:rPr>
                <w:rFonts w:ascii="Arial" w:cs="Arial" w:eastAsia="Arial" w:hAnsi="Arial"/>
                <w:sz w:val="11"/>
                <w:szCs w:val="11"/>
                <w:color w:val="auto"/>
              </w:rPr>
              <w:t>[c]</w:t>
            </w: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1040" w:type="dxa"/>
            <w:vAlign w:val="bottom"/>
            <w:gridSpan w:val="2"/>
            <w:shd w:val="clear" w:color="auto" w:fill="CCEEFF"/>
          </w:tcPr>
          <w:p>
            <w:pPr>
              <w:jc w:val="center"/>
              <w:ind w:left="109"/>
              <w:spacing w:after="0"/>
              <w:rPr>
                <w:sz w:val="20"/>
                <w:szCs w:val="20"/>
                <w:color w:val="auto"/>
              </w:rPr>
            </w:pPr>
            <w:r>
              <w:rPr>
                <w:rFonts w:ascii="Arial" w:cs="Arial" w:eastAsia="Arial" w:hAnsi="Arial"/>
                <w:sz w:val="14"/>
                <w:szCs w:val="14"/>
                <w:color w:val="auto"/>
                <w:w w:val="93"/>
              </w:rPr>
              <w:t>11/9/2015</w:t>
            </w:r>
          </w:p>
        </w:tc>
        <w:tc>
          <w:tcPr>
            <w:tcW w:w="1520" w:type="dxa"/>
            <w:vAlign w:val="bottom"/>
            <w:gridSpan w:val="3"/>
            <w:shd w:val="clear" w:color="auto" w:fill="CCEEFF"/>
          </w:tcPr>
          <w:p>
            <w:pPr>
              <w:jc w:val="center"/>
              <w:ind w:left="210"/>
              <w:spacing w:after="0"/>
              <w:rPr>
                <w:sz w:val="20"/>
                <w:szCs w:val="20"/>
                <w:color w:val="auto"/>
              </w:rPr>
            </w:pPr>
            <w:r>
              <w:rPr>
                <w:rFonts w:ascii="Arial" w:cs="Arial" w:eastAsia="Arial" w:hAnsi="Arial"/>
                <w:sz w:val="14"/>
                <w:szCs w:val="14"/>
                <w:color w:val="auto"/>
                <w:w w:val="89"/>
              </w:rPr>
              <w:t>11/9/2025</w:t>
            </w: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25,709</w:t>
            </w:r>
          </w:p>
        </w:tc>
        <w:tc>
          <w:tcPr>
            <w:tcW w:w="1500" w:type="dxa"/>
            <w:vAlign w:val="bottom"/>
            <w:gridSpan w:val="2"/>
            <w:shd w:val="clear" w:color="auto" w:fill="CCEEFF"/>
          </w:tcPr>
          <w:p>
            <w:pPr>
              <w:jc w:val="center"/>
              <w:ind w:left="169"/>
              <w:spacing w:after="0"/>
              <w:rPr>
                <w:sz w:val="20"/>
                <w:szCs w:val="20"/>
                <w:color w:val="auto"/>
              </w:rPr>
            </w:pPr>
            <w:r>
              <w:rPr>
                <w:rFonts w:ascii="Arial" w:cs="Arial" w:eastAsia="Arial" w:hAnsi="Arial"/>
                <w:sz w:val="14"/>
                <w:szCs w:val="14"/>
                <w:color w:val="auto"/>
                <w:w w:val="88"/>
              </w:rPr>
              <w:t>$16.47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440" w:type="dxa"/>
            <w:vAlign w:val="bottom"/>
            <w:shd w:val="clear" w:color="auto" w:fill="CCEEFF"/>
          </w:tcPr>
          <w:p>
            <w:pPr>
              <w:spacing w:after="0"/>
              <w:rPr>
                <w:sz w:val="20"/>
                <w:szCs w:val="20"/>
                <w:color w:val="auto"/>
              </w:rPr>
            </w:pPr>
            <w:r>
              <w:rPr>
                <w:rFonts w:ascii="Arial" w:cs="Arial" w:eastAsia="Arial" w:hAnsi="Arial"/>
                <w:sz w:val="11"/>
                <w:szCs w:val="11"/>
                <w:color w:val="auto"/>
              </w:rPr>
              <w:t>[c]</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040" w:type="dxa"/>
            <w:vAlign w:val="bottom"/>
            <w:tcBorders>
              <w:bottom w:val="single" w:sz="8" w:color="CCEEFF"/>
            </w:tcBorders>
            <w:gridSpan w:val="2"/>
          </w:tcPr>
          <w:p>
            <w:pPr>
              <w:jc w:val="center"/>
              <w:ind w:left="109"/>
              <w:spacing w:after="0"/>
              <w:rPr>
                <w:sz w:val="20"/>
                <w:szCs w:val="20"/>
                <w:color w:val="auto"/>
              </w:rPr>
            </w:pPr>
            <w:r>
              <w:rPr>
                <w:rFonts w:ascii="Arial" w:cs="Arial" w:eastAsia="Arial" w:hAnsi="Arial"/>
                <w:sz w:val="14"/>
                <w:szCs w:val="14"/>
                <w:color w:val="auto"/>
                <w:w w:val="94"/>
              </w:rPr>
              <w:t>12/22/2016</w:t>
            </w:r>
          </w:p>
        </w:tc>
        <w:tc>
          <w:tcPr>
            <w:tcW w:w="1520" w:type="dxa"/>
            <w:vAlign w:val="bottom"/>
            <w:tcBorders>
              <w:bottom w:val="single" w:sz="8" w:color="CCEEFF"/>
            </w:tcBorders>
            <w:gridSpan w:val="3"/>
          </w:tcPr>
          <w:p>
            <w:pPr>
              <w:jc w:val="center"/>
              <w:ind w:left="210"/>
              <w:spacing w:after="0"/>
              <w:rPr>
                <w:sz w:val="20"/>
                <w:szCs w:val="20"/>
                <w:color w:val="auto"/>
              </w:rPr>
            </w:pPr>
            <w:r>
              <w:rPr>
                <w:rFonts w:ascii="Arial" w:cs="Arial" w:eastAsia="Arial" w:hAnsi="Arial"/>
                <w:sz w:val="14"/>
                <w:szCs w:val="14"/>
                <w:color w:val="auto"/>
                <w:w w:val="91"/>
              </w:rPr>
              <w:t>12/22/2026</w:t>
            </w:r>
          </w:p>
        </w:tc>
        <w:tc>
          <w:tcPr>
            <w:tcW w:w="3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9,712</w:t>
            </w:r>
          </w:p>
        </w:tc>
        <w:tc>
          <w:tcPr>
            <w:tcW w:w="1500" w:type="dxa"/>
            <w:vAlign w:val="bottom"/>
            <w:tcBorders>
              <w:bottom w:val="single" w:sz="8" w:color="CCEEFF"/>
            </w:tcBorders>
            <w:gridSpan w:val="2"/>
          </w:tcPr>
          <w:p>
            <w:pPr>
              <w:jc w:val="center"/>
              <w:ind w:left="169"/>
              <w:spacing w:after="0"/>
              <w:rPr>
                <w:sz w:val="20"/>
                <w:szCs w:val="20"/>
                <w:color w:val="auto"/>
              </w:rPr>
            </w:pPr>
            <w:r>
              <w:rPr>
                <w:rFonts w:ascii="Arial" w:cs="Arial" w:eastAsia="Arial" w:hAnsi="Arial"/>
                <w:sz w:val="14"/>
                <w:szCs w:val="14"/>
                <w:color w:val="auto"/>
                <w:w w:val="88"/>
              </w:rPr>
              <w:t>$10.03</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4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w:t>
            </w: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118,122</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8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40" w:hanging="235"/>
        <w:spacing w:after="0"/>
        <w:tabs>
          <w:tab w:leader="none" w:pos="2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Common stock warrants will remain outstanding until the earlier of the expiration date or the date exercised by the holder.</w:t>
      </w:r>
    </w:p>
    <w:p>
      <w:pPr>
        <w:spacing w:after="0" w:line="43" w:lineRule="exact"/>
        <w:rPr>
          <w:rFonts w:ascii="Arial" w:cs="Arial" w:eastAsia="Arial" w:hAnsi="Arial"/>
          <w:sz w:val="11"/>
          <w:szCs w:val="11"/>
          <w:color w:val="auto"/>
        </w:rPr>
      </w:pPr>
    </w:p>
    <w:p>
      <w:pPr>
        <w:ind w:left="280" w:hanging="275"/>
        <w:spacing w:after="0"/>
        <w:tabs>
          <w:tab w:leader="none" w:pos="2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Fair value at the date of issuance.</w:t>
      </w:r>
    </w:p>
    <w:p>
      <w:pPr>
        <w:spacing w:after="0" w:line="18" w:lineRule="exact"/>
        <w:rPr>
          <w:rFonts w:ascii="Arial" w:cs="Arial" w:eastAsia="Arial" w:hAnsi="Arial"/>
          <w:sz w:val="11"/>
          <w:szCs w:val="11"/>
          <w:color w:val="auto"/>
        </w:rPr>
      </w:pPr>
    </w:p>
    <w:p>
      <w:pPr>
        <w:ind w:left="160" w:hanging="155"/>
        <w:spacing w:after="0"/>
        <w:tabs>
          <w:tab w:leader="none" w:pos="1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Fair value at the date of conversion from redeemable convertible preferred stock to common stock warrants in conjunction with the IPO on October 16,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Common and Preferred Stock</w:t>
      </w:r>
    </w:p>
    <w:p>
      <w:pPr>
        <w:spacing w:after="0" w:line="98"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The Company's certificate of incorporate as amended and restated in October 2018, authorizes the Company to issue 100,000,000 shares of common stock and 5,000,000 shares of preferred stock, each having a par value of $0.0001. Common stock issued and outstanding as of December 31, 2022 and 2021 were 34,731,577 shares and 33,674,085 shares, respectively. As of December 31, 2022 and 2021, there was no preferred stock issued and outstanding.</w:t>
      </w:r>
    </w:p>
    <w:p>
      <w:pPr>
        <w:spacing w:after="0" w:line="142" w:lineRule="exact"/>
        <w:rPr>
          <w:sz w:val="20"/>
          <w:szCs w:val="20"/>
          <w:color w:val="auto"/>
        </w:rPr>
      </w:pPr>
    </w:p>
    <w:p>
      <w:pPr>
        <w:jc w:val="both"/>
        <w:ind w:firstLine="350"/>
        <w:spacing w:after="0" w:line="260" w:lineRule="auto"/>
        <w:rPr>
          <w:sz w:val="20"/>
          <w:szCs w:val="20"/>
          <w:color w:val="auto"/>
        </w:rPr>
      </w:pPr>
      <w:r>
        <w:rPr>
          <w:rFonts w:ascii="Arial" w:cs="Arial" w:eastAsia="Arial" w:hAnsi="Arial"/>
          <w:sz w:val="14"/>
          <w:szCs w:val="14"/>
          <w:color w:val="auto"/>
        </w:rPr>
        <w:t>The holders of common stock are entitled to receive dividends whenever funds are legally available, as, when, and if declared by the Board of Directors. There have been no dividends declared to date.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Stock-Based Compensation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2008 Stock Option Plan and 2018 Equity Incentive Plan</w:t>
      </w:r>
    </w:p>
    <w:p>
      <w:pPr>
        <w:spacing w:after="0" w:line="9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In April 2008, the Company adopted the 2008 Stock Option Plan (the “2008 SOP”), as amended, under which the Board of Directors may issue incentive and non-qualified stock options to employees, directors and consultants. In October 2018, the Company adopted the 2018 Equity Incentive Plan (the “2018 EIP”), which serves as the successor to the 2008 SOP, under which the Board of Directors may issue incentive and non-qualified stock options, RSUs and PSUs to employees, directors and consultants. No new options have been granted under the 2008 SOP since August 2018. Outstanding options under the 2008 SOP continue to be subject to the terms and conditions of that plan.</w:t>
      </w:r>
    </w:p>
    <w:p>
      <w:pPr>
        <w:spacing w:after="0" w:line="14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number of shares of common stock reserved for issuance under the 2018 EIP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As of December 31, 2022, a total of 4,029,313 shares of common stock are available for future grants under the 2018 EIP. On January 1, 2023, the total number of shares of common stock reserved for issuance under the 2018 EIP automatically increased by 1,736,578 shares.</w:t>
      </w:r>
    </w:p>
    <w:p>
      <w:pPr>
        <w:spacing w:after="0" w:line="1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w:t>
      </w:r>
    </w:p>
    <w:p>
      <w:pPr>
        <w:spacing w:after="0" w:line="142"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Options granted have a term of 10 years, except, options granted to individuals holding more than 10% of the outstanding shares have a term of five years. Options generally vest over a four-year period. RSUs granted under the 2018 EIP generally vest over two to four years based upon continued services and are settled at vesting in shares of the Company's common stock.</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Stock Options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stock option activity for the years ended December 31, 2022 and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ind w:left="720"/>
              <w:spacing w:after="0"/>
              <w:rPr>
                <w:sz w:val="20"/>
                <w:szCs w:val="20"/>
                <w:color w:val="auto"/>
              </w:rPr>
            </w:pPr>
            <w:r>
              <w:rPr>
                <w:rFonts w:ascii="Arial" w:cs="Arial" w:eastAsia="Arial" w:hAnsi="Arial"/>
                <w:sz w:val="13"/>
                <w:szCs w:val="13"/>
                <w:b w:val="1"/>
                <w:bCs w:val="1"/>
                <w:color w:val="auto"/>
              </w:rPr>
              <w:t>Options Outstanding</w:t>
            </w: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00"/>
              <w:spacing w:after="0" w:line="120" w:lineRule="exact"/>
              <w:rPr>
                <w:sz w:val="20"/>
                <w:szCs w:val="20"/>
                <w:color w:val="auto"/>
              </w:rPr>
            </w:pPr>
            <w:r>
              <w:rPr>
                <w:rFonts w:ascii="Arial" w:cs="Arial" w:eastAsia="Arial" w:hAnsi="Arial"/>
                <w:sz w:val="13"/>
                <w:szCs w:val="13"/>
                <w:b w:val="1"/>
                <w:bCs w:val="1"/>
                <w:color w:val="auto"/>
                <w:w w:val="89"/>
              </w:rPr>
              <w:t>Weighted-Average</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Weighted-Average</w:t>
            </w:r>
          </w:p>
        </w:tc>
        <w:tc>
          <w:tcPr>
            <w:tcW w:w="136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91"/>
              </w:rPr>
              <w:t>Contractual</w:t>
            </w:r>
          </w:p>
        </w:tc>
        <w:tc>
          <w:tcPr>
            <w:tcW w:w="80" w:type="dxa"/>
            <w:vAlign w:val="bottom"/>
          </w:tcPr>
          <w:p>
            <w:pPr>
              <w:spacing w:after="0"/>
              <w:rPr>
                <w:sz w:val="11"/>
                <w:szCs w:val="11"/>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7"/>
              </w:rPr>
              <w:t>Aggregate Intrinsic</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w w:val="96"/>
              </w:rPr>
              <w:t>Number of Shares</w:t>
            </w: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6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92"/>
              </w:rPr>
              <w:t>Remaining Life</w:t>
            </w:r>
          </w:p>
        </w:tc>
        <w:tc>
          <w:tcPr>
            <w:tcW w:w="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Exercise Price</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(Years)</w:t>
            </w:r>
          </w:p>
        </w:tc>
        <w:tc>
          <w:tcPr>
            <w:tcW w:w="13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Value (in thousands)</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as of December 31, 2020</w:t>
            </w:r>
          </w:p>
        </w:tc>
        <w:tc>
          <w:tcPr>
            <w:tcW w:w="12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2,405,957</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$8.54</w:t>
            </w: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Arial" w:cs="Arial" w:eastAsia="Arial" w:hAnsi="Arial"/>
                <w:sz w:val="14"/>
                <w:szCs w:val="14"/>
                <w:color w:val="auto"/>
              </w:rPr>
              <w:t>Exercised</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(369,375)</w:t>
            </w:r>
          </w:p>
        </w:tc>
        <w:tc>
          <w:tcPr>
            <w:tcW w:w="136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$6.94</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Canceled and forfeited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(27,069)</w:t>
            </w:r>
          </w:p>
        </w:tc>
        <w:tc>
          <w:tcPr>
            <w:tcW w:w="13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3"/>
              </w:rPr>
              <w:t>$15.85</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Outstanding as of December 31, 2021</w:t>
            </w:r>
          </w:p>
        </w:tc>
        <w:tc>
          <w:tcPr>
            <w:tcW w:w="1260" w:type="dxa"/>
            <w:vAlign w:val="bottom"/>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2,009,513</w:t>
            </w:r>
          </w:p>
        </w:tc>
        <w:tc>
          <w:tcPr>
            <w:tcW w:w="136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$8.73</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Exercised</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(80,571)</w:t>
            </w:r>
          </w:p>
        </w:tc>
        <w:tc>
          <w:tcPr>
            <w:tcW w:w="13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$4.70</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Arial" w:cs="Arial" w:eastAsia="Arial" w:hAnsi="Arial"/>
                <w:sz w:val="14"/>
                <w:szCs w:val="14"/>
                <w:color w:val="auto"/>
              </w:rPr>
              <w:t>Canceled and forfeited</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(25,601)</w:t>
            </w:r>
          </w:p>
        </w:tc>
        <w:tc>
          <w:tcPr>
            <w:tcW w:w="1360" w:type="dxa"/>
            <w:vAlign w:val="bottom"/>
            <w:gridSpan w:val="2"/>
          </w:tcPr>
          <w:p>
            <w:pPr>
              <w:jc w:val="center"/>
              <w:ind w:left="9"/>
              <w:spacing w:after="0"/>
              <w:rPr>
                <w:sz w:val="20"/>
                <w:szCs w:val="20"/>
                <w:color w:val="auto"/>
              </w:rPr>
            </w:pPr>
            <w:r>
              <w:rPr>
                <w:rFonts w:ascii="Arial" w:cs="Arial" w:eastAsia="Arial" w:hAnsi="Arial"/>
                <w:sz w:val="14"/>
                <w:szCs w:val="14"/>
                <w:color w:val="auto"/>
                <w:w w:val="93"/>
              </w:rPr>
              <w:t>$15.05</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6"/>
                <w:szCs w:val="16"/>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as of December 31, 2022</w:t>
            </w:r>
          </w:p>
        </w:tc>
        <w:tc>
          <w:tcPr>
            <w:tcW w:w="126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1,903,341</w:t>
            </w:r>
          </w:p>
        </w:tc>
        <w:tc>
          <w:tcPr>
            <w:tcW w:w="1360" w:type="dxa"/>
            <w:vAlign w:val="bottom"/>
            <w:tcBorders>
              <w:top w:val="single" w:sz="8" w:color="CCEEFF"/>
              <w:bottom w:val="single" w:sz="8" w:color="CCEEFF"/>
            </w:tcBorders>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$8.82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58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Options vested and exercisable as of December 31, 2022</w:t>
            </w:r>
          </w:p>
        </w:tc>
        <w:tc>
          <w:tcPr>
            <w:tcW w:w="25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 w:type="dxa"/>
            <w:vAlign w:val="bottom"/>
          </w:tcPr>
          <w:p>
            <w:pPr>
              <w:spacing w:after="0"/>
              <w:rPr>
                <w:sz w:val="12"/>
                <w:szCs w:val="12"/>
                <w:color w:val="auto"/>
              </w:rPr>
            </w:pPr>
          </w:p>
        </w:tc>
        <w:tc>
          <w:tcPr>
            <w:tcW w:w="4580" w:type="dxa"/>
            <w:vAlign w:val="bottom"/>
            <w:tcBorders>
              <w:top w:val="single" w:sz="8" w:color="CCEEFF"/>
            </w:tcBorders>
            <w:vMerge w:val="continue"/>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1,892,990</w:t>
            </w:r>
          </w:p>
        </w:tc>
        <w:tc>
          <w:tcPr>
            <w:tcW w:w="1360" w:type="dxa"/>
            <w:vAlign w:val="bottom"/>
            <w:gridSpan w:val="2"/>
          </w:tcPr>
          <w:p>
            <w:pPr>
              <w:jc w:val="center"/>
              <w:ind w:left="9"/>
              <w:spacing w:after="0" w:line="143" w:lineRule="exact"/>
              <w:rPr>
                <w:sz w:val="20"/>
                <w:szCs w:val="20"/>
                <w:color w:val="auto"/>
              </w:rPr>
            </w:pPr>
            <w:r>
              <w:rPr>
                <w:rFonts w:ascii="Arial" w:cs="Arial" w:eastAsia="Arial" w:hAnsi="Arial"/>
                <w:sz w:val="14"/>
                <w:szCs w:val="14"/>
                <w:color w:val="auto"/>
                <w:w w:val="91"/>
              </w:rPr>
              <w:t>$8.75</w:t>
            </w:r>
          </w:p>
        </w:tc>
        <w:tc>
          <w:tcPr>
            <w:tcW w:w="80" w:type="dxa"/>
            <w:vAlign w:val="bottom"/>
          </w:tcPr>
          <w:p>
            <w:pPr>
              <w:spacing w:after="0"/>
              <w:rPr>
                <w:sz w:val="12"/>
                <w:szCs w:val="12"/>
                <w:color w:val="auto"/>
              </w:rPr>
            </w:pPr>
          </w:p>
        </w:tc>
        <w:tc>
          <w:tcPr>
            <w:tcW w:w="1260" w:type="dxa"/>
            <w:vAlign w:val="bottom"/>
          </w:tcPr>
          <w:p>
            <w:pPr>
              <w:jc w:val="center"/>
              <w:spacing w:after="0" w:line="143" w:lineRule="exact"/>
              <w:rPr>
                <w:sz w:val="20"/>
                <w:szCs w:val="20"/>
                <w:color w:val="auto"/>
              </w:rPr>
            </w:pPr>
            <w:r>
              <w:rPr>
                <w:rFonts w:ascii="Arial" w:cs="Arial" w:eastAsia="Arial" w:hAnsi="Arial"/>
                <w:sz w:val="14"/>
                <w:szCs w:val="14"/>
                <w:color w:val="auto"/>
                <w:w w:val="95"/>
              </w:rPr>
              <w:t>3.91</w:t>
            </w:r>
          </w:p>
        </w:tc>
        <w:tc>
          <w:tcPr>
            <w:tcW w:w="1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43" w:lineRule="exact"/>
              <w:rPr>
                <w:sz w:val="20"/>
                <w:szCs w:val="20"/>
                <w:color w:val="auto"/>
              </w:rPr>
            </w:pPr>
            <w:r>
              <w:rPr>
                <w:rFonts w:ascii="Arial" w:cs="Arial" w:eastAsia="Arial" w:hAnsi="Arial"/>
                <w:sz w:val="14"/>
                <w:szCs w:val="14"/>
                <w:color w:val="auto"/>
              </w:rPr>
              <w:t>12,919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0" w:type="dxa"/>
            <w:vAlign w:val="bottom"/>
          </w:tcPr>
          <w:p>
            <w:pPr>
              <w:spacing w:after="0"/>
              <w:rPr>
                <w:sz w:val="15"/>
                <w:szCs w:val="15"/>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Options vested and expected to vest as of December 31, 2022</w:t>
            </w:r>
          </w:p>
        </w:tc>
        <w:tc>
          <w:tcPr>
            <w:tcW w:w="1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1,901,995</w:t>
            </w:r>
          </w:p>
        </w:tc>
        <w:tc>
          <w:tcPr>
            <w:tcW w:w="1360" w:type="dxa"/>
            <w:vAlign w:val="bottom"/>
            <w:tcBorders>
              <w:bottom w:val="single" w:sz="8" w:color="CCEEFF"/>
            </w:tcBorders>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1"/>
              </w:rPr>
              <w:t>$8.81</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3.94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129"/>
              <w:spacing w:after="0"/>
              <w:rPr>
                <w:sz w:val="20"/>
                <w:szCs w:val="20"/>
                <w:color w:val="auto"/>
              </w:rPr>
            </w:pPr>
            <w:r>
              <w:rPr>
                <w:rFonts w:ascii="Arial" w:cs="Arial" w:eastAsia="Arial" w:hAnsi="Arial"/>
                <w:sz w:val="14"/>
                <w:szCs w:val="14"/>
                <w:color w:val="auto"/>
              </w:rPr>
              <w:t>92</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18"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4"/>
          <w:szCs w:val="14"/>
          <w:color w:val="auto"/>
        </w:rPr>
        <w:t>The aggregate intrinsic value of options exercised during the years ended December 31, 2022 and 2021 amounted to $1.0 million and $8.1 million, respectively, representing the difference between the fair value of the Company's common stock at the date of exercise and the exercise price paid. The aggregate intrinsic values of options outstanding, options vested and exercisable, and options vested and expected to vest as of December 31, 2022 represents the difference between the exercise price and the closing price of the Company’s common stock on the last trading day of the year.</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Outstanding options and exercisable options information by range of exercise prices as of December 31, 2022 was as follows:</w:t>
      </w:r>
    </w:p>
    <w:p>
      <w:pPr>
        <w:spacing w:after="0" w:line="157" w:lineRule="exact"/>
        <w:rPr>
          <w:sz w:val="20"/>
          <w:szCs w:val="20"/>
          <w:color w:val="auto"/>
        </w:rPr>
      </w:pPr>
    </w:p>
    <w:tbl>
      <w:tblPr>
        <w:tblLayout w:type="fixed"/>
        <w:tblInd w:w="620" w:type="dxa"/>
        <w:tblCellMar>
          <w:top w:w="0" w:type="dxa"/>
          <w:left w:w="0" w:type="dxa"/>
          <w:bottom w:w="0" w:type="dxa"/>
          <w:right w:w="0" w:type="dxa"/>
        </w:tblCellMar>
      </w:tblPr>
      <w:tr>
        <w:trPr>
          <w:trHeight w:val="168"/>
        </w:trPr>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9"/>
              </w:rPr>
              <w:t>Options Outstanding</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Options Vested and Exercisable</w:t>
            </w:r>
          </w:p>
        </w:tc>
        <w:tc>
          <w:tcPr>
            <w:tcW w:w="0" w:type="dxa"/>
            <w:vAlign w:val="bottom"/>
          </w:tcPr>
          <w:p>
            <w:pPr>
              <w:spacing w:after="0"/>
              <w:rPr>
                <w:sz w:val="1"/>
                <w:szCs w:val="1"/>
                <w:color w:val="auto"/>
              </w:rPr>
            </w:pPr>
          </w:p>
        </w:tc>
      </w:tr>
      <w:tr>
        <w:trPr>
          <w:trHeight w:val="184"/>
        </w:trPr>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ind w:right="115"/>
              <w:spacing w:after="0"/>
              <w:rPr>
                <w:sz w:val="20"/>
                <w:szCs w:val="20"/>
                <w:color w:val="auto"/>
              </w:rPr>
            </w:pPr>
            <w:r>
              <w:rPr>
                <w:rFonts w:ascii="Arial" w:cs="Arial" w:eastAsia="Arial" w:hAnsi="Arial"/>
                <w:sz w:val="13"/>
                <w:szCs w:val="13"/>
                <w:b w:val="1"/>
                <w:bCs w:val="1"/>
                <w:color w:val="auto"/>
                <w:w w:val="89"/>
              </w:rPr>
              <w:t>Average</w:t>
            </w: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9"/>
              </w:rPr>
              <w:t>Weighted-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jc w:val="center"/>
              <w:ind w:right="115"/>
              <w:spacing w:after="0" w:line="128" w:lineRule="exact"/>
              <w:rPr>
                <w:sz w:val="20"/>
                <w:szCs w:val="20"/>
                <w:color w:val="auto"/>
              </w:rPr>
            </w:pPr>
            <w:r>
              <w:rPr>
                <w:rFonts w:ascii="Arial" w:cs="Arial" w:eastAsia="Arial" w:hAnsi="Arial"/>
                <w:sz w:val="13"/>
                <w:szCs w:val="13"/>
                <w:b w:val="1"/>
                <w:bCs w:val="1"/>
                <w:color w:val="auto"/>
                <w:w w:val="87"/>
              </w:rPr>
              <w:t>Remaining</w:t>
            </w:r>
          </w:p>
        </w:tc>
        <w:tc>
          <w:tcPr>
            <w:tcW w:w="138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3"/>
                <w:szCs w:val="13"/>
                <w:b w:val="1"/>
                <w:bCs w:val="1"/>
                <w:color w:val="auto"/>
                <w:w w:val="98"/>
              </w:rPr>
              <w:t>Exercise Price</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rPr>
              <w:t>Number of Shares</w:t>
            </w:r>
          </w:p>
        </w:tc>
        <w:tc>
          <w:tcPr>
            <w:tcW w:w="120" w:type="dxa"/>
            <w:vAlign w:val="bottom"/>
          </w:tcPr>
          <w:p>
            <w:pPr>
              <w:spacing w:after="0"/>
              <w:rPr>
                <w:sz w:val="11"/>
                <w:szCs w:val="11"/>
                <w:color w:val="auto"/>
              </w:rPr>
            </w:pPr>
          </w:p>
        </w:tc>
        <w:tc>
          <w:tcPr>
            <w:tcW w:w="1480" w:type="dxa"/>
            <w:vAlign w:val="bottom"/>
          </w:tcPr>
          <w:p>
            <w:pPr>
              <w:jc w:val="center"/>
              <w:ind w:right="115"/>
              <w:spacing w:after="0" w:line="128" w:lineRule="exact"/>
              <w:rPr>
                <w:sz w:val="20"/>
                <w:szCs w:val="20"/>
                <w:color w:val="auto"/>
              </w:rPr>
            </w:pPr>
            <w:r>
              <w:rPr>
                <w:rFonts w:ascii="Arial" w:cs="Arial" w:eastAsia="Arial" w:hAnsi="Arial"/>
                <w:sz w:val="13"/>
                <w:szCs w:val="13"/>
                <w:b w:val="1"/>
                <w:bCs w:val="1"/>
                <w:color w:val="auto"/>
                <w:w w:val="91"/>
              </w:rPr>
              <w:t>Contractual</w:t>
            </w:r>
          </w:p>
        </w:tc>
        <w:tc>
          <w:tcPr>
            <w:tcW w:w="138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85"/>
              </w:rPr>
              <w:t>Average</w:t>
            </w:r>
          </w:p>
        </w:tc>
        <w:tc>
          <w:tcPr>
            <w:tcW w:w="1300" w:type="dxa"/>
            <w:vAlign w:val="bottom"/>
            <w:vMerge w:val="restart"/>
          </w:tcPr>
          <w:p>
            <w:pPr>
              <w:jc w:val="right"/>
              <w:ind w:right="91"/>
              <w:spacing w:after="0"/>
              <w:rPr>
                <w:sz w:val="20"/>
                <w:szCs w:val="20"/>
                <w:color w:val="auto"/>
              </w:rPr>
            </w:pPr>
            <w:r>
              <w:rPr>
                <w:rFonts w:ascii="Arial" w:cs="Arial" w:eastAsia="Arial" w:hAnsi="Arial"/>
                <w:sz w:val="13"/>
                <w:szCs w:val="13"/>
                <w:b w:val="1"/>
                <w:bCs w:val="1"/>
                <w:color w:val="auto"/>
                <w:w w:val="99"/>
              </w:rPr>
              <w:t>Number of Shares</w:t>
            </w:r>
          </w:p>
        </w:tc>
        <w:tc>
          <w:tcPr>
            <w:tcW w:w="140" w:type="dxa"/>
            <w:vAlign w:val="bottom"/>
          </w:tcPr>
          <w:p>
            <w:pPr>
              <w:spacing w:after="0"/>
              <w:rPr>
                <w:sz w:val="11"/>
                <w:szCs w:val="11"/>
                <w:color w:val="auto"/>
              </w:rPr>
            </w:pPr>
          </w:p>
        </w:tc>
        <w:tc>
          <w:tcPr>
            <w:tcW w:w="14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95"/>
              <w:spacing w:after="0"/>
              <w:rPr>
                <w:sz w:val="20"/>
                <w:szCs w:val="20"/>
                <w:color w:val="auto"/>
              </w:rPr>
            </w:pPr>
            <w:r>
              <w:rPr>
                <w:rFonts w:ascii="Arial" w:cs="Arial" w:eastAsia="Arial" w:hAnsi="Arial"/>
                <w:sz w:val="13"/>
                <w:szCs w:val="13"/>
                <w:b w:val="1"/>
                <w:bCs w:val="1"/>
                <w:color w:val="auto"/>
                <w:w w:val="90"/>
              </w:rPr>
              <w:t>Life (Years)</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Exercise Price</w:t>
            </w:r>
          </w:p>
        </w:tc>
        <w:tc>
          <w:tcPr>
            <w:tcW w:w="1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7"/>
              </w:rPr>
              <w:t>Exercise Price</w:t>
            </w:r>
          </w:p>
        </w:tc>
        <w:tc>
          <w:tcPr>
            <w:tcW w:w="0" w:type="dxa"/>
            <w:vAlign w:val="bottom"/>
          </w:tcPr>
          <w:p>
            <w:pPr>
              <w:spacing w:after="0"/>
              <w:rPr>
                <w:sz w:val="1"/>
                <w:szCs w:val="1"/>
                <w:color w:val="auto"/>
              </w:rPr>
            </w:pPr>
          </w:p>
        </w:tc>
      </w:tr>
      <w:tr>
        <w:trPr>
          <w:trHeight w:val="173"/>
        </w:trPr>
        <w:tc>
          <w:tcPr>
            <w:tcW w:w="820" w:type="dxa"/>
            <w:vAlign w:val="bottom"/>
            <w:tcBorders>
              <w:top w:val="single" w:sz="8" w:color="auto"/>
            </w:tcBorders>
            <w:shd w:val="clear" w:color="auto" w:fill="CCEEFF"/>
          </w:tcPr>
          <w:p>
            <w:pPr>
              <w:jc w:val="center"/>
              <w:ind w:left="149"/>
              <w:spacing w:after="0"/>
              <w:rPr>
                <w:sz w:val="20"/>
                <w:szCs w:val="20"/>
                <w:color w:val="auto"/>
              </w:rPr>
            </w:pPr>
            <w:r>
              <w:rPr>
                <w:rFonts w:ascii="Arial" w:cs="Arial" w:eastAsia="Arial" w:hAnsi="Arial"/>
                <w:sz w:val="14"/>
                <w:szCs w:val="14"/>
                <w:color w:val="auto"/>
                <w:w w:val="91"/>
              </w:rPr>
              <w:t>$3.24</w:t>
            </w:r>
          </w:p>
        </w:tc>
        <w:tc>
          <w:tcPr>
            <w:tcW w:w="9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center"/>
              <w:ind w:right="269"/>
              <w:spacing w:after="0"/>
              <w:rPr>
                <w:sz w:val="20"/>
                <w:szCs w:val="20"/>
                <w:color w:val="auto"/>
              </w:rPr>
            </w:pPr>
            <w:r>
              <w:rPr>
                <w:rFonts w:ascii="Arial" w:cs="Arial" w:eastAsia="Arial" w:hAnsi="Arial"/>
                <w:sz w:val="14"/>
                <w:szCs w:val="14"/>
                <w:color w:val="auto"/>
                <w:w w:val="91"/>
              </w:rPr>
              <w:t>$3.69</w:t>
            </w:r>
          </w:p>
        </w:tc>
        <w:tc>
          <w:tcPr>
            <w:tcW w:w="2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378,748</w:t>
            </w: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center"/>
              <w:ind w:right="95"/>
              <w:spacing w:after="0"/>
              <w:rPr>
                <w:sz w:val="20"/>
                <w:szCs w:val="20"/>
                <w:color w:val="auto"/>
              </w:rPr>
            </w:pPr>
            <w:r>
              <w:rPr>
                <w:rFonts w:ascii="Arial" w:cs="Arial" w:eastAsia="Arial" w:hAnsi="Arial"/>
                <w:sz w:val="14"/>
                <w:szCs w:val="14"/>
                <w:color w:val="auto"/>
                <w:w w:val="87"/>
              </w:rPr>
              <w:t>1.52</w:t>
            </w: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$3.40</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378,748</w:t>
            </w:r>
          </w:p>
        </w:tc>
        <w:tc>
          <w:tcPr>
            <w:tcW w:w="14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$3.40</w:t>
            </w:r>
          </w:p>
        </w:tc>
        <w:tc>
          <w:tcPr>
            <w:tcW w:w="0" w:type="dxa"/>
            <w:vAlign w:val="bottom"/>
          </w:tcPr>
          <w:p>
            <w:pPr>
              <w:spacing w:after="0"/>
              <w:rPr>
                <w:sz w:val="1"/>
                <w:szCs w:val="1"/>
                <w:color w:val="auto"/>
              </w:rPr>
            </w:pPr>
          </w:p>
        </w:tc>
      </w:tr>
      <w:tr>
        <w:trPr>
          <w:trHeight w:val="180"/>
        </w:trPr>
        <w:tc>
          <w:tcPr>
            <w:tcW w:w="820" w:type="dxa"/>
            <w:vAlign w:val="bottom"/>
          </w:tcPr>
          <w:p>
            <w:pPr>
              <w:jc w:val="center"/>
              <w:ind w:left="149"/>
              <w:spacing w:after="0"/>
              <w:rPr>
                <w:sz w:val="20"/>
                <w:szCs w:val="20"/>
                <w:color w:val="auto"/>
              </w:rPr>
            </w:pPr>
            <w:r>
              <w:rPr>
                <w:rFonts w:ascii="Arial" w:cs="Arial" w:eastAsia="Arial" w:hAnsi="Arial"/>
                <w:sz w:val="14"/>
                <w:szCs w:val="14"/>
                <w:color w:val="auto"/>
                <w:w w:val="91"/>
              </w:rPr>
              <w:t>$3.70</w:t>
            </w:r>
          </w:p>
        </w:tc>
        <w:tc>
          <w:tcPr>
            <w:tcW w:w="98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269"/>
              <w:spacing w:after="0"/>
              <w:rPr>
                <w:sz w:val="20"/>
                <w:szCs w:val="20"/>
                <w:color w:val="auto"/>
              </w:rPr>
            </w:pPr>
            <w:r>
              <w:rPr>
                <w:rFonts w:ascii="Arial" w:cs="Arial" w:eastAsia="Arial" w:hAnsi="Arial"/>
                <w:sz w:val="14"/>
                <w:szCs w:val="14"/>
                <w:color w:val="auto"/>
                <w:w w:val="91"/>
              </w:rPr>
              <w:t>$4.41</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490,008</w:t>
            </w:r>
          </w:p>
        </w:tc>
        <w:tc>
          <w:tcPr>
            <w:tcW w:w="1600" w:type="dxa"/>
            <w:vAlign w:val="bottom"/>
            <w:gridSpan w:val="2"/>
          </w:tcPr>
          <w:p>
            <w:pPr>
              <w:jc w:val="center"/>
              <w:spacing w:after="0"/>
              <w:rPr>
                <w:sz w:val="20"/>
                <w:szCs w:val="20"/>
                <w:color w:val="auto"/>
              </w:rPr>
            </w:pPr>
            <w:r>
              <w:rPr>
                <w:rFonts w:ascii="Arial" w:cs="Arial" w:eastAsia="Arial" w:hAnsi="Arial"/>
                <w:sz w:val="14"/>
                <w:szCs w:val="14"/>
                <w:color w:val="auto"/>
                <w:w w:val="87"/>
              </w:rPr>
              <w:t>2.99</w:t>
            </w:r>
          </w:p>
        </w:tc>
        <w:tc>
          <w:tcPr>
            <w:tcW w:w="1280" w:type="dxa"/>
            <w:vAlign w:val="bottom"/>
          </w:tcPr>
          <w:p>
            <w:pPr>
              <w:jc w:val="center"/>
              <w:spacing w:after="0"/>
              <w:rPr>
                <w:sz w:val="20"/>
                <w:szCs w:val="20"/>
                <w:color w:val="auto"/>
              </w:rPr>
            </w:pPr>
            <w:r>
              <w:rPr>
                <w:rFonts w:ascii="Arial" w:cs="Arial" w:eastAsia="Arial" w:hAnsi="Arial"/>
                <w:sz w:val="14"/>
                <w:szCs w:val="14"/>
                <w:color w:val="auto"/>
                <w:w w:val="91"/>
              </w:rPr>
              <w:t>$4.30</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490,008</w:t>
            </w:r>
          </w:p>
        </w:tc>
        <w:tc>
          <w:tcPr>
            <w:tcW w:w="1580" w:type="dxa"/>
            <w:vAlign w:val="bottom"/>
            <w:gridSpan w:val="2"/>
          </w:tcPr>
          <w:p>
            <w:pPr>
              <w:jc w:val="center"/>
              <w:ind w:left="69"/>
              <w:spacing w:after="0"/>
              <w:rPr>
                <w:sz w:val="20"/>
                <w:szCs w:val="20"/>
                <w:color w:val="auto"/>
              </w:rPr>
            </w:pPr>
            <w:r>
              <w:rPr>
                <w:rFonts w:ascii="Arial" w:cs="Arial" w:eastAsia="Arial" w:hAnsi="Arial"/>
                <w:sz w:val="14"/>
                <w:szCs w:val="14"/>
                <w:color w:val="auto"/>
                <w:w w:val="91"/>
              </w:rPr>
              <w:t>$4.30</w:t>
            </w:r>
          </w:p>
        </w:tc>
        <w:tc>
          <w:tcPr>
            <w:tcW w:w="0" w:type="dxa"/>
            <w:vAlign w:val="bottom"/>
          </w:tcPr>
          <w:p>
            <w:pPr>
              <w:spacing w:after="0"/>
              <w:rPr>
                <w:sz w:val="1"/>
                <w:szCs w:val="1"/>
                <w:color w:val="auto"/>
              </w:rPr>
            </w:pPr>
          </w:p>
        </w:tc>
      </w:tr>
      <w:tr>
        <w:trPr>
          <w:trHeight w:val="181"/>
        </w:trPr>
        <w:tc>
          <w:tcPr>
            <w:tcW w:w="820" w:type="dxa"/>
            <w:vAlign w:val="bottom"/>
            <w:shd w:val="clear" w:color="auto" w:fill="CCEEFF"/>
          </w:tcPr>
          <w:p>
            <w:pPr>
              <w:jc w:val="center"/>
              <w:ind w:left="149"/>
              <w:spacing w:after="0"/>
              <w:rPr>
                <w:sz w:val="20"/>
                <w:szCs w:val="20"/>
                <w:color w:val="auto"/>
              </w:rPr>
            </w:pPr>
            <w:r>
              <w:rPr>
                <w:rFonts w:ascii="Arial" w:cs="Arial" w:eastAsia="Arial" w:hAnsi="Arial"/>
                <w:sz w:val="14"/>
                <w:szCs w:val="14"/>
                <w:color w:val="auto"/>
                <w:w w:val="91"/>
              </w:rPr>
              <w:t>$4.42</w:t>
            </w:r>
          </w:p>
        </w:tc>
        <w:tc>
          <w:tcPr>
            <w:tcW w:w="98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right="269"/>
              <w:spacing w:after="0"/>
              <w:rPr>
                <w:sz w:val="20"/>
                <w:szCs w:val="20"/>
                <w:color w:val="auto"/>
              </w:rPr>
            </w:pPr>
            <w:r>
              <w:rPr>
                <w:rFonts w:ascii="Arial" w:cs="Arial" w:eastAsia="Arial" w:hAnsi="Arial"/>
                <w:sz w:val="14"/>
                <w:szCs w:val="14"/>
                <w:color w:val="auto"/>
                <w:w w:val="91"/>
              </w:rPr>
              <w:t>$5.31</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407,247</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7"/>
              </w:rPr>
              <w:t>4.34</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$4.67</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407,180</w:t>
            </w:r>
          </w:p>
        </w:tc>
        <w:tc>
          <w:tcPr>
            <w:tcW w:w="158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91"/>
              </w:rPr>
              <w:t>$4.67</w:t>
            </w:r>
          </w:p>
        </w:tc>
        <w:tc>
          <w:tcPr>
            <w:tcW w:w="0" w:type="dxa"/>
            <w:vAlign w:val="bottom"/>
          </w:tcPr>
          <w:p>
            <w:pPr>
              <w:spacing w:after="0"/>
              <w:rPr>
                <w:sz w:val="1"/>
                <w:szCs w:val="1"/>
                <w:color w:val="auto"/>
              </w:rPr>
            </w:pPr>
          </w:p>
        </w:tc>
      </w:tr>
      <w:tr>
        <w:trPr>
          <w:trHeight w:val="180"/>
        </w:trPr>
        <w:tc>
          <w:tcPr>
            <w:tcW w:w="820" w:type="dxa"/>
            <w:vAlign w:val="bottom"/>
          </w:tcPr>
          <w:p>
            <w:pPr>
              <w:jc w:val="center"/>
              <w:ind w:left="149"/>
              <w:spacing w:after="0"/>
              <w:rPr>
                <w:sz w:val="20"/>
                <w:szCs w:val="20"/>
                <w:color w:val="auto"/>
              </w:rPr>
            </w:pPr>
            <w:r>
              <w:rPr>
                <w:rFonts w:ascii="Arial" w:cs="Arial" w:eastAsia="Arial" w:hAnsi="Arial"/>
                <w:sz w:val="14"/>
                <w:szCs w:val="14"/>
                <w:color w:val="auto"/>
                <w:w w:val="91"/>
              </w:rPr>
              <w:t>$5.32</w:t>
            </w:r>
          </w:p>
        </w:tc>
        <w:tc>
          <w:tcPr>
            <w:tcW w:w="98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269"/>
              <w:spacing w:after="0"/>
              <w:rPr>
                <w:sz w:val="20"/>
                <w:szCs w:val="20"/>
                <w:color w:val="auto"/>
              </w:rPr>
            </w:pPr>
            <w:r>
              <w:rPr>
                <w:rFonts w:ascii="Arial" w:cs="Arial" w:eastAsia="Arial" w:hAnsi="Arial"/>
                <w:sz w:val="14"/>
                <w:szCs w:val="14"/>
                <w:color w:val="auto"/>
                <w:w w:val="93"/>
              </w:rPr>
              <w:t>$20.51</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233,794</w:t>
            </w:r>
          </w:p>
        </w:tc>
        <w:tc>
          <w:tcPr>
            <w:tcW w:w="1600" w:type="dxa"/>
            <w:vAlign w:val="bottom"/>
            <w:gridSpan w:val="2"/>
          </w:tcPr>
          <w:p>
            <w:pPr>
              <w:jc w:val="center"/>
              <w:spacing w:after="0"/>
              <w:rPr>
                <w:sz w:val="20"/>
                <w:szCs w:val="20"/>
                <w:color w:val="auto"/>
              </w:rPr>
            </w:pPr>
            <w:r>
              <w:rPr>
                <w:rFonts w:ascii="Arial" w:cs="Arial" w:eastAsia="Arial" w:hAnsi="Arial"/>
                <w:sz w:val="14"/>
                <w:szCs w:val="14"/>
                <w:color w:val="auto"/>
                <w:w w:val="87"/>
              </w:rPr>
              <w:t>5.45</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$12.06</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232,013</w:t>
            </w:r>
          </w:p>
        </w:tc>
        <w:tc>
          <w:tcPr>
            <w:tcW w:w="1580" w:type="dxa"/>
            <w:vAlign w:val="bottom"/>
            <w:gridSpan w:val="2"/>
          </w:tcPr>
          <w:p>
            <w:pPr>
              <w:jc w:val="center"/>
              <w:ind w:left="89"/>
              <w:spacing w:after="0"/>
              <w:rPr>
                <w:sz w:val="20"/>
                <w:szCs w:val="20"/>
                <w:color w:val="auto"/>
              </w:rPr>
            </w:pPr>
            <w:r>
              <w:rPr>
                <w:rFonts w:ascii="Arial" w:cs="Arial" w:eastAsia="Arial" w:hAnsi="Arial"/>
                <w:sz w:val="14"/>
                <w:szCs w:val="14"/>
                <w:color w:val="auto"/>
                <w:w w:val="88"/>
              </w:rPr>
              <w:t>$12.01</w:t>
            </w:r>
          </w:p>
        </w:tc>
        <w:tc>
          <w:tcPr>
            <w:tcW w:w="0" w:type="dxa"/>
            <w:vAlign w:val="bottom"/>
          </w:tcPr>
          <w:p>
            <w:pPr>
              <w:spacing w:after="0"/>
              <w:rPr>
                <w:sz w:val="1"/>
                <w:szCs w:val="1"/>
                <w:color w:val="auto"/>
              </w:rPr>
            </w:pPr>
          </w:p>
        </w:tc>
      </w:tr>
      <w:tr>
        <w:trPr>
          <w:trHeight w:val="180"/>
        </w:trPr>
        <w:tc>
          <w:tcPr>
            <w:tcW w:w="82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88"/>
              </w:rPr>
              <w:t>$20.52</w:t>
            </w:r>
          </w:p>
        </w:tc>
        <w:tc>
          <w:tcPr>
            <w:tcW w:w="98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right="269"/>
              <w:spacing w:after="0"/>
              <w:rPr>
                <w:sz w:val="20"/>
                <w:szCs w:val="20"/>
                <w:color w:val="auto"/>
              </w:rPr>
            </w:pPr>
            <w:r>
              <w:rPr>
                <w:rFonts w:ascii="Arial" w:cs="Arial" w:eastAsia="Arial" w:hAnsi="Arial"/>
                <w:sz w:val="14"/>
                <w:szCs w:val="14"/>
                <w:color w:val="auto"/>
                <w:w w:val="93"/>
              </w:rPr>
              <w:t>$22.00</w:t>
            </w:r>
          </w:p>
        </w:tc>
        <w:tc>
          <w:tcPr>
            <w:tcW w:w="2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393,544</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7"/>
              </w:rPr>
              <w:t>6.04</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$22.00</w:t>
            </w:r>
          </w:p>
        </w:tc>
        <w:tc>
          <w:tcPr>
            <w:tcW w:w="10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385,041</w:t>
            </w:r>
          </w:p>
        </w:tc>
        <w:tc>
          <w:tcPr>
            <w:tcW w:w="1580" w:type="dxa"/>
            <w:vAlign w:val="bottom"/>
            <w:gridSpan w:val="2"/>
            <w:shd w:val="clear" w:color="auto" w:fill="CCEEFF"/>
          </w:tcPr>
          <w:p>
            <w:pPr>
              <w:jc w:val="center"/>
              <w:ind w:left="89"/>
              <w:spacing w:after="0"/>
              <w:rPr>
                <w:sz w:val="20"/>
                <w:szCs w:val="20"/>
                <w:color w:val="auto"/>
              </w:rPr>
            </w:pPr>
            <w:r>
              <w:rPr>
                <w:rFonts w:ascii="Arial" w:cs="Arial" w:eastAsia="Arial" w:hAnsi="Arial"/>
                <w:sz w:val="14"/>
                <w:szCs w:val="14"/>
                <w:color w:val="auto"/>
                <w:w w:val="88"/>
              </w:rPr>
              <w:t>$22.00</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1,903,341</w:t>
            </w:r>
          </w:p>
        </w:tc>
        <w:tc>
          <w:tcPr>
            <w:tcW w:w="1600" w:type="dxa"/>
            <w:vAlign w:val="bottom"/>
            <w:gridSpan w:val="2"/>
          </w:tcPr>
          <w:p>
            <w:pPr>
              <w:jc w:val="center"/>
              <w:spacing w:after="0"/>
              <w:rPr>
                <w:sz w:val="20"/>
                <w:szCs w:val="20"/>
                <w:color w:val="auto"/>
              </w:rPr>
            </w:pPr>
            <w:r>
              <w:rPr>
                <w:rFonts w:ascii="Arial" w:cs="Arial" w:eastAsia="Arial" w:hAnsi="Arial"/>
                <w:sz w:val="14"/>
                <w:szCs w:val="14"/>
                <w:color w:val="auto"/>
                <w:w w:val="87"/>
              </w:rPr>
              <w:t>3.91</w:t>
            </w:r>
          </w:p>
        </w:tc>
        <w:tc>
          <w:tcPr>
            <w:tcW w:w="1280" w:type="dxa"/>
            <w:vAlign w:val="bottom"/>
          </w:tcPr>
          <w:p>
            <w:pPr>
              <w:jc w:val="center"/>
              <w:spacing w:after="0"/>
              <w:rPr>
                <w:sz w:val="20"/>
                <w:szCs w:val="20"/>
                <w:color w:val="auto"/>
              </w:rPr>
            </w:pPr>
            <w:r>
              <w:rPr>
                <w:rFonts w:ascii="Arial" w:cs="Arial" w:eastAsia="Arial" w:hAnsi="Arial"/>
                <w:sz w:val="14"/>
                <w:szCs w:val="14"/>
                <w:color w:val="auto"/>
                <w:w w:val="91"/>
              </w:rPr>
              <w:t>$8.82</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1,892,990</w:t>
            </w:r>
          </w:p>
        </w:tc>
        <w:tc>
          <w:tcPr>
            <w:tcW w:w="1580" w:type="dxa"/>
            <w:vAlign w:val="bottom"/>
            <w:gridSpan w:val="2"/>
          </w:tcPr>
          <w:p>
            <w:pPr>
              <w:jc w:val="center"/>
              <w:ind w:left="69"/>
              <w:spacing w:after="0"/>
              <w:rPr>
                <w:sz w:val="20"/>
                <w:szCs w:val="20"/>
                <w:color w:val="auto"/>
              </w:rPr>
            </w:pPr>
            <w:r>
              <w:rPr>
                <w:rFonts w:ascii="Arial" w:cs="Arial" w:eastAsia="Arial" w:hAnsi="Arial"/>
                <w:sz w:val="14"/>
                <w:szCs w:val="14"/>
                <w:color w:val="auto"/>
                <w:w w:val="91"/>
              </w:rPr>
              <w:t>$8.75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were no stock options granted during the years ended December 31, 2022 and 2021.</w:t>
      </w:r>
    </w:p>
    <w:p>
      <w:pPr>
        <w:spacing w:after="0" w:line="115"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As of December 31, 2022, there was approximately $22,000 of unrecognized compensation cost related to stock options granted. These costs are expected to be recognized over a period of approximately 0.5 years.</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79"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Restricted stock units (“RSUs”) are share awards that entitle the holder to receive freely tradable shares of the Company’s common stock upon vesting. RSUs generally vest over two to four years based upon continued services and are settled at vesting in shares of the Company's common stock. The grant date fair value of the RSUs is equal to the closing price of the Company’s common stock on the grant date.</w:t>
      </w:r>
    </w:p>
    <w:p>
      <w:pPr>
        <w:spacing w:after="0" w:line="9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In January 2022, the Company granted performance-based restricted stock unit awards subject to market and service vesting conditions to certain executive officers under SI-BONE's 2018 Equity Incentive Plan (“PSUs”). The shares subject to the PSUs vest over a three-year performance period beginning January 1, 2022 and ending December 31, 2024.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46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Year Ended December 31, 2022</w:t>
            </w:r>
          </w:p>
        </w:tc>
        <w:tc>
          <w:tcPr>
            <w:tcW w:w="1120" w:type="dxa"/>
            <w:vAlign w:val="bottom"/>
            <w:tcBorders>
              <w:bottom w:val="single" w:sz="8" w:color="auto"/>
            </w:tcBorders>
          </w:tcPr>
          <w:p>
            <w:pPr>
              <w:spacing w:after="0"/>
              <w:rPr>
                <w:sz w:val="14"/>
                <w:szCs w:val="14"/>
                <w:color w:val="auto"/>
              </w:rPr>
            </w:pPr>
          </w:p>
        </w:tc>
      </w:tr>
      <w:tr>
        <w:trPr>
          <w:trHeight w:val="175"/>
        </w:trPr>
        <w:tc>
          <w:tcPr>
            <w:tcW w:w="4620" w:type="dxa"/>
            <w:vAlign w:val="bottom"/>
          </w:tcPr>
          <w:p>
            <w:pPr>
              <w:ind w:left="40"/>
              <w:spacing w:after="0"/>
              <w:rPr>
                <w:sz w:val="20"/>
                <w:szCs w:val="20"/>
                <w:color w:val="auto"/>
              </w:rPr>
            </w:pPr>
            <w:r>
              <w:rPr>
                <w:rFonts w:ascii="Arial" w:cs="Arial" w:eastAsia="Arial" w:hAnsi="Arial"/>
                <w:sz w:val="14"/>
                <w:szCs w:val="14"/>
                <w:color w:val="auto"/>
              </w:rPr>
              <w:t>Expected volatility of common stock</w:t>
            </w:r>
          </w:p>
        </w:tc>
        <w:tc>
          <w:tcPr>
            <w:tcW w:w="1100" w:type="dxa"/>
            <w:vAlign w:val="bottom"/>
          </w:tcPr>
          <w:p>
            <w:pPr>
              <w:jc w:val="center"/>
              <w:ind w:left="269"/>
              <w:spacing w:after="0"/>
              <w:rPr>
                <w:sz w:val="20"/>
                <w:szCs w:val="20"/>
                <w:color w:val="auto"/>
              </w:rPr>
            </w:pPr>
            <w:r>
              <w:rPr>
                <w:rFonts w:ascii="Arial" w:cs="Arial" w:eastAsia="Arial" w:hAnsi="Arial"/>
                <w:sz w:val="14"/>
                <w:szCs w:val="14"/>
                <w:color w:val="auto"/>
                <w:w w:val="90"/>
              </w:rPr>
              <w:t>48.9%</w:t>
            </w:r>
          </w:p>
        </w:tc>
        <w:tc>
          <w:tcPr>
            <w:tcW w:w="2100" w:type="dxa"/>
            <w:vAlign w:val="bottom"/>
          </w:tcPr>
          <w:p>
            <w:pPr>
              <w:jc w:val="center"/>
              <w:spacing w:after="0"/>
              <w:rPr>
                <w:sz w:val="20"/>
                <w:szCs w:val="20"/>
                <w:color w:val="auto"/>
              </w:rPr>
            </w:pPr>
            <w:r>
              <w:rPr>
                <w:rFonts w:ascii="Arial" w:cs="Arial" w:eastAsia="Arial" w:hAnsi="Arial"/>
                <w:sz w:val="14"/>
                <w:szCs w:val="14"/>
                <w:color w:val="auto"/>
              </w:rPr>
              <w:t>to</w:t>
            </w:r>
          </w:p>
        </w:tc>
        <w:tc>
          <w:tcPr>
            <w:tcW w:w="1120" w:type="dxa"/>
            <w:vAlign w:val="bottom"/>
          </w:tcPr>
          <w:p>
            <w:pPr>
              <w:jc w:val="center"/>
              <w:ind w:right="249"/>
              <w:spacing w:after="0"/>
              <w:rPr>
                <w:sz w:val="20"/>
                <w:szCs w:val="20"/>
                <w:color w:val="auto"/>
              </w:rPr>
            </w:pPr>
            <w:r>
              <w:rPr>
                <w:rFonts w:ascii="Arial" w:cs="Arial" w:eastAsia="Arial" w:hAnsi="Arial"/>
                <w:sz w:val="14"/>
                <w:szCs w:val="14"/>
                <w:color w:val="auto"/>
                <w:w w:val="90"/>
              </w:rPr>
              <w:t>58.7%</w:t>
            </w:r>
          </w:p>
        </w:tc>
      </w:tr>
      <w:tr>
        <w:trPr>
          <w:trHeight w:val="181"/>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volatility of peer companies</w:t>
            </w:r>
          </w:p>
        </w:tc>
        <w:tc>
          <w:tcPr>
            <w:tcW w:w="1100" w:type="dxa"/>
            <w:vAlign w:val="bottom"/>
            <w:shd w:val="clear" w:color="auto" w:fill="CCEEFF"/>
          </w:tcPr>
          <w:p>
            <w:pPr>
              <w:jc w:val="center"/>
              <w:ind w:left="269"/>
              <w:spacing w:after="0"/>
              <w:rPr>
                <w:sz w:val="20"/>
                <w:szCs w:val="20"/>
                <w:color w:val="auto"/>
              </w:rPr>
            </w:pPr>
            <w:r>
              <w:rPr>
                <w:rFonts w:ascii="Arial" w:cs="Arial" w:eastAsia="Arial" w:hAnsi="Arial"/>
                <w:sz w:val="14"/>
                <w:szCs w:val="14"/>
                <w:color w:val="auto"/>
                <w:w w:val="90"/>
              </w:rPr>
              <w:t>24.2%</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to</w:t>
            </w:r>
          </w:p>
        </w:tc>
        <w:tc>
          <w:tcPr>
            <w:tcW w:w="1120" w:type="dxa"/>
            <w:vAlign w:val="bottom"/>
            <w:shd w:val="clear" w:color="auto" w:fill="CCEEFF"/>
          </w:tcPr>
          <w:p>
            <w:pPr>
              <w:jc w:val="center"/>
              <w:ind w:right="249"/>
              <w:spacing w:after="0"/>
              <w:rPr>
                <w:sz w:val="20"/>
                <w:szCs w:val="20"/>
                <w:color w:val="auto"/>
              </w:rPr>
            </w:pPr>
            <w:r>
              <w:rPr>
                <w:rFonts w:ascii="Arial" w:cs="Arial" w:eastAsia="Arial" w:hAnsi="Arial"/>
                <w:sz w:val="14"/>
                <w:szCs w:val="14"/>
                <w:color w:val="auto"/>
                <w:w w:val="92"/>
              </w:rPr>
              <w:t>152.5%</w:t>
            </w:r>
          </w:p>
        </w:tc>
      </w:tr>
      <w:tr>
        <w:trPr>
          <w:trHeight w:val="180"/>
        </w:trPr>
        <w:tc>
          <w:tcPr>
            <w:tcW w:w="4620" w:type="dxa"/>
            <w:vAlign w:val="bottom"/>
          </w:tcPr>
          <w:p>
            <w:pPr>
              <w:ind w:left="40"/>
              <w:spacing w:after="0"/>
              <w:rPr>
                <w:sz w:val="20"/>
                <w:szCs w:val="20"/>
                <w:color w:val="auto"/>
              </w:rPr>
            </w:pPr>
            <w:r>
              <w:rPr>
                <w:rFonts w:ascii="Arial" w:cs="Arial" w:eastAsia="Arial" w:hAnsi="Arial"/>
                <w:sz w:val="14"/>
                <w:szCs w:val="14"/>
                <w:color w:val="auto"/>
              </w:rPr>
              <w:t>Correlation coefficient of peer companies</w:t>
            </w:r>
          </w:p>
        </w:tc>
        <w:tc>
          <w:tcPr>
            <w:tcW w:w="1100" w:type="dxa"/>
            <w:vAlign w:val="bottom"/>
          </w:tcPr>
          <w:p>
            <w:pPr>
              <w:jc w:val="center"/>
              <w:ind w:left="249"/>
              <w:spacing w:after="0"/>
              <w:rPr>
                <w:sz w:val="20"/>
                <w:szCs w:val="20"/>
                <w:color w:val="auto"/>
              </w:rPr>
            </w:pPr>
            <w:r>
              <w:rPr>
                <w:rFonts w:ascii="Arial" w:cs="Arial" w:eastAsia="Arial" w:hAnsi="Arial"/>
                <w:sz w:val="14"/>
                <w:szCs w:val="14"/>
                <w:color w:val="auto"/>
                <w:w w:val="92"/>
              </w:rPr>
              <w:t>(0.13)</w:t>
            </w:r>
          </w:p>
        </w:tc>
        <w:tc>
          <w:tcPr>
            <w:tcW w:w="2100" w:type="dxa"/>
            <w:vAlign w:val="bottom"/>
          </w:tcPr>
          <w:p>
            <w:pPr>
              <w:jc w:val="center"/>
              <w:spacing w:after="0"/>
              <w:rPr>
                <w:sz w:val="20"/>
                <w:szCs w:val="20"/>
                <w:color w:val="auto"/>
              </w:rPr>
            </w:pPr>
            <w:r>
              <w:rPr>
                <w:rFonts w:ascii="Arial" w:cs="Arial" w:eastAsia="Arial" w:hAnsi="Arial"/>
                <w:sz w:val="14"/>
                <w:szCs w:val="14"/>
                <w:color w:val="auto"/>
              </w:rPr>
              <w:t>to</w:t>
            </w:r>
          </w:p>
        </w:tc>
        <w:tc>
          <w:tcPr>
            <w:tcW w:w="1120" w:type="dxa"/>
            <w:vAlign w:val="bottom"/>
          </w:tcPr>
          <w:p>
            <w:pPr>
              <w:jc w:val="center"/>
              <w:ind w:right="249"/>
              <w:spacing w:after="0"/>
              <w:rPr>
                <w:sz w:val="20"/>
                <w:szCs w:val="20"/>
                <w:color w:val="auto"/>
              </w:rPr>
            </w:pPr>
            <w:r>
              <w:rPr>
                <w:rFonts w:ascii="Arial" w:cs="Arial" w:eastAsia="Arial" w:hAnsi="Arial"/>
                <w:sz w:val="14"/>
                <w:szCs w:val="14"/>
                <w:color w:val="auto"/>
                <w:w w:val="87"/>
              </w:rPr>
              <w:t>1.00</w:t>
            </w:r>
          </w:p>
        </w:tc>
      </w:tr>
      <w:tr>
        <w:trPr>
          <w:trHeight w:val="181"/>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110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93"/>
              </w:rPr>
              <w:t>0.4%</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to</w:t>
            </w:r>
          </w:p>
        </w:tc>
        <w:tc>
          <w:tcPr>
            <w:tcW w:w="1120" w:type="dxa"/>
            <w:vAlign w:val="bottom"/>
            <w:shd w:val="clear" w:color="auto" w:fill="CCEEFF"/>
          </w:tcPr>
          <w:p>
            <w:pPr>
              <w:jc w:val="center"/>
              <w:ind w:right="249"/>
              <w:spacing w:after="0"/>
              <w:rPr>
                <w:sz w:val="20"/>
                <w:szCs w:val="20"/>
                <w:color w:val="auto"/>
              </w:rPr>
            </w:pPr>
            <w:r>
              <w:rPr>
                <w:rFonts w:ascii="Arial" w:cs="Arial" w:eastAsia="Arial" w:hAnsi="Arial"/>
                <w:sz w:val="14"/>
                <w:szCs w:val="14"/>
                <w:color w:val="auto"/>
                <w:w w:val="87"/>
              </w:rPr>
              <w:t>1.2%</w:t>
            </w:r>
          </w:p>
        </w:tc>
      </w:tr>
      <w:tr>
        <w:trPr>
          <w:trHeight w:val="180"/>
        </w:trPr>
        <w:tc>
          <w:tcPr>
            <w:tcW w:w="462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1100" w:type="dxa"/>
            <w:vAlign w:val="bottom"/>
          </w:tcPr>
          <w:p>
            <w:pPr>
              <w:jc w:val="center"/>
              <w:ind w:left="249"/>
              <w:spacing w:after="0"/>
              <w:rPr>
                <w:sz w:val="20"/>
                <w:szCs w:val="20"/>
                <w:color w:val="auto"/>
              </w:rPr>
            </w:pPr>
            <w:r>
              <w:rPr>
                <w:rFonts w:ascii="Arial" w:cs="Arial" w:eastAsia="Arial" w:hAnsi="Arial"/>
                <w:sz w:val="14"/>
                <w:szCs w:val="14"/>
                <w:color w:val="auto"/>
                <w:w w:val="98"/>
              </w:rPr>
              <w:t>—%</w:t>
            </w:r>
          </w:p>
        </w:tc>
        <w:tc>
          <w:tcPr>
            <w:tcW w:w="2100" w:type="dxa"/>
            <w:vAlign w:val="bottom"/>
          </w:tcPr>
          <w:p>
            <w:pPr>
              <w:jc w:val="center"/>
              <w:spacing w:after="0"/>
              <w:rPr>
                <w:sz w:val="20"/>
                <w:szCs w:val="20"/>
                <w:color w:val="auto"/>
              </w:rPr>
            </w:pPr>
            <w:r>
              <w:rPr>
                <w:rFonts w:ascii="Arial" w:cs="Arial" w:eastAsia="Arial" w:hAnsi="Arial"/>
                <w:sz w:val="14"/>
                <w:szCs w:val="14"/>
                <w:color w:val="auto"/>
              </w:rPr>
              <w:t>to</w:t>
            </w:r>
          </w:p>
        </w:tc>
        <w:tc>
          <w:tcPr>
            <w:tcW w:w="1120" w:type="dxa"/>
            <w:vAlign w:val="bottom"/>
          </w:tcPr>
          <w:p>
            <w:pPr>
              <w:jc w:val="center"/>
              <w:ind w:right="249"/>
              <w:spacing w:after="0"/>
              <w:rPr>
                <w:sz w:val="20"/>
                <w:szCs w:val="20"/>
                <w:color w:val="auto"/>
              </w:rPr>
            </w:pPr>
            <w:r>
              <w:rPr>
                <w:rFonts w:ascii="Arial" w:cs="Arial" w:eastAsia="Arial" w:hAnsi="Arial"/>
                <w:sz w:val="14"/>
                <w:szCs w:val="14"/>
                <w:color w:val="auto"/>
                <w:w w:val="87"/>
              </w:rPr>
              <w:t>1.0%</w:t>
            </w:r>
          </w:p>
        </w:tc>
      </w:tr>
    </w:tbl>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RSU and PSU activity for the years ended December 31, 2022 and 2021:</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60" w:type="dxa"/>
        <w:tblCellMar>
          <w:top w:w="0" w:type="dxa"/>
          <w:left w:w="0" w:type="dxa"/>
          <w:bottom w:w="0" w:type="dxa"/>
          <w:right w:w="0" w:type="dxa"/>
        </w:tblCellMar>
      </w:tblPr>
      <w:tr>
        <w:trPr>
          <w:trHeight w:val="168"/>
        </w:trPr>
        <w:tc>
          <w:tcPr>
            <w:tcW w:w="4720" w:type="dxa"/>
            <w:vAlign w:val="bottom"/>
          </w:tcPr>
          <w:p>
            <w:pPr>
              <w:spacing w:after="0"/>
              <w:rPr>
                <w:sz w:val="14"/>
                <w:szCs w:val="14"/>
                <w:color w:val="auto"/>
              </w:rPr>
            </w:pPr>
          </w:p>
        </w:tc>
        <w:tc>
          <w:tcPr>
            <w:tcW w:w="1460" w:type="dxa"/>
            <w:vAlign w:val="bottom"/>
            <w:tcBorders>
              <w:bottom w:val="single" w:sz="8" w:color="auto"/>
            </w:tcBorders>
            <w:gridSpan w:val="3"/>
          </w:tcPr>
          <w:p>
            <w:pPr>
              <w:ind w:left="1140"/>
              <w:spacing w:after="0"/>
              <w:rPr>
                <w:sz w:val="20"/>
                <w:szCs w:val="20"/>
                <w:color w:val="auto"/>
              </w:rPr>
            </w:pPr>
            <w:r>
              <w:rPr>
                <w:rFonts w:ascii="Arial" w:cs="Arial" w:eastAsia="Arial" w:hAnsi="Arial"/>
                <w:sz w:val="13"/>
                <w:szCs w:val="13"/>
                <w:b w:val="1"/>
                <w:bCs w:val="1"/>
                <w:color w:val="auto"/>
                <w:w w:val="86"/>
              </w:rPr>
              <w:t>RSUs</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bottom w:val="single" w:sz="8" w:color="auto"/>
            </w:tcBorders>
            <w:gridSpan w:val="3"/>
          </w:tcPr>
          <w:p>
            <w:pPr>
              <w:ind w:left="1160"/>
              <w:spacing w:after="0"/>
              <w:rPr>
                <w:sz w:val="20"/>
                <w:szCs w:val="20"/>
                <w:color w:val="auto"/>
              </w:rPr>
            </w:pPr>
            <w:r>
              <w:rPr>
                <w:rFonts w:ascii="Arial" w:cs="Arial" w:eastAsia="Arial" w:hAnsi="Arial"/>
                <w:sz w:val="13"/>
                <w:szCs w:val="13"/>
                <w:b w:val="1"/>
                <w:bCs w:val="1"/>
                <w:color w:val="auto"/>
                <w:w w:val="88"/>
              </w:rPr>
              <w:t>PSUs</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7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91"/>
              <w:spacing w:after="0" w:line="120" w:lineRule="exact"/>
              <w:rPr>
                <w:sz w:val="20"/>
                <w:szCs w:val="20"/>
                <w:color w:val="auto"/>
              </w:rPr>
            </w:pPr>
            <w:r>
              <w:rPr>
                <w:rFonts w:ascii="Arial" w:cs="Arial" w:eastAsia="Arial" w:hAnsi="Arial"/>
                <w:sz w:val="13"/>
                <w:szCs w:val="13"/>
                <w:b w:val="1"/>
                <w:bCs w:val="1"/>
                <w:color w:val="auto"/>
                <w:w w:val="89"/>
              </w:rPr>
              <w:t>Weighted-</w:t>
            </w: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center"/>
              <w:ind w:right="91"/>
              <w:spacing w:after="0" w:line="120" w:lineRule="exact"/>
              <w:rPr>
                <w:sz w:val="20"/>
                <w:szCs w:val="20"/>
                <w:color w:val="auto"/>
              </w:rPr>
            </w:pPr>
            <w:r>
              <w:rPr>
                <w:rFonts w:ascii="Arial" w:cs="Arial" w:eastAsia="Arial" w:hAnsi="Arial"/>
                <w:sz w:val="13"/>
                <w:szCs w:val="13"/>
                <w:b w:val="1"/>
                <w:bCs w:val="1"/>
                <w:color w:val="auto"/>
                <w:w w:val="89"/>
              </w:rPr>
              <w:t>Weighted-</w:t>
            </w:r>
          </w:p>
        </w:tc>
        <w:tc>
          <w:tcPr>
            <w:tcW w:w="0" w:type="dxa"/>
            <w:vAlign w:val="bottom"/>
          </w:tcPr>
          <w:p>
            <w:pPr>
              <w:spacing w:after="0"/>
              <w:rPr>
                <w:sz w:val="1"/>
                <w:szCs w:val="1"/>
                <w:color w:val="auto"/>
              </w:rPr>
            </w:pPr>
          </w:p>
        </w:tc>
      </w:tr>
      <w:tr>
        <w:trPr>
          <w:trHeight w:val="127"/>
        </w:trPr>
        <w:tc>
          <w:tcPr>
            <w:tcW w:w="4720" w:type="dxa"/>
            <w:vAlign w:val="bottom"/>
          </w:tcPr>
          <w:p>
            <w:pPr>
              <w:spacing w:after="0"/>
              <w:rPr>
                <w:sz w:val="11"/>
                <w:szCs w:val="11"/>
                <w:color w:val="auto"/>
              </w:rPr>
            </w:pPr>
          </w:p>
        </w:tc>
        <w:tc>
          <w:tcPr>
            <w:tcW w:w="146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2"/>
              </w:rPr>
              <w:t>Number of</w:t>
            </w:r>
          </w:p>
        </w:tc>
        <w:tc>
          <w:tcPr>
            <w:tcW w:w="1200" w:type="dxa"/>
            <w:vAlign w:val="bottom"/>
            <w:gridSpan w:val="2"/>
          </w:tcPr>
          <w:p>
            <w:pPr>
              <w:jc w:val="center"/>
              <w:ind w:right="240"/>
              <w:spacing w:after="0" w:line="128" w:lineRule="exact"/>
              <w:rPr>
                <w:sz w:val="20"/>
                <w:szCs w:val="20"/>
                <w:color w:val="auto"/>
              </w:rPr>
            </w:pPr>
            <w:r>
              <w:rPr>
                <w:rFonts w:ascii="Arial" w:cs="Arial" w:eastAsia="Arial" w:hAnsi="Arial"/>
                <w:sz w:val="13"/>
                <w:szCs w:val="13"/>
                <w:b w:val="1"/>
                <w:bCs w:val="1"/>
                <w:color w:val="auto"/>
                <w:w w:val="85"/>
              </w:rPr>
              <w:t>Average</w:t>
            </w:r>
          </w:p>
        </w:tc>
        <w:tc>
          <w:tcPr>
            <w:tcW w:w="148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2"/>
              </w:rPr>
              <w:t>Number of</w:t>
            </w:r>
          </w:p>
        </w:tc>
        <w:tc>
          <w:tcPr>
            <w:tcW w:w="1120" w:type="dxa"/>
            <w:vAlign w:val="bottom"/>
          </w:tcPr>
          <w:p>
            <w:pPr>
              <w:jc w:val="center"/>
              <w:ind w:right="91"/>
              <w:spacing w:after="0" w:line="128"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27"/>
        </w:trPr>
        <w:tc>
          <w:tcPr>
            <w:tcW w:w="472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200" w:type="dxa"/>
            <w:vAlign w:val="bottom"/>
            <w:gridSpan w:val="2"/>
          </w:tcPr>
          <w:p>
            <w:pPr>
              <w:jc w:val="center"/>
              <w:ind w:right="240"/>
              <w:spacing w:after="0" w:line="128" w:lineRule="exact"/>
              <w:rPr>
                <w:sz w:val="20"/>
                <w:szCs w:val="20"/>
                <w:color w:val="auto"/>
              </w:rPr>
            </w:pPr>
            <w:r>
              <w:rPr>
                <w:rFonts w:ascii="Arial" w:cs="Arial" w:eastAsia="Arial" w:hAnsi="Arial"/>
                <w:sz w:val="13"/>
                <w:szCs w:val="13"/>
                <w:b w:val="1"/>
                <w:bCs w:val="1"/>
                <w:color w:val="auto"/>
                <w:w w:val="93"/>
              </w:rPr>
              <w:t>Grant Date Fair</w:t>
            </w:r>
          </w:p>
        </w:tc>
        <w:tc>
          <w:tcPr>
            <w:tcW w:w="1480" w:type="dxa"/>
            <w:vAlign w:val="bottom"/>
            <w:gridSpan w:val="3"/>
            <w:vMerge w:val="continue"/>
          </w:tcPr>
          <w:p>
            <w:pPr>
              <w:spacing w:after="0"/>
              <w:rPr>
                <w:sz w:val="11"/>
                <w:szCs w:val="11"/>
                <w:color w:val="auto"/>
              </w:rPr>
            </w:pPr>
          </w:p>
        </w:tc>
        <w:tc>
          <w:tcPr>
            <w:tcW w:w="1120" w:type="dxa"/>
            <w:vAlign w:val="bottom"/>
          </w:tcPr>
          <w:p>
            <w:pPr>
              <w:jc w:val="center"/>
              <w:ind w:right="91"/>
              <w:spacing w:after="0" w:line="128" w:lineRule="exact"/>
              <w:rPr>
                <w:sz w:val="20"/>
                <w:szCs w:val="20"/>
                <w:color w:val="auto"/>
              </w:rPr>
            </w:pPr>
            <w:r>
              <w:rPr>
                <w:rFonts w:ascii="Arial" w:cs="Arial" w:eastAsia="Arial" w:hAnsi="Arial"/>
                <w:sz w:val="13"/>
                <w:szCs w:val="13"/>
                <w:b w:val="1"/>
                <w:bCs w:val="1"/>
                <w:color w:val="auto"/>
                <w:w w:val="93"/>
              </w:rPr>
              <w:t>Grant Date Fair</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2"/>
              </w:rPr>
              <w:t>Shares</w:t>
            </w: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14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2"/>
              </w:rPr>
              <w:t>Shares</w:t>
            </w:r>
          </w:p>
        </w:tc>
        <w:tc>
          <w:tcPr>
            <w:tcW w:w="1120" w:type="dxa"/>
            <w:vAlign w:val="bottom"/>
          </w:tcPr>
          <w:p>
            <w:pPr>
              <w:jc w:val="center"/>
              <w:ind w:right="71"/>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73"/>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as of December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1,165,295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ind w:right="51"/>
              <w:spacing w:after="0"/>
              <w:rPr>
                <w:sz w:val="20"/>
                <w:szCs w:val="20"/>
                <w:color w:val="auto"/>
              </w:rPr>
            </w:pPr>
            <w:r>
              <w:rPr>
                <w:rFonts w:ascii="Arial" w:cs="Arial" w:eastAsia="Arial" w:hAnsi="Arial"/>
                <w:sz w:val="14"/>
                <w:szCs w:val="14"/>
                <w:color w:val="auto"/>
                <w:w w:val="93"/>
              </w:rPr>
              <w:t>$20.07</w:t>
            </w: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Arial" w:cs="Arial" w:eastAsia="Arial" w:hAnsi="Arial"/>
                <w:sz w:val="14"/>
                <w:szCs w:val="14"/>
                <w:color w:val="auto"/>
              </w:rPr>
              <w:t>Granted</w:t>
            </w:r>
          </w:p>
        </w:tc>
        <w:tc>
          <w:tcPr>
            <w:tcW w:w="1240" w:type="dxa"/>
            <w:vAlign w:val="bottom"/>
          </w:tcPr>
          <w:p>
            <w:pPr>
              <w:jc w:val="right"/>
              <w:spacing w:after="0"/>
              <w:rPr>
                <w:sz w:val="20"/>
                <w:szCs w:val="20"/>
                <w:color w:val="auto"/>
              </w:rPr>
            </w:pPr>
            <w:r>
              <w:rPr>
                <w:rFonts w:ascii="Arial" w:cs="Arial" w:eastAsia="Arial" w:hAnsi="Arial"/>
                <w:sz w:val="14"/>
                <w:szCs w:val="14"/>
                <w:color w:val="auto"/>
              </w:rPr>
              <w:t>1,187,143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color w:val="auto"/>
                <w:w w:val="93"/>
              </w:rPr>
              <w:t>$28.46</w:t>
            </w:r>
          </w:p>
        </w:tc>
        <w:tc>
          <w:tcPr>
            <w:tcW w:w="80" w:type="dxa"/>
            <w:vAlign w:val="bottom"/>
          </w:tcPr>
          <w:p>
            <w:pPr>
              <w:spacing w:after="0"/>
              <w:rPr>
                <w:sz w:val="15"/>
                <w:szCs w:val="15"/>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(574,195)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51"/>
              <w:spacing w:after="0"/>
              <w:rPr>
                <w:sz w:val="20"/>
                <w:szCs w:val="20"/>
                <w:color w:val="auto"/>
              </w:rPr>
            </w:pPr>
            <w:r>
              <w:rPr>
                <w:rFonts w:ascii="Arial" w:cs="Arial" w:eastAsia="Arial" w:hAnsi="Arial"/>
                <w:sz w:val="14"/>
                <w:szCs w:val="14"/>
                <w:color w:val="auto"/>
                <w:w w:val="93"/>
              </w:rPr>
              <w:t>$21.76</w:t>
            </w:r>
          </w:p>
        </w:tc>
        <w:tc>
          <w:tcPr>
            <w:tcW w:w="8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Arial" w:cs="Arial" w:eastAsia="Arial" w:hAnsi="Arial"/>
                <w:sz w:val="14"/>
                <w:szCs w:val="14"/>
                <w:color w:val="auto"/>
              </w:rPr>
              <w:t>Canceled and forfeited</w:t>
            </w:r>
          </w:p>
        </w:tc>
        <w:tc>
          <w:tcPr>
            <w:tcW w:w="1240" w:type="dxa"/>
            <w:vAlign w:val="bottom"/>
          </w:tcPr>
          <w:p>
            <w:pPr>
              <w:jc w:val="right"/>
              <w:spacing w:after="0"/>
              <w:rPr>
                <w:sz w:val="20"/>
                <w:szCs w:val="20"/>
                <w:color w:val="auto"/>
              </w:rPr>
            </w:pPr>
            <w:r>
              <w:rPr>
                <w:rFonts w:ascii="Arial" w:cs="Arial" w:eastAsia="Arial" w:hAnsi="Arial"/>
                <w:sz w:val="14"/>
                <w:szCs w:val="14"/>
                <w:color w:val="auto"/>
              </w:rPr>
              <w:t>(211,721)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color w:val="auto"/>
                <w:w w:val="93"/>
              </w:rPr>
              <w:t>$24.76</w:t>
            </w:r>
          </w:p>
        </w:tc>
        <w:tc>
          <w:tcPr>
            <w:tcW w:w="80" w:type="dxa"/>
            <w:vAlign w:val="bottom"/>
          </w:tcPr>
          <w:p>
            <w:pPr>
              <w:spacing w:after="0"/>
              <w:rPr>
                <w:sz w:val="15"/>
                <w:szCs w:val="15"/>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tcPr>
          <w:p>
            <w:pPr>
              <w:jc w:val="center"/>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as of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1,566,522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jc w:val="center"/>
              <w:ind w:right="51"/>
              <w:spacing w:after="0"/>
              <w:rPr>
                <w:sz w:val="20"/>
                <w:szCs w:val="20"/>
                <w:color w:val="auto"/>
              </w:rPr>
            </w:pPr>
            <w:r>
              <w:rPr>
                <w:rFonts w:ascii="Arial" w:cs="Arial" w:eastAsia="Arial" w:hAnsi="Arial"/>
                <w:sz w:val="14"/>
                <w:szCs w:val="14"/>
                <w:color w:val="auto"/>
                <w:w w:val="93"/>
              </w:rPr>
              <w:t>$25.17</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jc w:val="center"/>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Arial" w:cs="Arial" w:eastAsia="Arial" w:hAnsi="Arial"/>
                <w:sz w:val="14"/>
                <w:szCs w:val="14"/>
                <w:color w:val="auto"/>
              </w:rPr>
              <w:t>Granted</w:t>
            </w:r>
          </w:p>
        </w:tc>
        <w:tc>
          <w:tcPr>
            <w:tcW w:w="1240" w:type="dxa"/>
            <w:vAlign w:val="bottom"/>
          </w:tcPr>
          <w:p>
            <w:pPr>
              <w:jc w:val="right"/>
              <w:spacing w:after="0"/>
              <w:rPr>
                <w:sz w:val="20"/>
                <w:szCs w:val="20"/>
                <w:color w:val="auto"/>
              </w:rPr>
            </w:pPr>
            <w:r>
              <w:rPr>
                <w:rFonts w:ascii="Arial" w:cs="Arial" w:eastAsia="Arial" w:hAnsi="Arial"/>
                <w:sz w:val="14"/>
                <w:szCs w:val="14"/>
                <w:color w:val="auto"/>
              </w:rPr>
              <w:t>1,264,835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color w:val="auto"/>
                <w:w w:val="93"/>
              </w:rPr>
              <w:t>$20.66</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155,596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71"/>
              <w:spacing w:after="0"/>
              <w:rPr>
                <w:sz w:val="20"/>
                <w:szCs w:val="20"/>
                <w:color w:val="auto"/>
              </w:rPr>
            </w:pPr>
            <w:r>
              <w:rPr>
                <w:rFonts w:ascii="Arial" w:cs="Arial" w:eastAsia="Arial" w:hAnsi="Arial"/>
                <w:sz w:val="14"/>
                <w:szCs w:val="14"/>
                <w:color w:val="auto"/>
                <w:w w:val="88"/>
              </w:rPr>
              <w:t>$19.50</w:t>
            </w:r>
          </w:p>
        </w:tc>
        <w:tc>
          <w:tcPr>
            <w:tcW w:w="0" w:type="dxa"/>
            <w:vAlign w:val="bottom"/>
          </w:tcPr>
          <w:p>
            <w:pPr>
              <w:spacing w:after="0"/>
              <w:rPr>
                <w:sz w:val="1"/>
                <w:szCs w:val="1"/>
                <w:color w:val="auto"/>
              </w:rPr>
            </w:pPr>
          </w:p>
        </w:tc>
      </w:tr>
      <w:tr>
        <w:trPr>
          <w:trHeight w:val="181"/>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(806,204)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51"/>
              <w:spacing w:after="0"/>
              <w:rPr>
                <w:sz w:val="20"/>
                <w:szCs w:val="20"/>
                <w:color w:val="auto"/>
              </w:rPr>
            </w:pPr>
            <w:r>
              <w:rPr>
                <w:rFonts w:ascii="Arial" w:cs="Arial" w:eastAsia="Arial" w:hAnsi="Arial"/>
                <w:sz w:val="14"/>
                <w:szCs w:val="14"/>
                <w:color w:val="auto"/>
                <w:w w:val="93"/>
              </w:rPr>
              <w:t>$24.03</w:t>
            </w:r>
          </w:p>
        </w:tc>
        <w:tc>
          <w:tcPr>
            <w:tcW w:w="8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Arial" w:cs="Arial" w:eastAsia="Arial" w:hAnsi="Arial"/>
                <w:sz w:val="14"/>
                <w:szCs w:val="14"/>
                <w:color w:val="auto"/>
              </w:rPr>
              <w:t>Canceled and forfeited</w:t>
            </w:r>
          </w:p>
        </w:tc>
        <w:tc>
          <w:tcPr>
            <w:tcW w:w="1240" w:type="dxa"/>
            <w:vAlign w:val="bottom"/>
          </w:tcPr>
          <w:p>
            <w:pPr>
              <w:jc w:val="right"/>
              <w:spacing w:after="0"/>
              <w:rPr>
                <w:sz w:val="20"/>
                <w:szCs w:val="20"/>
                <w:color w:val="auto"/>
              </w:rPr>
            </w:pPr>
            <w:r>
              <w:rPr>
                <w:rFonts w:ascii="Arial" w:cs="Arial" w:eastAsia="Arial" w:hAnsi="Arial"/>
                <w:sz w:val="14"/>
                <w:szCs w:val="14"/>
                <w:color w:val="auto"/>
              </w:rPr>
              <w:t>(230,225)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color w:val="auto"/>
                <w:w w:val="93"/>
              </w:rPr>
              <w:t>$23.46</w:t>
            </w:r>
          </w:p>
        </w:tc>
        <w:tc>
          <w:tcPr>
            <w:tcW w:w="8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as of December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1,794,928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jc w:val="center"/>
              <w:ind w:right="51"/>
              <w:spacing w:after="0"/>
              <w:rPr>
                <w:sz w:val="20"/>
                <w:szCs w:val="20"/>
                <w:color w:val="auto"/>
              </w:rPr>
            </w:pPr>
            <w:r>
              <w:rPr>
                <w:rFonts w:ascii="Arial" w:cs="Arial" w:eastAsia="Arial" w:hAnsi="Arial"/>
                <w:sz w:val="14"/>
                <w:szCs w:val="14"/>
                <w:color w:val="auto"/>
                <w:w w:val="93"/>
              </w:rPr>
              <w:t>$22.72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155,596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jc w:val="center"/>
              <w:ind w:right="71"/>
              <w:spacing w:after="0"/>
              <w:rPr>
                <w:sz w:val="20"/>
                <w:szCs w:val="20"/>
                <w:color w:val="auto"/>
              </w:rPr>
            </w:pPr>
            <w:r>
              <w:rPr>
                <w:rFonts w:ascii="Arial" w:cs="Arial" w:eastAsia="Arial" w:hAnsi="Arial"/>
                <w:sz w:val="14"/>
                <w:szCs w:val="14"/>
                <w:color w:val="auto"/>
                <w:w w:val="88"/>
              </w:rPr>
              <w:t>$19.50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As of December 31, 2022, the unrecognized compensation cost related to the RSUs was $33.2 million, which is expected to be recognized over a period of approximately 2.5 years. As of December 31, 2022, the unrecognized compensation cost related to the PSUs was $1.5 million, which is expected to be recognized over a period of approximately 2.0 years.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17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and provided for automatic enrollment in a new offering.</w:t>
      </w:r>
    </w:p>
    <w:p>
      <w:pPr>
        <w:spacing w:after="0" w:line="14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As of December 31, 2022, a total of 1,050,179 shares of common stock are available for future grants under the ESPP. On January 1, 2023, the total number of shares of common stock reserved for issuance under the ESPP Plan increased by 347,315 shares.</w:t>
      </w:r>
    </w:p>
    <w:p>
      <w:pPr>
        <w:spacing w:after="0" w:line="132"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The fair value of the ESPP shares is estimated using the Black-Scholes option pricing model, which is being amortized over the requisite service period. The Company issued 170,717 shares and 147,295 shares under the ESPP during the years ended December 31, 2022 and 2021, respectively, representing $1.8 million and $2.3 million in employee contributions. For each of the years ended December 31, 2022 and 2021, total accumulated ESPP related employee payroll deductions amounted to $0.3 million, which were included within accrued compensation and related expenses in the consolidated balance sheets. For the years ended December 31, 2022 and 2021, the Company recognized $0.7 million and $0.8 million, respectively, of stock-based compensation expense related to ESPP. As of December 31, 2022, the unrecognized compensation cost for the ESPP was $0.5 million.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estimated the fair value of ESPP purchase rights during the offering period using a Black-Scholes option pricing model with the following assumptions:</w:t>
      </w:r>
    </w:p>
    <w:p>
      <w:pPr>
        <w:spacing w:after="0" w:line="41" w:lineRule="exact"/>
        <w:rPr>
          <w:sz w:val="20"/>
          <w:szCs w:val="20"/>
          <w:color w:val="auto"/>
        </w:rPr>
      </w:pPr>
    </w:p>
    <w:tbl>
      <w:tblPr>
        <w:tblLayout w:type="fixed"/>
        <w:tblInd w:w="360" w:type="dxa"/>
        <w:tblCellMar>
          <w:top w:w="0" w:type="dxa"/>
          <w:left w:w="0" w:type="dxa"/>
          <w:bottom w:w="0" w:type="dxa"/>
          <w:right w:w="0" w:type="dxa"/>
        </w:tblCellMar>
      </w:tblPr>
      <w:tr>
        <w:trPr>
          <w:trHeight w:val="168"/>
        </w:trPr>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60"/>
        </w:trPr>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7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2022</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gridSpan w:val="4"/>
          </w:tcPr>
          <w:p>
            <w:pPr>
              <w:jc w:val="center"/>
              <w:ind w:left="511"/>
              <w:spacing w:after="0"/>
              <w:rPr>
                <w:sz w:val="20"/>
                <w:szCs w:val="20"/>
                <w:color w:val="auto"/>
              </w:rPr>
            </w:pPr>
            <w:r>
              <w:rPr>
                <w:rFonts w:ascii="Arial" w:cs="Arial" w:eastAsia="Arial" w:hAnsi="Arial"/>
                <w:sz w:val="13"/>
                <w:szCs w:val="13"/>
                <w:b w:val="1"/>
                <w:bCs w:val="1"/>
                <w:color w:val="auto"/>
                <w:w w:val="82"/>
              </w:rPr>
              <w:t>2021</w:t>
            </w:r>
          </w:p>
        </w:tc>
        <w:tc>
          <w:tcPr>
            <w:tcW w:w="6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73"/>
        </w:trPr>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 (years)</w:t>
            </w: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0.5</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4"/>
            <w:shd w:val="clear" w:color="auto" w:fill="CCEEFF"/>
          </w:tcPr>
          <w:p>
            <w:pPr>
              <w:jc w:val="center"/>
              <w:ind w:left="531"/>
              <w:spacing w:after="0"/>
              <w:rPr>
                <w:sz w:val="20"/>
                <w:szCs w:val="20"/>
                <w:color w:val="auto"/>
              </w:rPr>
            </w:pPr>
            <w:r>
              <w:rPr>
                <w:rFonts w:ascii="Arial" w:cs="Arial" w:eastAsia="Arial" w:hAnsi="Arial"/>
                <w:sz w:val="14"/>
                <w:szCs w:val="14"/>
                <w:color w:val="auto"/>
                <w:w w:val="92"/>
              </w:rPr>
              <w:t>0.5</w:t>
            </w:r>
          </w:p>
        </w:tc>
        <w:tc>
          <w:tcPr>
            <w:tcW w:w="60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4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49.5%</w:t>
            </w:r>
          </w:p>
        </w:tc>
        <w:tc>
          <w:tcPr>
            <w:tcW w:w="500" w:type="dxa"/>
            <w:vAlign w:val="bottom"/>
          </w:tcPr>
          <w:p>
            <w:pPr>
              <w:ind w:left="200"/>
              <w:spacing w:after="0"/>
              <w:rPr>
                <w:sz w:val="20"/>
                <w:szCs w:val="20"/>
                <w:color w:val="auto"/>
              </w:rPr>
            </w:pPr>
            <w:r>
              <w:rPr>
                <w:rFonts w:ascii="Arial" w:cs="Arial" w:eastAsia="Arial" w:hAnsi="Arial"/>
                <w:sz w:val="14"/>
                <w:szCs w:val="14"/>
                <w:color w:val="auto"/>
              </w:rPr>
              <w:t>to</w:t>
            </w:r>
          </w:p>
        </w:tc>
        <w:tc>
          <w:tcPr>
            <w:tcW w:w="560" w:type="dxa"/>
            <w:vAlign w:val="bottom"/>
          </w:tcPr>
          <w:p>
            <w:pPr>
              <w:ind w:left="140"/>
              <w:spacing w:after="0"/>
              <w:rPr>
                <w:sz w:val="20"/>
                <w:szCs w:val="20"/>
                <w:color w:val="auto"/>
              </w:rPr>
            </w:pPr>
            <w:r>
              <w:rPr>
                <w:rFonts w:ascii="Arial" w:cs="Arial" w:eastAsia="Arial" w:hAnsi="Arial"/>
                <w:sz w:val="14"/>
                <w:szCs w:val="14"/>
                <w:color w:val="auto"/>
              </w:rPr>
              <w:t>62.1%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11"/>
              <w:spacing w:after="0"/>
              <w:rPr>
                <w:sz w:val="20"/>
                <w:szCs w:val="20"/>
                <w:color w:val="auto"/>
              </w:rPr>
            </w:pPr>
            <w:r>
              <w:rPr>
                <w:rFonts w:ascii="Arial" w:cs="Arial" w:eastAsia="Arial" w:hAnsi="Arial"/>
                <w:sz w:val="14"/>
                <w:szCs w:val="14"/>
                <w:color w:val="auto"/>
              </w:rPr>
              <w:t>48.8%</w:t>
            </w:r>
          </w:p>
        </w:tc>
        <w:tc>
          <w:tcPr>
            <w:tcW w:w="500" w:type="dxa"/>
            <w:vAlign w:val="bottom"/>
            <w:gridSpan w:val="3"/>
          </w:tcPr>
          <w:p>
            <w:pPr>
              <w:jc w:val="right"/>
              <w:ind w:right="309"/>
              <w:spacing w:after="0"/>
              <w:rPr>
                <w:sz w:val="20"/>
                <w:szCs w:val="20"/>
                <w:color w:val="auto"/>
              </w:rPr>
            </w:pPr>
            <w:r>
              <w:rPr>
                <w:rFonts w:ascii="Arial" w:cs="Arial" w:eastAsia="Arial" w:hAnsi="Arial"/>
                <w:sz w:val="14"/>
                <w:szCs w:val="14"/>
                <w:color w:val="auto"/>
                <w:w w:val="85"/>
              </w:rPr>
              <w:t>to</w:t>
            </w:r>
          </w:p>
        </w:tc>
        <w:tc>
          <w:tcPr>
            <w:tcW w:w="600" w:type="dxa"/>
            <w:vAlign w:val="bottom"/>
          </w:tcPr>
          <w:p>
            <w:pPr>
              <w:jc w:val="right"/>
              <w:ind w:right="170"/>
              <w:spacing w:after="0"/>
              <w:rPr>
                <w:sz w:val="20"/>
                <w:szCs w:val="20"/>
                <w:color w:val="auto"/>
              </w:rPr>
            </w:pPr>
            <w:r>
              <w:rPr>
                <w:rFonts w:ascii="Arial" w:cs="Arial" w:eastAsia="Arial" w:hAnsi="Arial"/>
                <w:sz w:val="14"/>
                <w:szCs w:val="14"/>
                <w:color w:val="auto"/>
                <w:w w:val="85"/>
              </w:rPr>
              <w:t>49.5%</w:t>
            </w:r>
          </w:p>
        </w:tc>
        <w:tc>
          <w:tcPr>
            <w:tcW w:w="28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0.07%</w:t>
            </w: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w:t>
            </w:r>
          </w:p>
        </w:tc>
        <w:tc>
          <w:tcPr>
            <w:tcW w:w="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0.04%</w:t>
            </w:r>
          </w:p>
        </w:tc>
        <w:tc>
          <w:tcPr>
            <w:tcW w:w="500" w:type="dxa"/>
            <w:vAlign w:val="bottom"/>
            <w:gridSpan w:val="3"/>
            <w:shd w:val="clear" w:color="auto" w:fill="CCEEFF"/>
          </w:tcPr>
          <w:p>
            <w:pPr>
              <w:jc w:val="right"/>
              <w:ind w:right="309"/>
              <w:spacing w:after="0"/>
              <w:rPr>
                <w:sz w:val="20"/>
                <w:szCs w:val="20"/>
                <w:color w:val="auto"/>
              </w:rPr>
            </w:pPr>
            <w:r>
              <w:rPr>
                <w:rFonts w:ascii="Arial" w:cs="Arial" w:eastAsia="Arial" w:hAnsi="Arial"/>
                <w:sz w:val="14"/>
                <w:szCs w:val="14"/>
                <w:color w:val="auto"/>
                <w:w w:val="85"/>
              </w:rPr>
              <w:t>to</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85"/>
              </w:rPr>
              <w:t>0.07%</w:t>
            </w:r>
          </w:p>
        </w:tc>
        <w:tc>
          <w:tcPr>
            <w:tcW w:w="28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4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7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left="531"/>
              <w:spacing w:after="0"/>
              <w:rPr>
                <w:sz w:val="20"/>
                <w:szCs w:val="20"/>
                <w:color w:val="auto"/>
              </w:rPr>
            </w:pPr>
            <w:r>
              <w:rPr>
                <w:rFonts w:ascii="Arial" w:cs="Arial" w:eastAsia="Arial" w:hAnsi="Arial"/>
                <w:sz w:val="14"/>
                <w:szCs w:val="14"/>
                <w:color w:val="auto"/>
                <w:w w:val="98"/>
              </w:rPr>
              <w: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39"/>
        </w:trPr>
        <w:tc>
          <w:tcPr>
            <w:tcW w:w="61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Stock-Based Compensation</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5"/>
        </w:trPr>
        <w:tc>
          <w:tcPr>
            <w:tcW w:w="6120" w:type="dxa"/>
            <w:vAlign w:val="bottom"/>
            <w:gridSpan w:val="3"/>
          </w:tcPr>
          <w:p>
            <w:pPr>
              <w:spacing w:after="0"/>
              <w:rPr>
                <w:sz w:val="20"/>
                <w:szCs w:val="20"/>
                <w:color w:val="auto"/>
              </w:rPr>
            </w:pPr>
            <w:r>
              <w:rPr>
                <w:rFonts w:ascii="Arial" w:cs="Arial" w:eastAsia="Arial" w:hAnsi="Arial"/>
                <w:sz w:val="14"/>
                <w:szCs w:val="14"/>
                <w:color w:val="auto"/>
                <w:w w:val="95"/>
              </w:rPr>
              <w:t>The following table sets forth stock-based compensation expense recognized for the periods presented:</w:t>
            </w: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63"/>
        </w:trPr>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r>
      <w:tr>
        <w:trPr>
          <w:trHeight w:val="160"/>
        </w:trPr>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3"/>
                <w:szCs w:val="13"/>
                <w:color w:val="auto"/>
              </w:rPr>
            </w:pPr>
          </w:p>
        </w:tc>
      </w:tr>
      <w:tr>
        <w:trPr>
          <w:trHeight w:val="160"/>
        </w:trPr>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thousands)</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83"/>
        </w:trPr>
        <w:tc>
          <w:tcPr>
            <w:tcW w:w="80" w:type="dxa"/>
            <w:vAlign w:val="bottom"/>
          </w:tcPr>
          <w:p>
            <w:pPr>
              <w:spacing w:after="0"/>
              <w:rPr>
                <w:sz w:val="15"/>
                <w:szCs w:val="15"/>
                <w:color w:val="auto"/>
              </w:rPr>
            </w:pPr>
          </w:p>
        </w:tc>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Cost of goods sold</w:t>
            </w: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500" w:type="dxa"/>
            <w:vAlign w:val="bottom"/>
            <w:gridSpan w:val="3"/>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530</w:t>
            </w:r>
          </w:p>
        </w:tc>
      </w:tr>
      <w:tr>
        <w:trPr>
          <w:trHeight w:val="180"/>
        </w:trPr>
        <w:tc>
          <w:tcPr>
            <w:tcW w:w="80" w:type="dxa"/>
            <w:vAlign w:val="bottom"/>
          </w:tcPr>
          <w:p>
            <w:pPr>
              <w:spacing w:after="0"/>
              <w:rPr>
                <w:sz w:val="15"/>
                <w:szCs w:val="15"/>
                <w:color w:val="auto"/>
              </w:rPr>
            </w:pPr>
          </w:p>
        </w:tc>
        <w:tc>
          <w:tcPr>
            <w:tcW w:w="6040" w:type="dxa"/>
            <w:vAlign w:val="bottom"/>
            <w:gridSpan w:val="2"/>
          </w:tcPr>
          <w:p>
            <w:pPr>
              <w:ind w:left="40"/>
              <w:spacing w:after="0"/>
              <w:rPr>
                <w:sz w:val="20"/>
                <w:szCs w:val="20"/>
                <w:color w:val="auto"/>
              </w:rPr>
            </w:pPr>
            <w:r>
              <w:rPr>
                <w:rFonts w:ascii="Arial" w:cs="Arial" w:eastAsia="Arial" w:hAnsi="Arial"/>
                <w:sz w:val="14"/>
                <w:szCs w:val="14"/>
                <w:color w:val="auto"/>
              </w:rPr>
              <w:t>Sales and marketing</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11,006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8,448</w:t>
            </w:r>
          </w:p>
        </w:tc>
      </w:tr>
      <w:tr>
        <w:trPr>
          <w:trHeight w:val="181"/>
        </w:trPr>
        <w:tc>
          <w:tcPr>
            <w:tcW w:w="80" w:type="dxa"/>
            <w:vAlign w:val="bottom"/>
          </w:tcPr>
          <w:p>
            <w:pPr>
              <w:spacing w:after="0"/>
              <w:rPr>
                <w:sz w:val="15"/>
                <w:szCs w:val="15"/>
                <w:color w:val="auto"/>
              </w:rPr>
            </w:pPr>
          </w:p>
        </w:tc>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1,710</w:t>
            </w:r>
          </w:p>
        </w:tc>
      </w:tr>
      <w:tr>
        <w:trPr>
          <w:trHeight w:val="180"/>
        </w:trPr>
        <w:tc>
          <w:tcPr>
            <w:tcW w:w="80" w:type="dxa"/>
            <w:vAlign w:val="bottom"/>
          </w:tcPr>
          <w:p>
            <w:pPr>
              <w:spacing w:after="0"/>
              <w:rPr>
                <w:sz w:val="15"/>
                <w:szCs w:val="15"/>
                <w:color w:val="auto"/>
              </w:rPr>
            </w:pPr>
          </w:p>
        </w:tc>
        <w:tc>
          <w:tcPr>
            <w:tcW w:w="6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General and administrative</w:t>
            </w:r>
          </w:p>
        </w:tc>
        <w:tc>
          <w:tcPr>
            <w:tcW w:w="7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6,178</w:t>
            </w:r>
          </w:p>
        </w:tc>
      </w:tr>
      <w:tr>
        <w:trPr>
          <w:trHeight w:val="196"/>
        </w:trPr>
        <w:tc>
          <w:tcPr>
            <w:tcW w:w="80" w:type="dxa"/>
            <w:vAlign w:val="bottom"/>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7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23,061</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16,866</w:t>
            </w:r>
          </w:p>
        </w:tc>
      </w:tr>
      <w:tr>
        <w:trPr>
          <w:trHeight w:val="20"/>
        </w:trPr>
        <w:tc>
          <w:tcPr>
            <w:tcW w:w="8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Employee Benefit Plan</w:t>
      </w:r>
    </w:p>
    <w:p>
      <w:pPr>
        <w:spacing w:after="0" w:line="183"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4"/>
          <w:szCs w:val="14"/>
          <w:color w:val="auto"/>
        </w:rPr>
        <w:t>The Company sponsors a 401(k) plan covering all employees. Contributions made by the Company are discretionary and are determined annually by the Board of Directors. Effective January 1, 2019, the Company made a discretionary matching contribution equal to dollar for dollar employee contribution, up to 3% eligible compensation of the employee, with a maximum annual contribution from the Company of one thousand dollars per employee. Further, in order for an employee to receive the matching contribution, the employee must be at least 21 years old, work at least 1,000 hours per year, and must be employed by the Company at the beginning through the end of the year.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Net Loss Per Share of Common Stock</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the computation of basic and diluted net loss per share: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5"/>
          </w:tcPr>
          <w:p>
            <w:pPr>
              <w:jc w:val="center"/>
              <w:ind w:right="760"/>
              <w:spacing w:after="0"/>
              <w:rPr>
                <w:sz w:val="20"/>
                <w:szCs w:val="20"/>
                <w:color w:val="auto"/>
              </w:rPr>
            </w:pPr>
            <w:r>
              <w:rPr>
                <w:rFonts w:ascii="Arial" w:cs="Arial" w:eastAsia="Arial" w:hAnsi="Arial"/>
                <w:sz w:val="13"/>
                <w:szCs w:val="13"/>
                <w:b w:val="1"/>
                <w:bCs w:val="1"/>
                <w:color w:val="auto"/>
                <w:w w:val="88"/>
              </w:rPr>
              <w:t>Year Ended December 31,</w:t>
            </w: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2021</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64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0" w:type="dxa"/>
            <w:vAlign w:val="bottom"/>
            <w:gridSpan w:val="4"/>
          </w:tcPr>
          <w:p>
            <w:pPr>
              <w:jc w:val="center"/>
              <w:ind w:right="31"/>
              <w:spacing w:after="0" w:line="120" w:lineRule="exact"/>
              <w:rPr>
                <w:sz w:val="20"/>
                <w:szCs w:val="20"/>
                <w:color w:val="auto"/>
              </w:rPr>
            </w:pPr>
            <w:r>
              <w:rPr>
                <w:rFonts w:ascii="Arial" w:cs="Arial" w:eastAsia="Arial" w:hAnsi="Arial"/>
                <w:sz w:val="13"/>
                <w:szCs w:val="13"/>
                <w:b w:val="1"/>
                <w:bCs w:val="1"/>
                <w:color w:val="auto"/>
                <w:w w:val="86"/>
              </w:rPr>
              <w:t>(in thousands, except share and per share</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left="753"/>
              <w:spacing w:after="0"/>
              <w:rPr>
                <w:sz w:val="20"/>
                <w:szCs w:val="20"/>
                <w:color w:val="auto"/>
              </w:rPr>
            </w:pPr>
            <w:r>
              <w:rPr>
                <w:rFonts w:ascii="Arial" w:cs="Arial" w:eastAsia="Arial" w:hAnsi="Arial"/>
                <w:sz w:val="13"/>
                <w:szCs w:val="13"/>
                <w:b w:val="1"/>
                <w:bCs w:val="1"/>
                <w:color w:val="auto"/>
                <w:w w:val="89"/>
              </w:rPr>
              <w:t>data)</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(61,256)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(56,572)</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4"/>
                <w:szCs w:val="14"/>
                <w:color w:val="auto"/>
                <w:w w:val="93"/>
              </w:rPr>
              <w:t>Weighted-average shares used to compute basic and diluted net loss per share</w:t>
            </w:r>
          </w:p>
        </w:tc>
        <w:tc>
          <w:tcPr>
            <w:tcW w:w="2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34,201,824</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33,145,930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basic and diluted</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2349"/>
              <w:spacing w:after="0"/>
              <w:rPr>
                <w:sz w:val="20"/>
                <w:szCs w:val="20"/>
                <w:color w:val="auto"/>
              </w:rPr>
            </w:pPr>
            <w:r>
              <w:rPr>
                <w:rFonts w:ascii="Arial" w:cs="Arial" w:eastAsia="Arial" w:hAnsi="Arial"/>
                <w:sz w:val="14"/>
                <w:szCs w:val="14"/>
                <w:color w:val="auto"/>
              </w:rPr>
              <w:t>95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1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131" w:lineRule="exact"/>
        <w:rPr>
          <w:sz w:val="20"/>
          <w:szCs w:val="20"/>
          <w:color w:val="auto"/>
        </w:rPr>
      </w:pPr>
    </w:p>
    <w:tbl>
      <w:tblPr>
        <w:tblLayout w:type="fixed"/>
        <w:tblInd w:w="440" w:type="dxa"/>
        <w:tblCellMar>
          <w:top w:w="0" w:type="dxa"/>
          <w:left w:w="0" w:type="dxa"/>
          <w:bottom w:w="0" w:type="dxa"/>
          <w:right w:w="0" w:type="dxa"/>
        </w:tblCellMar>
      </w:tblPr>
      <w:tr>
        <w:trPr>
          <w:trHeight w:val="168"/>
        </w:trPr>
        <w:tc>
          <w:tcPr>
            <w:tcW w:w="780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3"/>
                <w:szCs w:val="13"/>
                <w:b w:val="1"/>
                <w:bCs w:val="1"/>
                <w:color w:val="auto"/>
              </w:rPr>
              <w:t>Year Ended December 31,</w:t>
            </w:r>
          </w:p>
        </w:tc>
      </w:tr>
      <w:tr>
        <w:trPr>
          <w:trHeight w:val="160"/>
        </w:trPr>
        <w:tc>
          <w:tcPr>
            <w:tcW w:w="78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2021</w:t>
            </w:r>
          </w:p>
        </w:tc>
      </w:tr>
      <w:tr>
        <w:trPr>
          <w:trHeight w:val="173"/>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1,903,341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2,009,513</w:t>
            </w:r>
          </w:p>
        </w:tc>
      </w:tr>
      <w:tr>
        <w:trPr>
          <w:trHeight w:val="180"/>
        </w:trPr>
        <w:tc>
          <w:tcPr>
            <w:tcW w:w="7800" w:type="dxa"/>
            <w:vAlign w:val="bottom"/>
          </w:tcPr>
          <w:p>
            <w:pPr>
              <w:ind w:left="40"/>
              <w:spacing w:after="0"/>
              <w:rPr>
                <w:sz w:val="20"/>
                <w:szCs w:val="20"/>
                <w:color w:val="auto"/>
              </w:rPr>
            </w:pPr>
            <w:r>
              <w:rPr>
                <w:rFonts w:ascii="Arial" w:cs="Arial" w:eastAsia="Arial" w:hAnsi="Arial"/>
                <w:sz w:val="14"/>
                <w:szCs w:val="14"/>
                <w:color w:val="auto"/>
              </w:rPr>
              <w:t>Restricted stock units</w:t>
            </w:r>
          </w:p>
        </w:tc>
        <w:tc>
          <w:tcPr>
            <w:tcW w:w="1260" w:type="dxa"/>
            <w:vAlign w:val="bottom"/>
          </w:tcPr>
          <w:p>
            <w:pPr>
              <w:jc w:val="right"/>
              <w:spacing w:after="0"/>
              <w:rPr>
                <w:sz w:val="20"/>
                <w:szCs w:val="20"/>
                <w:color w:val="auto"/>
              </w:rPr>
            </w:pPr>
            <w:r>
              <w:rPr>
                <w:rFonts w:ascii="Arial" w:cs="Arial" w:eastAsia="Arial" w:hAnsi="Arial"/>
                <w:sz w:val="14"/>
                <w:szCs w:val="14"/>
                <w:color w:val="auto"/>
              </w:rPr>
              <w:t>1,950,524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1,566,522</w:t>
            </w:r>
          </w:p>
        </w:tc>
      </w:tr>
      <w:tr>
        <w:trPr>
          <w:trHeight w:val="181"/>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ESPP purchase rights</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134,226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61,264</w:t>
            </w:r>
          </w:p>
        </w:tc>
      </w:tr>
      <w:tr>
        <w:trPr>
          <w:trHeight w:val="180"/>
        </w:trPr>
        <w:tc>
          <w:tcPr>
            <w:tcW w:w="7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Common stock warrants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118,122</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118,122</w:t>
            </w:r>
          </w:p>
        </w:tc>
      </w:tr>
      <w:tr>
        <w:trPr>
          <w:trHeight w:val="196"/>
        </w:trPr>
        <w:tc>
          <w:tcPr>
            <w:tcW w:w="78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4,106,213</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3,755,421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Income Taxes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components of the Company’s loss before income taxes are as follows:</w:t>
      </w:r>
    </w:p>
    <w:p>
      <w:pPr>
        <w:spacing w:after="0" w:line="111"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2021</w:t>
            </w:r>
          </w:p>
        </w:tc>
      </w:tr>
      <w:tr>
        <w:trPr>
          <w:trHeight w:val="158"/>
        </w:trPr>
        <w:tc>
          <w:tcPr>
            <w:tcW w:w="7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820" w:type="dxa"/>
            <w:vAlign w:val="bottom"/>
          </w:tcPr>
          <w:p>
            <w:pPr>
              <w:spacing w:after="0"/>
              <w:rPr>
                <w:sz w:val="13"/>
                <w:szCs w:val="13"/>
                <w:color w:val="auto"/>
              </w:rPr>
            </w:pPr>
          </w:p>
        </w:tc>
      </w:tr>
      <w:tr>
        <w:trPr>
          <w:trHeight w:val="183"/>
        </w:trPr>
        <w:tc>
          <w:tcPr>
            <w:tcW w:w="7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Domestic</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(61,396)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(57,035)</w:t>
            </w:r>
          </w:p>
        </w:tc>
      </w:tr>
      <w:tr>
        <w:trPr>
          <w:trHeight w:val="180"/>
        </w:trPr>
        <w:tc>
          <w:tcPr>
            <w:tcW w:w="7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Foreign</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r>
      <w:tr>
        <w:trPr>
          <w:trHeight w:val="196"/>
        </w:trPr>
        <w:tc>
          <w:tcPr>
            <w:tcW w:w="7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Loss before income taxes</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(61,256)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(56,572)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There was no provision for income taxes recorded for the years ended December 31, 2022 and 2021. The Company continues to maintain a full valuation allowance against its net deferred tax assets due to the uncertainty surrounding realization of such assets. The Company periodically evaluates the realizability of its net deferred tax assets based on the expected realization and is dependent on the Company's ability to generate sufficient future taxable income during periods prior to the expiration of tax attributes to fully utilize these assets.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jc w:val="center"/>
        <w:ind w:right="-79"/>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components of deferred income taxes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3"/>
                <w:szCs w:val="13"/>
                <w:b w:val="1"/>
                <w:bCs w:val="1"/>
                <w:color w:val="auto"/>
                <w:w w:val="88"/>
              </w:rPr>
              <w:t>Year Ended December 31,</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3"/>
                <w:szCs w:val="13"/>
                <w:b w:val="1"/>
                <w:bCs w:val="1"/>
                <w:color w:val="auto"/>
                <w:w w:val="87"/>
              </w:rPr>
              <w:t>(in thousands)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13,085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12,994</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8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2,997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w:t>
            </w: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800" w:type="dxa"/>
            <w:vAlign w:val="bottom"/>
            <w:gridSpan w:val="2"/>
          </w:tcPr>
          <w:p>
            <w:pPr>
              <w:ind w:left="260"/>
              <w:spacing w:after="0"/>
              <w:rPr>
                <w:sz w:val="20"/>
                <w:szCs w:val="20"/>
                <w:color w:val="auto"/>
              </w:rPr>
            </w:pPr>
            <w:r>
              <w:rPr>
                <w:rFonts w:ascii="Arial" w:cs="Arial" w:eastAsia="Arial" w:hAnsi="Arial"/>
                <w:sz w:val="14"/>
                <w:szCs w:val="14"/>
                <w:color w:val="auto"/>
              </w:rPr>
              <w:t>Total deferred income taxes</w:t>
            </w: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15,990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15,333</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7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Change in deferred tax valuation allowance</w:t>
            </w: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(15,990)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(15,333)</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800" w:type="dxa"/>
            <w:vAlign w:val="bottom"/>
            <w:gridSpan w:val="2"/>
          </w:tcPr>
          <w:p>
            <w:pPr>
              <w:ind w:left="260"/>
              <w:spacing w:after="0"/>
              <w:rPr>
                <w:sz w:val="20"/>
                <w:szCs w:val="20"/>
                <w:color w:val="auto"/>
              </w:rPr>
            </w:pPr>
            <w:r>
              <w:rPr>
                <w:rFonts w:ascii="Arial" w:cs="Arial" w:eastAsia="Arial" w:hAnsi="Arial"/>
                <w:sz w:val="14"/>
                <w:szCs w:val="14"/>
                <w:color w:val="auto"/>
              </w:rPr>
              <w:t>Net deferred income tax</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ind w:left="20"/>
              <w:spacing w:after="0"/>
              <w:rPr>
                <w:sz w:val="20"/>
                <w:szCs w:val="20"/>
                <w:color w:val="auto"/>
              </w:rPr>
            </w:pPr>
            <w:r>
              <w:rPr>
                <w:rFonts w:ascii="Arial" w:cs="Arial" w:eastAsia="Arial" w:hAnsi="Arial"/>
                <w:sz w:val="14"/>
                <w:szCs w:val="14"/>
                <w:color w:val="auto"/>
              </w:rPr>
              <w:t>Income tax expense differs from the amount computed by applying the statutory federal income tax rate due to the following:</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8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76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76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at statutory federal rate</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800" w:type="dxa"/>
            <w:vAlign w:val="bottom"/>
            <w:gridSpan w:val="2"/>
          </w:tcPr>
          <w:p>
            <w:pPr>
              <w:ind w:left="20"/>
              <w:spacing w:after="0"/>
              <w:rPr>
                <w:sz w:val="20"/>
                <w:szCs w:val="20"/>
                <w:color w:val="auto"/>
              </w:rPr>
            </w:pPr>
            <w:r>
              <w:rPr>
                <w:rFonts w:ascii="Arial" w:cs="Arial" w:eastAsia="Arial" w:hAnsi="Arial"/>
                <w:sz w:val="14"/>
                <w:szCs w:val="14"/>
                <w:color w:val="auto"/>
              </w:rPr>
              <w:t>State tax, net of federal benefit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credits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800" w:type="dxa"/>
            <w:vAlign w:val="bottom"/>
            <w:gridSpan w:val="2"/>
          </w:tcPr>
          <w:p>
            <w:pPr>
              <w:ind w:left="20"/>
              <w:spacing w:after="0"/>
              <w:rPr>
                <w:sz w:val="20"/>
                <w:szCs w:val="20"/>
                <w:color w:val="auto"/>
              </w:rPr>
            </w:pPr>
            <w:r>
              <w:rPr>
                <w:rFonts w:ascii="Arial" w:cs="Arial" w:eastAsia="Arial" w:hAnsi="Arial"/>
                <w:sz w:val="14"/>
                <w:szCs w:val="14"/>
                <w:color w:val="auto"/>
              </w:rPr>
              <w:t>Change in deferred tax valuation allowance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26.1 %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27.1 %</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7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800" w:type="dxa"/>
            <w:vAlign w:val="bottom"/>
            <w:gridSpan w:val="2"/>
          </w:tcPr>
          <w:p>
            <w:pPr>
              <w:ind w:left="20"/>
              <w:spacing w:after="0"/>
              <w:rPr>
                <w:sz w:val="20"/>
                <w:szCs w:val="20"/>
                <w:color w:val="auto"/>
              </w:rPr>
            </w:pPr>
            <w:r>
              <w:rPr>
                <w:rFonts w:ascii="Arial" w:cs="Arial" w:eastAsia="Arial" w:hAnsi="Arial"/>
                <w:sz w:val="14"/>
                <w:szCs w:val="14"/>
                <w:color w:val="auto"/>
              </w:rPr>
              <w:t>Foreign rate differences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800" w:type="dxa"/>
            <w:vAlign w:val="bottom"/>
            <w:gridSpan w:val="2"/>
          </w:tcPr>
          <w:p>
            <w:pPr>
              <w:ind w:left="20"/>
              <w:spacing w:after="0"/>
              <w:rPr>
                <w:sz w:val="20"/>
                <w:szCs w:val="20"/>
                <w:color w:val="auto"/>
              </w:rPr>
            </w:pPr>
            <w:r>
              <w:rPr>
                <w:rFonts w:ascii="Arial" w:cs="Arial" w:eastAsia="Arial" w:hAnsi="Arial"/>
                <w:sz w:val="14"/>
                <w:szCs w:val="14"/>
                <w:color w:val="auto"/>
              </w:rPr>
              <w:t>Total income tax expense</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770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140" w:type="dxa"/>
            <w:vAlign w:val="bottom"/>
            <w:gridSpan w:val="4"/>
          </w:tcPr>
          <w:p>
            <w:pPr>
              <w:jc w:val="right"/>
              <w:ind w:right="49"/>
              <w:spacing w:after="0"/>
              <w:rPr>
                <w:sz w:val="20"/>
                <w:szCs w:val="20"/>
                <w:color w:val="auto"/>
              </w:rPr>
            </w:pPr>
            <w:r>
              <w:rPr>
                <w:rFonts w:ascii="Arial" w:cs="Arial" w:eastAsia="Arial" w:hAnsi="Arial"/>
                <w:sz w:val="14"/>
                <w:szCs w:val="14"/>
                <w:color w:val="auto"/>
                <w:w w:val="91"/>
              </w:rPr>
              <w:t>The tax effects of temporary differences and carryforwards that give rise to significant portions of the deferred tax assets are presented below:</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330"/>
        </w:trPr>
        <w:tc>
          <w:tcPr>
            <w:tcW w:w="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ind w:left="14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7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operating loss carryforwards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77,057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66,015</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800" w:type="dxa"/>
            <w:vAlign w:val="bottom"/>
            <w:gridSpan w:val="2"/>
          </w:tcPr>
          <w:p>
            <w:pPr>
              <w:ind w:left="40"/>
              <w:spacing w:after="0"/>
              <w:rPr>
                <w:sz w:val="20"/>
                <w:szCs w:val="20"/>
                <w:color w:val="auto"/>
              </w:rPr>
            </w:pPr>
            <w:r>
              <w:rPr>
                <w:rFonts w:ascii="Arial" w:cs="Arial" w:eastAsia="Arial" w:hAnsi="Arial"/>
                <w:sz w:val="14"/>
                <w:szCs w:val="14"/>
                <w:color w:val="auto"/>
              </w:rPr>
              <w:t>Research and development credits</w:t>
            </w:r>
          </w:p>
        </w:tc>
        <w:tc>
          <w:tcPr>
            <w:tcW w:w="2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4,464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3,837</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7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Accruals and reserves</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2,616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800" w:type="dxa"/>
            <w:vAlign w:val="bottom"/>
            <w:gridSpan w:val="2"/>
          </w:tcPr>
          <w:p>
            <w:pPr>
              <w:ind w:left="40"/>
              <w:spacing w:after="0"/>
              <w:rPr>
                <w:sz w:val="20"/>
                <w:szCs w:val="20"/>
                <w:color w:val="auto"/>
              </w:rPr>
            </w:pPr>
            <w:r>
              <w:rPr>
                <w:rFonts w:ascii="Arial" w:cs="Arial" w:eastAsia="Arial" w:hAnsi="Arial"/>
                <w:sz w:val="14"/>
                <w:szCs w:val="14"/>
                <w:color w:val="auto"/>
              </w:rPr>
              <w:t>Interest limitation</w:t>
            </w:r>
          </w:p>
        </w:tc>
        <w:tc>
          <w:tcPr>
            <w:tcW w:w="2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4,447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3,995</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7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800" w:type="dxa"/>
            <w:vAlign w:val="bottom"/>
            <w:gridSpan w:val="2"/>
          </w:tcPr>
          <w:p>
            <w:pPr>
              <w:ind w:left="40"/>
              <w:spacing w:after="0"/>
              <w:rPr>
                <w:sz w:val="20"/>
                <w:szCs w:val="20"/>
                <w:color w:val="auto"/>
              </w:rPr>
            </w:pPr>
            <w:r>
              <w:rPr>
                <w:rFonts w:ascii="Arial" w:cs="Arial" w:eastAsia="Arial" w:hAnsi="Arial"/>
                <w:sz w:val="14"/>
                <w:szCs w:val="14"/>
                <w:color w:val="auto"/>
              </w:rPr>
              <w:t>Stock compensation</w:t>
            </w:r>
          </w:p>
        </w:tc>
        <w:tc>
          <w:tcPr>
            <w:tcW w:w="2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3,378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7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8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Capitalized research and development</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2,486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8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Total deferred tax assets</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95,790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80,097</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78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(1,014)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8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Total deferred tax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8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Less: Valuation allowance</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(94,776)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(78,786)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6"/>
                <w:szCs w:val="16"/>
                <w:color w:val="auto"/>
              </w:rPr>
            </w:pPr>
          </w:p>
        </w:tc>
        <w:tc>
          <w:tcPr>
            <w:tcW w:w="7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Total deferred tax asset, net of valuation allowance</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changes in the valuation allowance for the years ended December 31, 2022 and 2021:</w:t>
      </w:r>
    </w:p>
    <w:p>
      <w:pPr>
        <w:spacing w:after="0" w:line="157"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174625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80"/>
          </w:cols>
          <w:pgMar w:left="660" w:top="125" w:right="759" w:bottom="1440" w:gutter="0" w:footer="0" w:header="0"/>
        </w:sectPr>
      </w:pPr>
    </w:p>
    <w:bookmarkStart w:id="99" w:name="page100"/>
    <w:bookmarkEnd w:id="99"/>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20" w:type="dxa"/>
        <w:tblCellMar>
          <w:top w:w="0" w:type="dxa"/>
          <w:left w:w="0" w:type="dxa"/>
          <w:bottom w:w="0" w:type="dxa"/>
          <w:right w:w="0" w:type="dxa"/>
        </w:tblCellMar>
      </w:tblPr>
      <w:tr>
        <w:trPr>
          <w:trHeight w:val="168"/>
        </w:trPr>
        <w:tc>
          <w:tcPr>
            <w:tcW w:w="7820" w:type="dxa"/>
            <w:vAlign w:val="bottom"/>
          </w:tcPr>
          <w:p>
            <w:pPr>
              <w:spacing w:after="0"/>
              <w:rPr>
                <w:sz w:val="14"/>
                <w:szCs w:val="14"/>
                <w:color w:val="auto"/>
              </w:rPr>
            </w:pPr>
          </w:p>
        </w:tc>
        <w:tc>
          <w:tcPr>
            <w:tcW w:w="216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3"/>
                <w:szCs w:val="13"/>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r>
      <w:tr>
        <w:trPr>
          <w:trHeight w:val="160"/>
        </w:trPr>
        <w:tc>
          <w:tcPr>
            <w:tcW w:w="782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r>
      <w:tr>
        <w:trPr>
          <w:trHeight w:val="160"/>
        </w:trPr>
        <w:tc>
          <w:tcPr>
            <w:tcW w:w="7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gridSpan w:val="3"/>
          </w:tcPr>
          <w:p>
            <w:pPr>
              <w:jc w:val="right"/>
              <w:ind w:right="372"/>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Pr>
          <w:p>
            <w:pPr>
              <w:spacing w:after="0"/>
              <w:rPr>
                <w:sz w:val="13"/>
                <w:szCs w:val="13"/>
                <w:color w:val="auto"/>
              </w:rPr>
            </w:pPr>
          </w:p>
        </w:tc>
      </w:tr>
      <w:tr>
        <w:trPr>
          <w:trHeight w:val="183"/>
        </w:trPr>
        <w:tc>
          <w:tcPr>
            <w:tcW w:w="782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780" w:type="dxa"/>
            <w:vAlign w:val="bottom"/>
            <w:shd w:val="clear" w:color="auto" w:fill="CCEEFF"/>
          </w:tcPr>
          <w:p>
            <w:pPr>
              <w:jc w:val="right"/>
              <w:ind w:right="633"/>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88"/>
              </w:rPr>
              <w:t>78,786</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32"/>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63,453</w:t>
            </w:r>
          </w:p>
        </w:tc>
      </w:tr>
      <w:tr>
        <w:trPr>
          <w:trHeight w:val="180"/>
        </w:trPr>
        <w:tc>
          <w:tcPr>
            <w:tcW w:w="78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changes during the period</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8"/>
              </w:rPr>
              <w:t>15,990</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15,333</w:t>
            </w:r>
          </w:p>
        </w:tc>
      </w:tr>
      <w:tr>
        <w:trPr>
          <w:trHeight w:val="196"/>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Ending balance</w:t>
            </w:r>
          </w:p>
        </w:tc>
        <w:tc>
          <w:tcPr>
            <w:tcW w:w="78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88"/>
              </w:rPr>
              <w:t>94,776</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78,786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As of December 31, 2022, the Company had net operating loss (“NOL”) carryforwards of approximately $298.6 million and $238.7 million available to reduce future taxable income, if any, for federal and state income tax purposes, respectively. If not utilized, the Company’s federal NOL carryforward begins to expire in 2029, and the state NOL carryforward began to expire in 2022.</w:t>
      </w:r>
    </w:p>
    <w:p>
      <w:pPr>
        <w:spacing w:after="0" w:line="10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 of December 31, 2022, the Company had credit carryforwards of approximately $3.8 million and $3.3 million available to reduce future taxable income, if any, for both federal and state income tax purposes, respectively. The federal credits begin to expire in 2029, and the state credits have no expiration date.</w:t>
      </w:r>
    </w:p>
    <w:p>
      <w:pPr>
        <w:spacing w:after="0" w:line="132"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The Company updated its Section 382 ownership change analysis through December 31, 2020 and determined that the last ownership change was in February 2020 due to the follow-offering. The analysis concluded that no additional NOL carryforwards will expire due to the Section 382 limitation from the ownership change for both federal and state tax purposes. The Company maintains the reduction of $1.4 million of its NOL carryforwards from the previous ownership change. The Company has reviewed changes in the outstanding number of shares and equity transactions for the period January 1, 2021 through December 31, 2022 to determine if an additional ownership change occurred for Section 382 purposes. The Company reasonably believes no additional ownership change occurred in the current year, however, noted there has been a material increase to the equity shift. The Company will continually assess the need to update its Section 382 ownership change analysis. An ownership change in the future could materially limit the Company’s ability to utilize its NOL carryforwards and other tax attributes.</w:t>
      </w:r>
    </w:p>
    <w:p>
      <w:pPr>
        <w:spacing w:after="0" w:line="13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February 9, 2022, Governor Gavin Newsom signed California Senate Bill 113 (SB 113) into law. The legislation contains important California tax law changes, including reinstatement of business tax credits and net NOL deductions limited by California Assembly Bill 85 which suspended the net operating loss deduction for certain tax payers from 2020 to 2022. The new tax law did not impact the Company’s tax provision due to its taxable loss position in the current year.</w:t>
      </w:r>
    </w:p>
    <w:p>
      <w:pPr>
        <w:spacing w:after="0" w:line="142"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August 2022, the Inflation Reduction Act of 2022 ("IRA") was signed into law in the United States. The IRA created a new corporate alternative minimum tax of 15% on adjusted financial statement income and an excise tax of 1% of the value of certain stock repurchases. The provisions of the IRA will be effective for periods beginning after December 31, 2022. The enactment of the IRA did not result in any material adjustments to the Company's income tax provisions or net deferred tax assets as of December 31, 2022.</w:t>
      </w:r>
    </w:p>
    <w:p>
      <w:pPr>
        <w:spacing w:after="0" w:line="131" w:lineRule="exact"/>
        <w:rPr>
          <w:sz w:val="20"/>
          <w:szCs w:val="20"/>
          <w:color w:val="auto"/>
        </w:rPr>
      </w:pPr>
    </w:p>
    <w:p>
      <w:pPr>
        <w:jc w:val="both"/>
        <w:ind w:firstLine="382"/>
        <w:spacing w:after="0" w:line="241" w:lineRule="auto"/>
        <w:rPr>
          <w:sz w:val="20"/>
          <w:szCs w:val="20"/>
          <w:color w:val="auto"/>
        </w:rPr>
      </w:pPr>
      <w:r>
        <w:rPr>
          <w:rFonts w:ascii="Arial" w:cs="Arial" w:eastAsia="Arial" w:hAnsi="Arial"/>
          <w:sz w:val="14"/>
          <w:szCs w:val="14"/>
          <w:color w:val="auto"/>
        </w:rPr>
        <w:t>In December 2017, the Tax Cuts and Jobs Act (TCJA) was signed into law, significantly reforming the Internal Revenue Code of 1986, as amended (IRC). Beginning January 1, 2022, the TCJA eliminated the option to deduct research and development expenditures in the current year and requires taxpayers to capitalize such expenses pursuant to Internal Revenue Code (“IRC”) Section 174. The capitalized expenses are amortized over a 5-year period for domestic expenses and a 15-year period for foreign expenses. As a result of this provision of the TCJA, deferred tax assets related to capitalized research expenses increased by $2.5 million.</w:t>
      </w:r>
    </w:p>
    <w:p>
      <w:pPr>
        <w:spacing w:after="0" w:line="160"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2022 and 2021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6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gridSpan w:val="3"/>
          </w:tcPr>
          <w:p>
            <w:pPr>
              <w:jc w:val="right"/>
              <w:ind w:right="451"/>
              <w:spacing w:after="0"/>
              <w:rPr>
                <w:sz w:val="20"/>
                <w:szCs w:val="20"/>
                <w:color w:val="auto"/>
              </w:rPr>
            </w:pPr>
            <w:r>
              <w:rPr>
                <w:rFonts w:ascii="Arial" w:cs="Arial" w:eastAsia="Arial" w:hAnsi="Arial"/>
                <w:sz w:val="13"/>
                <w:szCs w:val="13"/>
                <w:b w:val="1"/>
                <w:bCs w:val="1"/>
                <w:color w:val="auto"/>
              </w:rPr>
              <w:t>(in thousands)</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beginning of the year</w:t>
            </w:r>
          </w:p>
        </w:tc>
        <w:tc>
          <w:tcPr>
            <w:tcW w:w="4340" w:type="dxa"/>
            <w:vAlign w:val="bottom"/>
            <w:gridSpan w:val="2"/>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1"/>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4280" w:type="dxa"/>
            <w:vAlign w:val="bottom"/>
          </w:tcPr>
          <w:p>
            <w:pPr>
              <w:ind w:left="40"/>
              <w:spacing w:after="0"/>
              <w:rPr>
                <w:sz w:val="20"/>
                <w:szCs w:val="20"/>
                <w:color w:val="auto"/>
              </w:rPr>
            </w:pPr>
            <w:r>
              <w:rPr>
                <w:rFonts w:ascii="Arial" w:cs="Arial" w:eastAsia="Arial" w:hAnsi="Arial"/>
                <w:sz w:val="14"/>
                <w:szCs w:val="14"/>
                <w:color w:val="auto"/>
              </w:rPr>
              <w:t>Increases related to tax positions taken prior to current year</w:t>
            </w:r>
          </w:p>
        </w:tc>
        <w:tc>
          <w:tcPr>
            <w:tcW w:w="3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5"/>
                <w:szCs w:val="15"/>
                <w:color w:val="auto"/>
              </w:rPr>
            </w:pPr>
          </w:p>
        </w:tc>
        <w:tc>
          <w:tcPr>
            <w:tcW w:w="820" w:type="dxa"/>
            <w:vAlign w:val="bottom"/>
          </w:tcPr>
          <w:p>
            <w:pPr>
              <w:jc w:val="right"/>
              <w:ind w:right="671"/>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817</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 w:type="dxa"/>
            <w:vAlign w:val="bottom"/>
          </w:tcPr>
          <w:p>
            <w:pPr>
              <w:spacing w:after="0"/>
              <w:rPr>
                <w:sz w:val="15"/>
                <w:szCs w:val="15"/>
                <w:color w:val="auto"/>
              </w:rPr>
            </w:pPr>
          </w:p>
        </w:tc>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Increases related to current year's tax positions</w:t>
            </w:r>
          </w:p>
        </w:tc>
        <w:tc>
          <w:tcPr>
            <w:tcW w:w="35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280" w:type="dxa"/>
            <w:vAlign w:val="bottom"/>
          </w:tcPr>
          <w:p>
            <w:pPr>
              <w:ind w:left="40"/>
              <w:spacing w:after="0"/>
              <w:rPr>
                <w:sz w:val="20"/>
                <w:szCs w:val="20"/>
                <w:color w:val="auto"/>
              </w:rPr>
            </w:pPr>
            <w:r>
              <w:rPr>
                <w:rFonts w:ascii="Arial" w:cs="Arial" w:eastAsia="Arial" w:hAnsi="Arial"/>
                <w:sz w:val="14"/>
                <w:szCs w:val="14"/>
                <w:color w:val="auto"/>
              </w:rPr>
              <w:t>Balance at end of the year</w:t>
            </w:r>
          </w:p>
        </w:tc>
        <w:tc>
          <w:tcPr>
            <w:tcW w:w="3520" w:type="dxa"/>
            <w:vAlign w:val="bottom"/>
          </w:tcPr>
          <w:p>
            <w:pPr>
              <w:spacing w:after="0"/>
              <w:rPr>
                <w:sz w:val="14"/>
                <w:szCs w:val="14"/>
                <w:color w:val="auto"/>
              </w:rPr>
            </w:pPr>
          </w:p>
        </w:tc>
        <w:tc>
          <w:tcPr>
            <w:tcW w:w="8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2,944</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2,655</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520" w:type="dxa"/>
            <w:vAlign w:val="bottom"/>
            <w:vMerge w:val="restart"/>
          </w:tcPr>
          <w:p>
            <w:pPr>
              <w:jc w:val="right"/>
              <w:ind w:right="2409"/>
              <w:spacing w:after="0"/>
              <w:rPr>
                <w:sz w:val="20"/>
                <w:szCs w:val="20"/>
                <w:color w:val="auto"/>
              </w:rPr>
            </w:pPr>
            <w:r>
              <w:rPr>
                <w:rFonts w:ascii="Arial" w:cs="Arial" w:eastAsia="Arial" w:hAnsi="Arial"/>
                <w:sz w:val="14"/>
                <w:szCs w:val="14"/>
                <w:color w:val="auto"/>
              </w:rPr>
              <w:t>98</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18"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The Company has elected to recognize interest and penalties related to uncertain tax positions as a component of income tax expense. The Company has no accrued interest related to unrecognized tax benefits as of December 31, 2022 and 2021. None of the Company’s unrecognized tax benefits that, if recognized, would affect its effective tax rates for the years ended December 31, 2022 and 2021. The Company does not anticipate the total amounts of unrecognized tax benefits will significantly increase or decrease in the next 12 months.</w:t>
      </w:r>
    </w:p>
    <w:p>
      <w:pPr>
        <w:spacing w:after="0" w:line="145"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Company currently has no federal, state or foreign tax examinations in progress nor has it had any federal or state examinations since inception. As a result of the Company’s net operating loss carry forwards, all of its tax years are subject to federal and state tax examinations.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4"/>
          <w:szCs w:val="14"/>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Related Party Transactions</w:t>
      </w:r>
    </w:p>
    <w:p>
      <w:pPr>
        <w:spacing w:after="0" w:line="183"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On February 24, 2020, the Company entered into a joint development agreement (the “Development Agreement”) with SeaSpine Orthopedics Corporation (“SeaSpine”), which recently merged with Orthofix Medical, Inc.,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w:t>
      </w:r>
    </w:p>
    <w:p>
      <w:pPr>
        <w:spacing w:after="0" w:line="131"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years ended December 31, 2022 and 2021, the Company expensed $38,725 and $29,000, respectively, of reimbursement charges from SeaSpine. The reimbursement charges were recorded within research and development expense in the consolidated statement of operations.</w:t>
      </w:r>
    </w:p>
    <w:p>
      <w:pPr>
        <w:spacing w:after="0" w:line="131"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 The Company recorded $0.1 million of royalty for the year ended December 31, 2022. No royalties were recorded in fiscal year 2021.</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outstanding liability to SeaSpine as of December 31, 2022 was $0.1 million and was recorded within accounts payable and accrued liabilities and other in the consolidated balance sheet.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There was no outstanding liability to SeaSpine as of December 31, 2021.</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Subsequent Events</w:t>
      </w:r>
    </w:p>
    <w:p>
      <w:pPr>
        <w:spacing w:after="0" w:line="183"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On January 6, 2023, the Company entered into a First Amendment to Loan and Security Agreement (the “Amendment”) with SVB, which amends the Company's SVB Term Loan pursuant to which the Company had a term loan facility in an aggregate principal amount of $35.0 million (the “Original Loan Agreement” and with the Amendment, collectively the “Amended Loan Agreement”). Upon entry into the Amended Loan Agreement, the Company borrowed $36.0 million pursuant to a term loan (the "Term Loan"), which was substantially used to repay in full the $35.0 million term loan facility outstanding under the Original Loan Agreement and secured a revolving credit facility in an aggregate principal amount of up to $15.0 million (the "Revolver"). The Amended Loan Agreement also includes an uncommitted accordion term loan in an aggregate principal amount of up to $15.0 million, which accordion may be approved by SVB, solely in its discretion, upon the Company’s request.</w:t>
      </w:r>
    </w:p>
    <w:p>
      <w:pPr>
        <w:spacing w:after="0" w:line="171"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Term Loan matures on December 1, 2027 (the “Term Loan Maturity Date”). Interest on the Term Loan will be payable monthly at a floating annual rate set at the greater of the prime rate as published in the Wall Street Journal plus 0.5% or 6.75%. Commencing on July 1, 2025, the Company will be required to make monthly principal Term Loan amortization payments. A final fee payment of 2% of the original principal amount of the Term Loan is due upon the earlier of the Term Loan Maturity Date, termination, acceleration by SVB following an event of default, or prepayment of the Term Loan. The Company may elect to prepay the Term Loan in whole prior to the Term Loan Maturity Date subject to a prepayment fee equal to 2% of the principal amount of the Term Loan prepaid at such time. No prepayment fee would be due if the Term Loan is refinanced by SVB.</w:t>
      </w:r>
    </w:p>
    <w:p>
      <w:pPr>
        <w:spacing w:after="0" w:line="168"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Pursuant to the terms of the Amended Loan Agreement, revolving loans may be borrowed, repaid and reborrowed until the maturity date, which will be July 6, 2025 (the "Revolver Maturity Date"). Borrowings under the Revolver are based on 80% of eligible domestic accounts receivable borrowing base. Interest on the outstanding balance of the Revolver will be payable monthly at a floating annual rate set at the greater of the prime rate as published in the Wall Street Journal or 6.25%. Interest on borrowings is due monthly and any principal balance is due on the Revolver Maturity Date, provided that when Revolver Advances are outstanding, in the event the Company does not maintain an adjusted quick ratio of at least 1.5 to 1.0, then falling below such threshold will allow SVB to apply accounts receivable collections to outstanding Revolver borrowings. The Company will pay a total commitment fee of $187,500 on account of the Revolver payable in installments, but fully earned at close. The Company will also be required to pay a fee of $150,000 if it terminates the Amended Loan Agreement or Revolver prior to Revolver Maturity Date. No termination fee would be due if the Revolver is replaced with a new facility with SVB. No amounts are outstanding under the Revolver as of the date of this Report.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color w:val="auto"/>
        </w:rPr>
        <w:t>Supplementary Data</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Selected Quarterly Consolidated Financial Data (Unaudited)</w:t>
      </w:r>
    </w:p>
    <w:p>
      <w:pPr>
        <w:spacing w:after="0" w:line="12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4"/>
          <w:szCs w:val="14"/>
          <w:color w:val="auto"/>
        </w:rPr>
        <w:t>Pursuant to the amendments to Item 302 of Regulation S-K, since we do not have any material retrospective change to the statements of comprehensive income for any of the quarters within the two most recent fiscal years either individually or in the aggregate, we are not required to disclose the quarterly financial data.</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Schedule II - Valuation and Qualifying Accounts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All schedules are omitted because they are not applicable, or the required information is shown in the financial statements or notes thereto.</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89" w:lineRule="exact"/>
        <w:rPr>
          <w:sz w:val="20"/>
          <w:szCs w:val="20"/>
          <w:color w:val="auto"/>
        </w:rPr>
      </w:pPr>
    </w:p>
    <w:p>
      <w:pPr>
        <w:jc w:val="both"/>
        <w:ind w:firstLine="318"/>
        <w:spacing w:after="0" w:line="283" w:lineRule="auto"/>
        <w:rPr>
          <w:sz w:val="20"/>
          <w:szCs w:val="20"/>
          <w:color w:val="auto"/>
        </w:rPr>
      </w:pPr>
      <w:r>
        <w:rPr>
          <w:rFonts w:ascii="Arial" w:cs="Arial" w:eastAsia="Arial" w:hAnsi="Arial"/>
          <w:sz w:val="14"/>
          <w:szCs w:val="14"/>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spacing w:after="0" w:line="15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3"/>
          <w:szCs w:val="13"/>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29" w:lineRule="exact"/>
        <w:rPr>
          <w:sz w:val="20"/>
          <w:szCs w:val="20"/>
          <w:color w:val="auto"/>
        </w:rPr>
      </w:pPr>
    </w:p>
    <w:p>
      <w:pPr>
        <w:jc w:val="both"/>
        <w:ind w:firstLine="318"/>
        <w:spacing w:after="0" w:line="184" w:lineRule="exact"/>
        <w:rPr>
          <w:sz w:val="20"/>
          <w:szCs w:val="20"/>
          <w:color w:val="auto"/>
        </w:rPr>
      </w:pPr>
      <w:r>
        <w:rPr>
          <w:rFonts w:ascii="Arial" w:cs="Arial" w:eastAsia="Arial" w:hAnsi="Arial"/>
          <w:sz w:val="14"/>
          <w:szCs w:val="14"/>
          <w:color w:val="auto"/>
        </w:rPr>
        <w:t>As of December 31, 2022, our management, with the participation of our Chief Executive Officer (“CEO”) and our Chief Financial Officer (“CFO”), have evaluated our disclosure controls and procedures (as defined in Rules 13a</w:t>
      </w:r>
      <w:r>
        <w:rPr>
          <w:rFonts w:ascii="MS PGothic" w:cs="MS PGothic" w:eastAsia="MS PGothic" w:hAnsi="MS PGothic"/>
          <w:sz w:val="14"/>
          <w:szCs w:val="14"/>
          <w:color w:val="auto"/>
        </w:rPr>
        <w:t>‑</w:t>
      </w:r>
      <w:r>
        <w:rPr>
          <w:rFonts w:ascii="Arial" w:cs="Arial" w:eastAsia="Arial" w:hAnsi="Arial"/>
          <w:sz w:val="14"/>
          <w:szCs w:val="14"/>
          <w:color w:val="auto"/>
        </w:rPr>
        <w:t>15(e) and 15d</w:t>
      </w:r>
      <w:r>
        <w:rPr>
          <w:rFonts w:ascii="MS PGothic" w:cs="MS PGothic" w:eastAsia="MS PGothic" w:hAnsi="MS PGothic"/>
          <w:sz w:val="14"/>
          <w:szCs w:val="14"/>
          <w:color w:val="auto"/>
        </w:rPr>
        <w:t>‑</w:t>
      </w:r>
      <w:r>
        <w:rPr>
          <w:rFonts w:ascii="Arial" w:cs="Arial" w:eastAsia="Arial" w:hAnsi="Arial"/>
          <w:sz w:val="14"/>
          <w:szCs w:val="14"/>
          <w:color w:val="auto"/>
        </w:rPr>
        <w:t>15(e) under the Securities Exchange Act of 1934, as amended). Based on that evaluation, our CEO and our CFO have concluded that, as of December 31, 2022, our disclosure controls and procedures were effective at the reasonable assurance level.</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Management's Report on Internal Control Over Financial Reporting</w:t>
      </w:r>
    </w:p>
    <w:p>
      <w:pPr>
        <w:spacing w:after="0" w:line="179"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as of December 31, 2022 based on the criteria set forth in "Internal Control-Integrated Framework" (2013 framework) issued by the Committee of Sponsoring Organizations of the Treadway Commission (COSO). Based on this assessment, management has concluded that our internal control over financial reporting was effective as of December 31, 2022 based on those criteria. This Annual Report does not include an attestation report of our independent registered public accounting firm regarding internal control over financial reporting. Management’s report was not subject to attestation by our independent registered public accounting firm because as a "small reporting company" we are exempt from Section 404(b) of the Sarbanes-Oxley Act of 2002.</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r>
        <w:rPr>
          <w:rFonts w:ascii="Arial" w:cs="Arial" w:eastAsia="Arial" w:hAnsi="Arial"/>
          <w:sz w:val="14"/>
          <w:szCs w:val="14"/>
          <w:i w:val="1"/>
          <w:iCs w:val="1"/>
          <w:color w:val="auto"/>
        </w:rPr>
        <w:t>.</w:t>
      </w:r>
    </w:p>
    <w:p>
      <w:pPr>
        <w:spacing w:after="0" w:line="20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2022 that have materially affected, or are reasonably likely to materially affect, our internal control over financial reporting.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color w:val="auto"/>
        </w:rPr>
        <w:t>Item 9B. Other Information</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93" w:lineRule="exact"/>
        <w:rPr>
          <w:sz w:val="20"/>
          <w:szCs w:val="20"/>
          <w:color w:val="auto"/>
        </w:rPr>
      </w:pPr>
    </w:p>
    <w:p>
      <w:pPr>
        <w:jc w:val="both"/>
        <w:ind w:firstLine="318"/>
        <w:spacing w:after="0" w:line="283" w:lineRule="auto"/>
        <w:rPr>
          <w:sz w:val="20"/>
          <w:szCs w:val="20"/>
          <w:color w:val="auto"/>
        </w:rPr>
      </w:pPr>
      <w:r>
        <w:rPr>
          <w:rFonts w:ascii="Arial" w:cs="Arial" w:eastAsia="Arial" w:hAnsi="Arial"/>
          <w:sz w:val="14"/>
          <w:szCs w:val="14"/>
          <w:color w:val="auto"/>
        </w:rPr>
        <w:t>Information required by this item will be contained in our definitive proxy statement to be filed with the Securities and Exchange Commission on Schedule 14A in connection with our 2023 Annual Meeting of Stockholders, or the 2023 Proxy Statement, which will be filed not later than 120 days after the end of our fiscal year ended December 31, 2022, under the headings “Management,” “Proposal 1 - Election of Directors,” “Information Regarding the Board of Directors and Corporate Governance”, and, if applicable, “Delinquent Section 16(a) Reports”, and is incorporated herein by reference.</w:t>
      </w:r>
    </w:p>
    <w:p>
      <w:pPr>
        <w:spacing w:after="0" w:line="13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We have adopted a Code of Business Conduct and Ethics that applies to our officers, directors and employees which is available on our website at www.si-bone.com. The Code of Business Conduct and Ethics is intended to qualify as a “code of ethics” within the meaning of Section 406 of the Sarbanes-Oxley Act of 2002 and Item 406 of Regulation S-K. In addition, we intend to promptly disclose on our website in the future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204"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4"/>
          <w:szCs w:val="14"/>
          <w:color w:val="auto"/>
        </w:rPr>
        <w:t>The information required by this item regarding executive compensation will be incorporated by reference to the information set forth in the sections titled “Executive Compensation” and “Compensation of Non-Employee Board Members” in our 2023 Proxy Statement.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204" w:lineRule="exact"/>
        <w:rPr>
          <w:sz w:val="20"/>
          <w:szCs w:val="20"/>
          <w:color w:val="auto"/>
        </w:rPr>
      </w:pPr>
    </w:p>
    <w:p>
      <w:pPr>
        <w:jc w:val="both"/>
        <w:ind w:firstLine="318"/>
        <w:spacing w:after="0" w:line="338" w:lineRule="auto"/>
        <w:rPr>
          <w:sz w:val="20"/>
          <w:szCs w:val="20"/>
          <w:color w:val="auto"/>
        </w:rPr>
      </w:pPr>
      <w:r>
        <w:rPr>
          <w:rFonts w:ascii="Arial" w:cs="Arial" w:eastAsia="Arial" w:hAnsi="Arial"/>
          <w:sz w:val="13"/>
          <w:szCs w:val="13"/>
          <w:color w:val="auto"/>
        </w:rPr>
        <w:t>The information required by this item regarding security ownership of certain beneficial owners and management will be incorporated by reference to the information set forth in the sections titled “Security Ownership of Certain Beneficial Owners and Management” and “Securities Authorized for Issuance Under Equity Compensation Plans” in our 2023 Proxy Statement.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204" w:lineRule="exact"/>
        <w:rPr>
          <w:sz w:val="20"/>
          <w:szCs w:val="20"/>
          <w:color w:val="auto"/>
        </w:rPr>
      </w:pPr>
    </w:p>
    <w:p>
      <w:pPr>
        <w:jc w:val="both"/>
        <w:ind w:firstLine="318"/>
        <w:spacing w:after="0" w:line="338" w:lineRule="auto"/>
        <w:rPr>
          <w:sz w:val="20"/>
          <w:szCs w:val="20"/>
          <w:color w:val="auto"/>
        </w:rPr>
      </w:pPr>
      <w:r>
        <w:rPr>
          <w:rFonts w:ascii="Arial" w:cs="Arial" w:eastAsia="Arial" w:hAnsi="Arial"/>
          <w:sz w:val="13"/>
          <w:szCs w:val="13"/>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“Information Regarding the Board of Directors and Corporate Governance”, respectively, in our 2023 Proxy Statement.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204"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4"/>
          <w:szCs w:val="14"/>
          <w:color w:val="auto"/>
        </w:rPr>
        <w:t>The information required by this item regarding principal accountant fees and services will be incorporated by reference to the information set forth in the section titled “Principal Accountant Fees and Services” in our 2023 Proxy Statement.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4"/>
          <w:szCs w:val="14"/>
          <w:b w:val="1"/>
          <w:bCs w:val="1"/>
          <w:color w:val="auto"/>
        </w:rPr>
        <w:t>PART IV</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83" w:lineRule="exact"/>
        <w:rPr>
          <w:sz w:val="20"/>
          <w:szCs w:val="20"/>
          <w:color w:val="auto"/>
        </w:rPr>
      </w:pPr>
    </w:p>
    <w:p>
      <w:pPr>
        <w:ind w:right="7920" w:firstLine="5"/>
        <w:spacing w:after="0" w:line="529" w:lineRule="auto"/>
        <w:tabs>
          <w:tab w:leader="none" w:pos="19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following documents are filed as part of this report: 1. Financial Statements</w:t>
      </w:r>
    </w:p>
    <w:p>
      <w:pPr>
        <w:spacing w:after="0" w:line="1" w:lineRule="exact"/>
        <w:rPr>
          <w:rFonts w:ascii="Arial" w:cs="Arial" w:eastAsia="Arial" w:hAnsi="Arial"/>
          <w:sz w:val="14"/>
          <w:szCs w:val="14"/>
          <w:color w:val="auto"/>
        </w:rPr>
      </w:pPr>
    </w:p>
    <w:p>
      <w:pPr>
        <w:ind w:right="5160" w:firstLine="318"/>
        <w:spacing w:after="0" w:line="265" w:lineRule="exact"/>
        <w:rPr>
          <w:rFonts w:ascii="Arial" w:cs="Arial" w:eastAsia="Arial" w:hAnsi="Arial"/>
          <w:sz w:val="14"/>
          <w:szCs w:val="14"/>
          <w:color w:val="auto"/>
        </w:rPr>
      </w:pPr>
      <w:r>
        <w:rPr>
          <w:rFonts w:ascii="Arial" w:cs="Arial" w:eastAsia="Arial" w:hAnsi="Arial"/>
          <w:sz w:val="14"/>
          <w:szCs w:val="14"/>
          <w:color w:val="auto"/>
        </w:rPr>
        <w:t>Information in response to this Item is included in Part II, Item 8 of this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2. Financial Statement Schedules</w:t>
      </w:r>
    </w:p>
    <w:p>
      <w:pPr>
        <w:spacing w:after="0" w:line="170" w:lineRule="exact"/>
        <w:rPr>
          <w:rFonts w:ascii="Arial" w:cs="Arial" w:eastAsia="Arial" w:hAnsi="Arial"/>
          <w:sz w:val="14"/>
          <w:szCs w:val="14"/>
          <w:color w:val="auto"/>
        </w:rPr>
      </w:pPr>
    </w:p>
    <w:p>
      <w:pPr>
        <w:ind w:right="3140" w:firstLine="318"/>
        <w:spacing w:after="0" w:line="521" w:lineRule="auto"/>
        <w:rPr>
          <w:rFonts w:ascii="Arial" w:cs="Arial" w:eastAsia="Arial" w:hAnsi="Arial"/>
          <w:sz w:val="14"/>
          <w:szCs w:val="14"/>
          <w:color w:val="auto"/>
        </w:rPr>
      </w:pPr>
      <w:r>
        <w:rPr>
          <w:rFonts w:ascii="Arial" w:cs="Arial" w:eastAsia="Arial" w:hAnsi="Arial"/>
          <w:sz w:val="14"/>
          <w:szCs w:val="14"/>
          <w:color w:val="auto"/>
        </w:rPr>
        <w:t>All schedules are omitted because they are not applicable or the required information is shown in the financial statements or notes thereto. 3. Exhibits</w:t>
      </w:r>
    </w:p>
    <w:p>
      <w:pPr>
        <w:spacing w:after="0" w:line="1"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The following exhibits, as required by Item 601 of Regulation S-K are attached or incorporated by reference as stated below.</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rPr>
              <w:t>Incorporation By Reference</w:t>
            </w:r>
          </w:p>
        </w:tc>
        <w:tc>
          <w:tcPr>
            <w:tcW w:w="7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26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8"/>
              </w:rPr>
              <w:t>Exhibit</w:t>
            </w: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300" w:type="dxa"/>
            <w:vAlign w:val="bottom"/>
            <w:gridSpan w:val="7"/>
            <w:vMerge w:val="restart"/>
          </w:tcPr>
          <w:p>
            <w:pPr>
              <w:ind w:left="160"/>
              <w:spacing w:after="0"/>
              <w:rPr>
                <w:sz w:val="20"/>
                <w:szCs w:val="20"/>
                <w:color w:val="auto"/>
              </w:rPr>
            </w:pPr>
            <w:r>
              <w:rPr>
                <w:rFonts w:ascii="Arial" w:cs="Arial" w:eastAsia="Arial" w:hAnsi="Arial"/>
                <w:sz w:val="11"/>
                <w:szCs w:val="11"/>
                <w:b w:val="1"/>
                <w:bCs w:val="1"/>
                <w:color w:val="auto"/>
              </w:rPr>
              <w:t>Description</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4"/>
              </w:rPr>
              <w:t>Form</w:t>
            </w:r>
          </w:p>
        </w:tc>
        <w:tc>
          <w:tcPr>
            <w:tcW w:w="1620" w:type="dxa"/>
            <w:vAlign w:val="bottom"/>
            <w:gridSpan w:val="3"/>
            <w:vMerge w:val="restart"/>
          </w:tcPr>
          <w:p>
            <w:pPr>
              <w:ind w:left="320"/>
              <w:spacing w:after="0"/>
              <w:rPr>
                <w:sz w:val="20"/>
                <w:szCs w:val="20"/>
                <w:color w:val="auto"/>
              </w:rPr>
            </w:pPr>
            <w:r>
              <w:rPr>
                <w:rFonts w:ascii="Arial" w:cs="Arial" w:eastAsia="Arial" w:hAnsi="Arial"/>
                <w:sz w:val="11"/>
                <w:szCs w:val="11"/>
                <w:b w:val="1"/>
                <w:bCs w:val="1"/>
                <w:color w:val="auto"/>
              </w:rPr>
              <w:t>SEC File No.</w:t>
            </w:r>
          </w:p>
        </w:tc>
        <w:tc>
          <w:tcPr>
            <w:tcW w:w="9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Exhibit</w:t>
            </w:r>
          </w:p>
        </w:tc>
        <w:tc>
          <w:tcPr>
            <w:tcW w:w="11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Filing Date</w:t>
            </w:r>
          </w:p>
        </w:tc>
        <w:tc>
          <w:tcPr>
            <w:tcW w:w="0" w:type="dxa"/>
            <w:vAlign w:val="bottom"/>
          </w:tcPr>
          <w:p>
            <w:pPr>
              <w:spacing w:after="0"/>
              <w:rPr>
                <w:sz w:val="1"/>
                <w:szCs w:val="1"/>
                <w:color w:val="auto"/>
              </w:rPr>
            </w:pPr>
          </w:p>
        </w:tc>
      </w:tr>
      <w:tr>
        <w:trPr>
          <w:trHeight w:val="151"/>
        </w:trPr>
        <w:tc>
          <w:tcPr>
            <w:tcW w:w="12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Number</w:t>
            </w: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00" w:type="dxa"/>
            <w:vAlign w:val="bottom"/>
            <w:gridSpan w:val="7"/>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2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1"/>
              </w:rPr>
              <w:t>3.1</w:t>
            </w: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940" w:type="dxa"/>
            <w:vAlign w:val="bottom"/>
            <w:tcBorders>
              <w:top w:val="single" w:sz="8" w:color="auto"/>
              <w:bottom w:val="single" w:sz="8" w:color="0000FF"/>
            </w:tcBorders>
            <w:gridSpan w:val="7"/>
          </w:tcPr>
          <w:p>
            <w:pPr>
              <w:spacing w:after="0" w:line="143" w:lineRule="exact"/>
              <w:rPr>
                <w:rFonts w:ascii="Arial" w:cs="Arial" w:eastAsia="Arial" w:hAnsi="Arial"/>
                <w:sz w:val="14"/>
                <w:szCs w:val="14"/>
                <w:color w:val="0000FF"/>
                <w:w w:val="91"/>
              </w:rPr>
            </w:pPr>
            <w:hyperlink r:id="rId121">
              <w:r>
                <w:rPr>
                  <w:rFonts w:ascii="Arial" w:cs="Arial" w:eastAsia="Arial" w:hAnsi="Arial"/>
                  <w:sz w:val="14"/>
                  <w:szCs w:val="14"/>
                  <w:color w:val="0000FF"/>
                  <w:w w:val="91"/>
                </w:rPr>
                <w:t>Amended and Restated Certificate of Incorporation.</w:t>
              </w:r>
            </w:hyperlink>
          </w:p>
        </w:tc>
        <w:tc>
          <w:tcPr>
            <w:tcW w:w="2340" w:type="dxa"/>
            <w:vAlign w:val="bottom"/>
            <w:tcBorders>
              <w:top w:val="single" w:sz="8" w:color="auto"/>
            </w:tcBorders>
            <w:gridSpan w:val="3"/>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001-38701</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92"/>
              <w:spacing w:after="0" w:line="143" w:lineRule="exact"/>
              <w:rPr>
                <w:sz w:val="20"/>
                <w:szCs w:val="20"/>
                <w:color w:val="auto"/>
              </w:rPr>
            </w:pPr>
            <w:r>
              <w:rPr>
                <w:rFonts w:ascii="Arial" w:cs="Arial" w:eastAsia="Arial" w:hAnsi="Arial"/>
                <w:sz w:val="14"/>
                <w:szCs w:val="14"/>
                <w:color w:val="auto"/>
                <w:w w:val="92"/>
              </w:rPr>
              <w:t>3.1</w:t>
            </w:r>
          </w:p>
        </w:tc>
        <w:tc>
          <w:tcPr>
            <w:tcW w:w="20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1"/>
              </w:rPr>
              <w:t>10/19/2018</w:t>
            </w:r>
          </w:p>
        </w:tc>
        <w:tc>
          <w:tcPr>
            <w:tcW w:w="0" w:type="dxa"/>
            <w:vAlign w:val="bottom"/>
          </w:tcPr>
          <w:p>
            <w:pPr>
              <w:spacing w:after="0"/>
              <w:rPr>
                <w:sz w:val="1"/>
                <w:szCs w:val="1"/>
                <w:color w:val="auto"/>
              </w:rPr>
            </w:pPr>
          </w:p>
        </w:tc>
      </w:tr>
      <w:tr>
        <w:trPr>
          <w:trHeight w:val="160"/>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gridSpan w:val="11"/>
          </w:tcPr>
          <w:p>
            <w:pPr>
              <w:spacing w:after="0"/>
              <w:rPr>
                <w:rFonts w:ascii="Arial" w:cs="Arial" w:eastAsia="Arial" w:hAnsi="Arial"/>
                <w:sz w:val="14"/>
                <w:szCs w:val="14"/>
                <w:color w:val="0000FF"/>
              </w:rPr>
            </w:pPr>
            <w:hyperlink r:id="rId122">
              <w:r>
                <w:rPr>
                  <w:rFonts w:ascii="Arial" w:cs="Arial" w:eastAsia="Arial" w:hAnsi="Arial"/>
                  <w:sz w:val="14"/>
                  <w:szCs w:val="14"/>
                  <w:color w:val="0000FF"/>
                </w:rPr>
                <w:t>Amended and Restated Bylaws.</w:t>
              </w:r>
            </w:hyperlink>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333-227445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92"/>
              <w:spacing w:after="0"/>
              <w:rPr>
                <w:sz w:val="20"/>
                <w:szCs w:val="20"/>
                <w:color w:val="auto"/>
              </w:rPr>
            </w:pPr>
            <w:r>
              <w:rPr>
                <w:rFonts w:ascii="Arial" w:cs="Arial" w:eastAsia="Arial" w:hAnsi="Arial"/>
                <w:sz w:val="14"/>
                <w:szCs w:val="14"/>
                <w:color w:val="auto"/>
                <w:w w:val="92"/>
              </w:rPr>
              <w:t>3.4</w:t>
            </w:r>
          </w:p>
        </w:tc>
        <w:tc>
          <w:tcPr>
            <w:tcW w:w="2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10/5/2018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80" w:type="dxa"/>
            <w:vAlign w:val="bottom"/>
          </w:tcPr>
          <w:p>
            <w:pPr>
              <w:jc w:val="center"/>
              <w:spacing w:after="0"/>
              <w:rPr>
                <w:sz w:val="20"/>
                <w:szCs w:val="20"/>
                <w:color w:val="auto"/>
              </w:rPr>
            </w:pPr>
            <w:r>
              <w:rPr>
                <w:rFonts w:ascii="Arial" w:cs="Arial" w:eastAsia="Arial" w:hAnsi="Arial"/>
                <w:sz w:val="14"/>
                <w:szCs w:val="14"/>
                <w:color w:val="auto"/>
                <w:w w:val="81"/>
              </w:rPr>
              <w:t>4.1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gridSpan w:val="11"/>
          </w:tcPr>
          <w:p>
            <w:pPr>
              <w:spacing w:after="0"/>
              <w:rPr>
                <w:rFonts w:ascii="Arial" w:cs="Arial" w:eastAsia="Arial" w:hAnsi="Arial"/>
                <w:sz w:val="14"/>
                <w:szCs w:val="14"/>
                <w:color w:val="0000FF"/>
              </w:rPr>
            </w:pPr>
            <w:hyperlink r:id="rId123">
              <w:r>
                <w:rPr>
                  <w:rFonts w:ascii="Arial" w:cs="Arial" w:eastAsia="Arial" w:hAnsi="Arial"/>
                  <w:sz w:val="14"/>
                  <w:szCs w:val="14"/>
                  <w:color w:val="0000FF"/>
                </w:rPr>
                <w:t>Form of Common Stock Certificate of the Company.</w:t>
              </w:r>
            </w:hyperlink>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333-227445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92"/>
              <w:spacing w:after="0"/>
              <w:rPr>
                <w:sz w:val="20"/>
                <w:szCs w:val="20"/>
                <w:color w:val="auto"/>
              </w:rPr>
            </w:pPr>
            <w:r>
              <w:rPr>
                <w:rFonts w:ascii="Arial" w:cs="Arial" w:eastAsia="Arial" w:hAnsi="Arial"/>
                <w:sz w:val="14"/>
                <w:szCs w:val="14"/>
                <w:color w:val="auto"/>
                <w:w w:val="92"/>
              </w:rPr>
              <w:t>4.1</w:t>
            </w:r>
          </w:p>
        </w:tc>
        <w:tc>
          <w:tcPr>
            <w:tcW w:w="2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10/5/2018</w:t>
            </w:r>
          </w:p>
        </w:tc>
        <w:tc>
          <w:tcPr>
            <w:tcW w:w="0" w:type="dxa"/>
            <w:vAlign w:val="bottom"/>
          </w:tcPr>
          <w:p>
            <w:pPr>
              <w:spacing w:after="0"/>
              <w:rPr>
                <w:sz w:val="1"/>
                <w:szCs w:val="1"/>
                <w:color w:val="auto"/>
              </w:rPr>
            </w:pPr>
          </w:p>
        </w:tc>
      </w:tr>
      <w:tr>
        <w:trPr>
          <w:trHeight w:val="160"/>
        </w:trPr>
        <w:tc>
          <w:tcPr>
            <w:tcW w:w="1080" w:type="dxa"/>
            <w:vAlign w:val="bottom"/>
          </w:tcPr>
          <w:p>
            <w:pPr>
              <w:jc w:val="center"/>
              <w:spacing w:after="0"/>
              <w:rPr>
                <w:sz w:val="20"/>
                <w:szCs w:val="20"/>
                <w:color w:val="auto"/>
              </w:rPr>
            </w:pPr>
            <w:r>
              <w:rPr>
                <w:rFonts w:ascii="Arial" w:cs="Arial" w:eastAsia="Arial" w:hAnsi="Arial"/>
                <w:sz w:val="14"/>
                <w:szCs w:val="14"/>
                <w:color w:val="auto"/>
                <w:w w:val="81"/>
              </w:rPr>
              <w:t>4.2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Borders>
              <w:top w:val="single" w:sz="8" w:color="0000FF"/>
            </w:tcBorders>
            <w:gridSpan w:val="8"/>
          </w:tcPr>
          <w:p>
            <w:pPr>
              <w:spacing w:after="0"/>
              <w:rPr>
                <w:rFonts w:ascii="Arial" w:cs="Arial" w:eastAsia="Arial" w:hAnsi="Arial"/>
                <w:sz w:val="14"/>
                <w:szCs w:val="14"/>
                <w:color w:val="auto"/>
              </w:rPr>
            </w:pPr>
            <w:r>
              <w:rPr>
                <w:rFonts w:ascii="Arial" w:cs="Arial" w:eastAsia="Arial" w:hAnsi="Arial"/>
                <w:sz w:val="14"/>
                <w:szCs w:val="14"/>
                <w:color w:val="auto"/>
              </w:rPr>
              <w:t xml:space="preserve">Reference is made to Exhibits </w:t>
            </w:r>
            <w:hyperlink r:id="rId121">
              <w:r>
                <w:rPr>
                  <w:rFonts w:ascii="Arial" w:cs="Arial" w:eastAsia="Arial" w:hAnsi="Arial"/>
                  <w:sz w:val="14"/>
                  <w:szCs w:val="14"/>
                  <w:color w:val="0000FF"/>
                </w:rPr>
                <w:t>3.1</w:t>
              </w:r>
              <w:r>
                <w:rPr>
                  <w:rFonts w:ascii="Arial" w:cs="Arial" w:eastAsia="Arial" w:hAnsi="Arial"/>
                  <w:sz w:val="14"/>
                  <w:szCs w:val="14"/>
                  <w:color w:val="auto"/>
                </w:rPr>
                <w:t xml:space="preserve"> </w:t>
              </w:r>
            </w:hyperlink>
            <w:r>
              <w:rPr>
                <w:rFonts w:ascii="Arial" w:cs="Arial" w:eastAsia="Arial" w:hAnsi="Arial"/>
                <w:sz w:val="14"/>
                <w:szCs w:val="14"/>
                <w:color w:val="auto"/>
              </w:rPr>
              <w:t xml:space="preserve">and </w:t>
            </w:r>
            <w:hyperlink r:id="rId122">
              <w:r>
                <w:rPr>
                  <w:rFonts w:ascii="Arial" w:cs="Arial" w:eastAsia="Arial" w:hAnsi="Arial"/>
                  <w:sz w:val="14"/>
                  <w:szCs w:val="14"/>
                  <w:color w:val="0000FF"/>
                </w:rPr>
                <w:t>3.2</w:t>
              </w:r>
            </w:hyperlink>
            <w:r>
              <w:rPr>
                <w:rFonts w:ascii="Arial" w:cs="Arial" w:eastAsia="Arial" w:hAnsi="Arial"/>
                <w:sz w:val="14"/>
                <w:szCs w:val="14"/>
                <w:color w:val="auto"/>
              </w:rPr>
              <w:t>.</w:t>
            </w:r>
          </w:p>
        </w:tc>
        <w:tc>
          <w:tcPr>
            <w:tcW w:w="2500" w:type="dxa"/>
            <w:vAlign w:val="bottom"/>
            <w:gridSpan w:val="3"/>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80" w:type="dxa"/>
            <w:vAlign w:val="bottom"/>
          </w:tcPr>
          <w:p>
            <w:pPr>
              <w:jc w:val="center"/>
              <w:spacing w:after="0"/>
              <w:rPr>
                <w:sz w:val="20"/>
                <w:szCs w:val="20"/>
                <w:color w:val="auto"/>
              </w:rPr>
            </w:pPr>
            <w:r>
              <w:rPr>
                <w:rFonts w:ascii="Arial" w:cs="Arial" w:eastAsia="Arial" w:hAnsi="Arial"/>
                <w:sz w:val="14"/>
                <w:szCs w:val="14"/>
                <w:color w:val="auto"/>
                <w:w w:val="81"/>
              </w:rPr>
              <w:t>4.3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bottom w:val="single" w:sz="8" w:color="0000FF"/>
            </w:tcBorders>
            <w:gridSpan w:val="6"/>
          </w:tcPr>
          <w:p>
            <w:pPr>
              <w:spacing w:after="0"/>
              <w:rPr>
                <w:rFonts w:ascii="Arial" w:cs="Arial" w:eastAsia="Arial" w:hAnsi="Arial"/>
                <w:sz w:val="14"/>
                <w:szCs w:val="14"/>
                <w:color w:val="0000FF"/>
                <w:w w:val="93"/>
              </w:rPr>
            </w:pPr>
            <w:hyperlink r:id="rId124">
              <w:r>
                <w:rPr>
                  <w:rFonts w:ascii="Arial" w:cs="Arial" w:eastAsia="Arial" w:hAnsi="Arial"/>
                  <w:sz w:val="14"/>
                  <w:szCs w:val="14"/>
                  <w:color w:val="0000FF"/>
                  <w:w w:val="93"/>
                </w:rPr>
                <w:t>Description of SI-BONE, Inc. Common Stock</w:t>
              </w:r>
            </w:hyperlink>
          </w:p>
        </w:tc>
        <w:tc>
          <w:tcPr>
            <w:tcW w:w="2860" w:type="dxa"/>
            <w:vAlign w:val="bottom"/>
            <w:gridSpan w:val="5"/>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rPr>
              <w:t>10-Q</w:t>
            </w:r>
          </w:p>
        </w:tc>
        <w:tc>
          <w:tcPr>
            <w:tcW w:w="126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92"/>
              <w:spacing w:after="0"/>
              <w:rPr>
                <w:sz w:val="20"/>
                <w:szCs w:val="20"/>
                <w:color w:val="auto"/>
              </w:rPr>
            </w:pPr>
            <w:r>
              <w:rPr>
                <w:rFonts w:ascii="Arial" w:cs="Arial" w:eastAsia="Arial" w:hAnsi="Arial"/>
                <w:sz w:val="14"/>
                <w:szCs w:val="14"/>
                <w:color w:val="auto"/>
                <w:w w:val="92"/>
              </w:rPr>
              <w:t>4.3</w:t>
            </w:r>
          </w:p>
        </w:tc>
        <w:tc>
          <w:tcPr>
            <w:tcW w:w="2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5/5/2020</w:t>
            </w:r>
          </w:p>
        </w:tc>
        <w:tc>
          <w:tcPr>
            <w:tcW w:w="0" w:type="dxa"/>
            <w:vAlign w:val="bottom"/>
          </w:tcPr>
          <w:p>
            <w:pPr>
              <w:spacing w:after="0"/>
              <w:rPr>
                <w:sz w:val="1"/>
                <w:szCs w:val="1"/>
                <w:color w:val="auto"/>
              </w:rPr>
            </w:pPr>
          </w:p>
        </w:tc>
      </w:tr>
      <w:tr>
        <w:trPr>
          <w:trHeight w:val="160"/>
        </w:trPr>
        <w:tc>
          <w:tcPr>
            <w:tcW w:w="108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gridSpan w:val="11"/>
          </w:tcPr>
          <w:p>
            <w:pPr>
              <w:spacing w:after="0"/>
              <w:rPr>
                <w:rFonts w:ascii="Arial" w:cs="Arial" w:eastAsia="Arial" w:hAnsi="Arial"/>
                <w:sz w:val="14"/>
                <w:szCs w:val="14"/>
                <w:color w:val="0000FF"/>
              </w:rPr>
            </w:pPr>
            <w:hyperlink r:id="rId125">
              <w:r>
                <w:rPr>
                  <w:rFonts w:ascii="Arial" w:cs="Arial" w:eastAsia="Arial" w:hAnsi="Arial"/>
                  <w:sz w:val="14"/>
                  <w:szCs w:val="14"/>
                  <w:color w:val="0000FF"/>
                </w:rPr>
                <w:t>Form of Indemnity Agreement between the Registrant and each of its directors and</w:t>
              </w:r>
            </w:hyperlink>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S-1</w:t>
            </w: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333-227445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92"/>
              <w:spacing w:after="0"/>
              <w:rPr>
                <w:sz w:val="20"/>
                <w:szCs w:val="20"/>
                <w:color w:val="auto"/>
              </w:rPr>
            </w:pPr>
            <w:r>
              <w:rPr>
                <w:rFonts w:ascii="Arial" w:cs="Arial" w:eastAsia="Arial" w:hAnsi="Arial"/>
                <w:sz w:val="14"/>
                <w:szCs w:val="14"/>
                <w:color w:val="auto"/>
                <w:w w:val="95"/>
              </w:rPr>
              <w:t>10.1</w:t>
            </w:r>
          </w:p>
        </w:tc>
        <w:tc>
          <w:tcPr>
            <w:tcW w:w="2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9/20/2018</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9"/>
          </w:tcPr>
          <w:p>
            <w:pPr>
              <w:spacing w:after="0" w:line="118" w:lineRule="exact"/>
              <w:rPr>
                <w:rFonts w:ascii="Arial" w:cs="Arial" w:eastAsia="Arial" w:hAnsi="Arial"/>
                <w:sz w:val="13"/>
                <w:szCs w:val="13"/>
                <w:color w:val="0000FF"/>
              </w:rPr>
            </w:pPr>
            <w:hyperlink r:id="rId125">
              <w:r>
                <w:rPr>
                  <w:rFonts w:ascii="Arial" w:cs="Arial" w:eastAsia="Arial" w:hAnsi="Arial"/>
                  <w:sz w:val="13"/>
                  <w:szCs w:val="13"/>
                  <w:color w:val="0000FF"/>
                </w:rPr>
                <w:t>executive officers.</w:t>
              </w:r>
            </w:hyperlink>
          </w:p>
        </w:tc>
        <w:tc>
          <w:tcPr>
            <w:tcW w:w="78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2024380</wp:posOffset>
            </wp:positionH>
            <wp:positionV relativeFrom="paragraph">
              <wp:posOffset>-410210</wp:posOffset>
            </wp:positionV>
            <wp:extent cx="309880" cy="1009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309880" cy="10096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p>
      <w:pPr>
        <w:spacing w:after="0" w:line="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940" w:type="dxa"/>
            <w:vAlign w:val="bottom"/>
          </w:tcPr>
          <w:p>
            <w:pPr>
              <w:jc w:val="right"/>
              <w:ind w:right="529"/>
              <w:spacing w:after="0"/>
              <w:rPr>
                <w:sz w:val="20"/>
                <w:szCs w:val="20"/>
                <w:color w:val="auto"/>
              </w:rPr>
            </w:pPr>
            <w:r>
              <w:rPr>
                <w:rFonts w:ascii="Arial" w:cs="Arial" w:eastAsia="Arial" w:hAnsi="Arial"/>
                <w:sz w:val="14"/>
                <w:szCs w:val="14"/>
                <w:color w:val="auto"/>
                <w:w w:val="90"/>
              </w:rPr>
              <w:t>10.2+</w:t>
            </w:r>
          </w:p>
        </w:tc>
        <w:tc>
          <w:tcPr>
            <w:tcW w:w="300" w:type="dxa"/>
            <w:vAlign w:val="bottom"/>
            <w:tcBorders>
              <w:bottom w:val="single" w:sz="8" w:color="0000FF"/>
            </w:tcBorders>
          </w:tcPr>
          <w:p>
            <w:pPr>
              <w:spacing w:after="0"/>
              <w:rPr>
                <w:rFonts w:ascii="Arial" w:cs="Arial" w:eastAsia="Arial" w:hAnsi="Arial"/>
                <w:sz w:val="14"/>
                <w:szCs w:val="14"/>
                <w:color w:val="0000FF"/>
                <w:w w:val="89"/>
              </w:rPr>
            </w:pPr>
            <w:hyperlink r:id="rId127">
              <w:r>
                <w:rPr>
                  <w:rFonts w:ascii="Arial" w:cs="Arial" w:eastAsia="Arial" w:hAnsi="Arial"/>
                  <w:sz w:val="14"/>
                  <w:szCs w:val="14"/>
                  <w:color w:val="0000FF"/>
                  <w:w w:val="89"/>
                </w:rPr>
                <w:t>2008</w:t>
              </w:r>
            </w:hyperlink>
          </w:p>
        </w:tc>
        <w:tc>
          <w:tcPr>
            <w:tcW w:w="2740" w:type="dxa"/>
            <w:vAlign w:val="bottom"/>
            <w:tcBorders>
              <w:bottom w:val="single" w:sz="8" w:color="0000FF"/>
            </w:tcBorders>
            <w:gridSpan w:val="2"/>
          </w:tcPr>
          <w:p>
            <w:pPr>
              <w:ind w:left="20"/>
              <w:spacing w:after="0"/>
              <w:rPr>
                <w:rFonts w:ascii="Arial" w:cs="Arial" w:eastAsia="Arial" w:hAnsi="Arial"/>
                <w:sz w:val="14"/>
                <w:szCs w:val="14"/>
                <w:color w:val="0000FF"/>
                <w:w w:val="89"/>
              </w:rPr>
            </w:pPr>
            <w:hyperlink r:id="rId127">
              <w:r>
                <w:rPr>
                  <w:rFonts w:ascii="Arial" w:cs="Arial" w:eastAsia="Arial" w:hAnsi="Arial"/>
                  <w:sz w:val="14"/>
                  <w:szCs w:val="14"/>
                  <w:color w:val="0000FF"/>
                  <w:w w:val="89"/>
                </w:rPr>
                <w:t>Stock Plan and forms of agreements thereunder.</w:t>
              </w:r>
            </w:hyperlink>
          </w:p>
        </w:tc>
        <w:tc>
          <w:tcPr>
            <w:tcW w:w="2080" w:type="dxa"/>
            <w:vAlign w:val="bottom"/>
            <w:gridSpan w:val="2"/>
          </w:tcPr>
          <w:p>
            <w:pPr>
              <w:spacing w:after="0"/>
              <w:rPr>
                <w:sz w:val="14"/>
                <w:szCs w:val="14"/>
                <w:color w:val="auto"/>
              </w:rPr>
            </w:pPr>
          </w:p>
        </w:tc>
      </w:tr>
      <w:tr>
        <w:trPr>
          <w:trHeight w:val="160"/>
        </w:trPr>
        <w:tc>
          <w:tcPr>
            <w:tcW w:w="940" w:type="dxa"/>
            <w:vAlign w:val="bottom"/>
          </w:tcPr>
          <w:p>
            <w:pPr>
              <w:jc w:val="right"/>
              <w:ind w:right="529"/>
              <w:spacing w:after="0"/>
              <w:rPr>
                <w:sz w:val="20"/>
                <w:szCs w:val="20"/>
                <w:color w:val="auto"/>
              </w:rPr>
            </w:pPr>
            <w:r>
              <w:rPr>
                <w:rFonts w:ascii="Arial" w:cs="Arial" w:eastAsia="Arial" w:hAnsi="Arial"/>
                <w:sz w:val="14"/>
                <w:szCs w:val="14"/>
                <w:color w:val="auto"/>
                <w:w w:val="90"/>
              </w:rPr>
              <w:t>10.3+</w:t>
            </w:r>
          </w:p>
        </w:tc>
        <w:tc>
          <w:tcPr>
            <w:tcW w:w="300" w:type="dxa"/>
            <w:vAlign w:val="bottom"/>
          </w:tcPr>
          <w:p>
            <w:pPr>
              <w:spacing w:after="0"/>
              <w:rPr>
                <w:rFonts w:ascii="Arial" w:cs="Arial" w:eastAsia="Arial" w:hAnsi="Arial"/>
                <w:sz w:val="14"/>
                <w:szCs w:val="14"/>
                <w:color w:val="0000FF"/>
                <w:w w:val="89"/>
              </w:rPr>
            </w:pPr>
            <w:hyperlink r:id="rId128">
              <w:r>
                <w:rPr>
                  <w:rFonts w:ascii="Arial" w:cs="Arial" w:eastAsia="Arial" w:hAnsi="Arial"/>
                  <w:sz w:val="14"/>
                  <w:szCs w:val="14"/>
                  <w:color w:val="0000FF"/>
                  <w:w w:val="89"/>
                </w:rPr>
                <w:t>2018</w:t>
              </w:r>
            </w:hyperlink>
          </w:p>
        </w:tc>
        <w:tc>
          <w:tcPr>
            <w:tcW w:w="4820" w:type="dxa"/>
            <w:vAlign w:val="bottom"/>
            <w:gridSpan w:val="4"/>
          </w:tcPr>
          <w:p>
            <w:pPr>
              <w:ind w:left="20"/>
              <w:spacing w:after="0"/>
              <w:rPr>
                <w:rFonts w:ascii="Arial" w:cs="Arial" w:eastAsia="Arial" w:hAnsi="Arial"/>
                <w:sz w:val="14"/>
                <w:szCs w:val="14"/>
                <w:color w:val="0000FF"/>
              </w:rPr>
            </w:pPr>
            <w:hyperlink r:id="rId128">
              <w:r>
                <w:rPr>
                  <w:rFonts w:ascii="Arial" w:cs="Arial" w:eastAsia="Arial" w:hAnsi="Arial"/>
                  <w:sz w:val="14"/>
                  <w:szCs w:val="14"/>
                  <w:color w:val="0000FF"/>
                </w:rPr>
                <w:t>Equity Incentive Plan</w:t>
              </w:r>
            </w:hyperlink>
            <w:r>
              <w:rPr>
                <w:rFonts w:ascii="Arial" w:cs="Arial" w:eastAsia="Arial" w:hAnsi="Arial"/>
                <w:sz w:val="14"/>
                <w:szCs w:val="14"/>
                <w:color w:val="0000FF"/>
              </w:rPr>
              <w:t>.</w:t>
            </w:r>
          </w:p>
        </w:tc>
      </w:tr>
      <w:tr>
        <w:trPr>
          <w:trHeight w:val="20"/>
        </w:trPr>
        <w:tc>
          <w:tcPr>
            <w:tcW w:w="94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40" w:type="dxa"/>
            <w:vAlign w:val="bottom"/>
          </w:tcPr>
          <w:p>
            <w:pPr>
              <w:jc w:val="right"/>
              <w:ind w:right="529"/>
              <w:spacing w:after="0"/>
              <w:rPr>
                <w:sz w:val="20"/>
                <w:szCs w:val="20"/>
                <w:color w:val="auto"/>
              </w:rPr>
            </w:pPr>
            <w:r>
              <w:rPr>
                <w:rFonts w:ascii="Arial" w:cs="Arial" w:eastAsia="Arial" w:hAnsi="Arial"/>
                <w:sz w:val="14"/>
                <w:szCs w:val="14"/>
                <w:color w:val="auto"/>
                <w:w w:val="90"/>
              </w:rPr>
              <w:t>10.4+</w:t>
            </w:r>
          </w:p>
        </w:tc>
        <w:tc>
          <w:tcPr>
            <w:tcW w:w="5120" w:type="dxa"/>
            <w:vAlign w:val="bottom"/>
            <w:gridSpan w:val="5"/>
          </w:tcPr>
          <w:p>
            <w:pPr>
              <w:spacing w:after="0"/>
              <w:rPr>
                <w:rFonts w:ascii="Arial" w:cs="Arial" w:eastAsia="Arial" w:hAnsi="Arial"/>
                <w:sz w:val="14"/>
                <w:szCs w:val="14"/>
                <w:color w:val="0000FF"/>
                <w:w w:val="92"/>
              </w:rPr>
            </w:pPr>
            <w:hyperlink r:id="rId129">
              <w:r>
                <w:rPr>
                  <w:rFonts w:ascii="Arial" w:cs="Arial" w:eastAsia="Arial" w:hAnsi="Arial"/>
                  <w:sz w:val="14"/>
                  <w:szCs w:val="14"/>
                  <w:color w:val="0000FF"/>
                  <w:w w:val="92"/>
                </w:rPr>
                <w:t>Forms of Stock Option Grant Notice, Option Agreement and Notice of Exercise under the</w:t>
              </w:r>
            </w:hyperlink>
          </w:p>
        </w:tc>
      </w:tr>
      <w:tr>
        <w:trPr>
          <w:trHeight w:val="118"/>
        </w:trPr>
        <w:tc>
          <w:tcPr>
            <w:tcW w:w="940" w:type="dxa"/>
            <w:vAlign w:val="bottom"/>
          </w:tcPr>
          <w:p>
            <w:pPr>
              <w:spacing w:after="0"/>
              <w:rPr>
                <w:sz w:val="10"/>
                <w:szCs w:val="10"/>
                <w:color w:val="auto"/>
              </w:rPr>
            </w:pPr>
          </w:p>
        </w:tc>
        <w:tc>
          <w:tcPr>
            <w:tcW w:w="300" w:type="dxa"/>
            <w:vAlign w:val="bottom"/>
            <w:tcBorders>
              <w:top w:val="single" w:sz="8" w:color="0000FF"/>
            </w:tcBorders>
          </w:tcPr>
          <w:p>
            <w:pPr>
              <w:spacing w:after="0" w:line="118" w:lineRule="exact"/>
              <w:rPr>
                <w:rFonts w:ascii="Arial" w:cs="Arial" w:eastAsia="Arial" w:hAnsi="Arial"/>
                <w:sz w:val="13"/>
                <w:szCs w:val="13"/>
                <w:color w:val="0000FF"/>
                <w:w w:val="96"/>
              </w:rPr>
            </w:pPr>
            <w:hyperlink r:id="rId129">
              <w:r>
                <w:rPr>
                  <w:rFonts w:ascii="Arial" w:cs="Arial" w:eastAsia="Arial" w:hAnsi="Arial"/>
                  <w:sz w:val="13"/>
                  <w:szCs w:val="13"/>
                  <w:color w:val="0000FF"/>
                  <w:w w:val="96"/>
                </w:rPr>
                <w:t>2018</w:t>
              </w:r>
            </w:hyperlink>
          </w:p>
        </w:tc>
        <w:tc>
          <w:tcPr>
            <w:tcW w:w="4800" w:type="dxa"/>
            <w:vAlign w:val="bottom"/>
            <w:tcBorders>
              <w:top w:val="single" w:sz="8" w:color="0000FF"/>
            </w:tcBorders>
            <w:gridSpan w:val="3"/>
          </w:tcPr>
          <w:p>
            <w:pPr>
              <w:ind w:left="20"/>
              <w:spacing w:after="0" w:line="118" w:lineRule="exact"/>
              <w:rPr>
                <w:rFonts w:ascii="Arial" w:cs="Arial" w:eastAsia="Arial" w:hAnsi="Arial"/>
                <w:sz w:val="13"/>
                <w:szCs w:val="13"/>
                <w:color w:val="0000FF"/>
              </w:rPr>
            </w:pPr>
            <w:hyperlink r:id="rId129">
              <w:r>
                <w:rPr>
                  <w:rFonts w:ascii="Arial" w:cs="Arial" w:eastAsia="Arial" w:hAnsi="Arial"/>
                  <w:sz w:val="13"/>
                  <w:szCs w:val="13"/>
                  <w:color w:val="0000FF"/>
                </w:rPr>
                <w:t>Equity Incentive Plan.</w:t>
              </w:r>
            </w:hyperlink>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420" w:type="dxa"/>
            <w:vAlign w:val="bottom"/>
          </w:tcPr>
          <w:p>
            <w:pPr>
              <w:jc w:val="right"/>
              <w:ind w:right="349"/>
              <w:spacing w:after="0"/>
              <w:rPr>
                <w:sz w:val="20"/>
                <w:szCs w:val="20"/>
                <w:color w:val="auto"/>
              </w:rPr>
            </w:pPr>
            <w:r>
              <w:rPr>
                <w:rFonts w:ascii="Arial" w:cs="Arial" w:eastAsia="Arial" w:hAnsi="Arial"/>
                <w:sz w:val="14"/>
                <w:szCs w:val="14"/>
                <w:color w:val="auto"/>
              </w:rPr>
              <w:t>333-227445</w:t>
            </w:r>
          </w:p>
        </w:tc>
        <w:tc>
          <w:tcPr>
            <w:tcW w:w="1060" w:type="dxa"/>
            <w:vAlign w:val="bottom"/>
          </w:tcPr>
          <w:p>
            <w:pPr>
              <w:jc w:val="right"/>
              <w:ind w:right="329"/>
              <w:spacing w:after="0"/>
              <w:rPr>
                <w:sz w:val="20"/>
                <w:szCs w:val="20"/>
                <w:color w:val="auto"/>
              </w:rPr>
            </w:pPr>
            <w:r>
              <w:rPr>
                <w:rFonts w:ascii="Arial" w:cs="Arial" w:eastAsia="Arial" w:hAnsi="Arial"/>
                <w:sz w:val="14"/>
                <w:szCs w:val="14"/>
                <w:color w:val="auto"/>
              </w:rPr>
              <w:t>10.2</w:t>
            </w:r>
          </w:p>
        </w:tc>
        <w:tc>
          <w:tcPr>
            <w:tcW w:w="980" w:type="dxa"/>
            <w:vAlign w:val="bottom"/>
          </w:tcPr>
          <w:p>
            <w:pPr>
              <w:jc w:val="right"/>
              <w:spacing w:after="0"/>
              <w:rPr>
                <w:sz w:val="20"/>
                <w:szCs w:val="20"/>
                <w:color w:val="auto"/>
              </w:rPr>
            </w:pPr>
            <w:r>
              <w:rPr>
                <w:rFonts w:ascii="Arial" w:cs="Arial" w:eastAsia="Arial" w:hAnsi="Arial"/>
                <w:sz w:val="14"/>
                <w:szCs w:val="14"/>
                <w:color w:val="auto"/>
              </w:rPr>
              <w:t>10/5/2018</w:t>
            </w:r>
          </w:p>
        </w:tc>
      </w:tr>
      <w:tr>
        <w:trPr>
          <w:trHeight w:val="180"/>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420" w:type="dxa"/>
            <w:vAlign w:val="bottom"/>
          </w:tcPr>
          <w:p>
            <w:pPr>
              <w:jc w:val="right"/>
              <w:ind w:right="349"/>
              <w:spacing w:after="0"/>
              <w:rPr>
                <w:sz w:val="20"/>
                <w:szCs w:val="20"/>
                <w:color w:val="auto"/>
              </w:rPr>
            </w:pPr>
            <w:r>
              <w:rPr>
                <w:rFonts w:ascii="Arial" w:cs="Arial" w:eastAsia="Arial" w:hAnsi="Arial"/>
                <w:sz w:val="14"/>
                <w:szCs w:val="14"/>
                <w:color w:val="auto"/>
              </w:rPr>
              <w:t>333-227445</w:t>
            </w:r>
          </w:p>
        </w:tc>
        <w:tc>
          <w:tcPr>
            <w:tcW w:w="1060" w:type="dxa"/>
            <w:vAlign w:val="bottom"/>
          </w:tcPr>
          <w:p>
            <w:pPr>
              <w:jc w:val="right"/>
              <w:ind w:right="329"/>
              <w:spacing w:after="0"/>
              <w:rPr>
                <w:sz w:val="20"/>
                <w:szCs w:val="20"/>
                <w:color w:val="auto"/>
              </w:rPr>
            </w:pPr>
            <w:r>
              <w:rPr>
                <w:rFonts w:ascii="Arial" w:cs="Arial" w:eastAsia="Arial" w:hAnsi="Arial"/>
                <w:sz w:val="14"/>
                <w:szCs w:val="14"/>
                <w:color w:val="auto"/>
              </w:rPr>
              <w:t>10.3</w:t>
            </w:r>
          </w:p>
        </w:tc>
        <w:tc>
          <w:tcPr>
            <w:tcW w:w="980" w:type="dxa"/>
            <w:vAlign w:val="bottom"/>
          </w:tcPr>
          <w:p>
            <w:pPr>
              <w:jc w:val="right"/>
              <w:spacing w:after="0"/>
              <w:rPr>
                <w:sz w:val="20"/>
                <w:szCs w:val="20"/>
                <w:color w:val="auto"/>
              </w:rPr>
            </w:pPr>
            <w:r>
              <w:rPr>
                <w:rFonts w:ascii="Arial" w:cs="Arial" w:eastAsia="Arial" w:hAnsi="Arial"/>
                <w:sz w:val="14"/>
                <w:szCs w:val="14"/>
                <w:color w:val="auto"/>
              </w:rPr>
              <w:t>10/5/2018</w:t>
            </w:r>
          </w:p>
        </w:tc>
      </w:tr>
      <w:tr>
        <w:trPr>
          <w:trHeight w:val="180"/>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420" w:type="dxa"/>
            <w:vAlign w:val="bottom"/>
          </w:tcPr>
          <w:p>
            <w:pPr>
              <w:jc w:val="right"/>
              <w:ind w:right="349"/>
              <w:spacing w:after="0"/>
              <w:rPr>
                <w:sz w:val="20"/>
                <w:szCs w:val="20"/>
                <w:color w:val="auto"/>
              </w:rPr>
            </w:pPr>
            <w:r>
              <w:rPr>
                <w:rFonts w:ascii="Arial" w:cs="Arial" w:eastAsia="Arial" w:hAnsi="Arial"/>
                <w:sz w:val="14"/>
                <w:szCs w:val="14"/>
                <w:color w:val="auto"/>
              </w:rPr>
              <w:t>333-227445</w:t>
            </w:r>
          </w:p>
        </w:tc>
        <w:tc>
          <w:tcPr>
            <w:tcW w:w="1060" w:type="dxa"/>
            <w:vAlign w:val="bottom"/>
          </w:tcPr>
          <w:p>
            <w:pPr>
              <w:jc w:val="right"/>
              <w:ind w:right="329"/>
              <w:spacing w:after="0"/>
              <w:rPr>
                <w:sz w:val="20"/>
                <w:szCs w:val="20"/>
                <w:color w:val="auto"/>
              </w:rPr>
            </w:pPr>
            <w:r>
              <w:rPr>
                <w:rFonts w:ascii="Arial" w:cs="Arial" w:eastAsia="Arial" w:hAnsi="Arial"/>
                <w:sz w:val="14"/>
                <w:szCs w:val="14"/>
                <w:color w:val="auto"/>
              </w:rPr>
              <w:t>10.4</w:t>
            </w:r>
          </w:p>
        </w:tc>
        <w:tc>
          <w:tcPr>
            <w:tcW w:w="980" w:type="dxa"/>
            <w:vAlign w:val="bottom"/>
          </w:tcPr>
          <w:p>
            <w:pPr>
              <w:jc w:val="right"/>
              <w:spacing w:after="0"/>
              <w:rPr>
                <w:sz w:val="20"/>
                <w:szCs w:val="20"/>
                <w:color w:val="auto"/>
              </w:rPr>
            </w:pPr>
            <w:r>
              <w:rPr>
                <w:rFonts w:ascii="Arial" w:cs="Arial" w:eastAsia="Arial" w:hAnsi="Arial"/>
                <w:sz w:val="14"/>
                <w:szCs w:val="14"/>
                <w:color w:val="auto"/>
              </w:rPr>
              <w:t>10/5/2018</w:t>
            </w:r>
          </w:p>
        </w:tc>
      </w:tr>
    </w:tbl>
    <w:p>
      <w:pPr>
        <w:spacing w:after="0" w:line="136" w:lineRule="exact"/>
        <w:rPr>
          <w:sz w:val="20"/>
          <w:szCs w:val="20"/>
          <w:color w:val="auto"/>
        </w:rPr>
      </w:pPr>
    </w:p>
    <w:p>
      <w:pPr>
        <w:sectPr>
          <w:pgSz w:w="11900" w:h="16838" w:orient="portrait"/>
          <w:cols w:equalWidth="0" w:num="2">
            <w:col w:w="6380" w:space="520"/>
            <w:col w:w="4380"/>
          </w:cols>
          <w:pgMar w:left="300" w:top="634"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95"/>
              </w:rPr>
              <w:t>10.5+</w:t>
            </w:r>
          </w:p>
        </w:tc>
        <w:tc>
          <w:tcPr>
            <w:tcW w:w="5400" w:type="dxa"/>
            <w:vAlign w:val="bottom"/>
            <w:gridSpan w:val="16"/>
          </w:tcPr>
          <w:p>
            <w:pPr>
              <w:spacing w:after="0"/>
              <w:rPr>
                <w:rFonts w:ascii="Arial" w:cs="Arial" w:eastAsia="Arial" w:hAnsi="Arial"/>
                <w:sz w:val="14"/>
                <w:szCs w:val="14"/>
                <w:color w:val="0000FF"/>
                <w:w w:val="97"/>
              </w:rPr>
            </w:pPr>
            <w:hyperlink r:id="rId130">
              <w:r>
                <w:rPr>
                  <w:rFonts w:ascii="Arial" w:cs="Arial" w:eastAsia="Arial" w:hAnsi="Arial"/>
                  <w:sz w:val="14"/>
                  <w:szCs w:val="14"/>
                  <w:color w:val="0000FF"/>
                  <w:w w:val="97"/>
                </w:rPr>
                <w:t>Forms of Restricted Stock Unit Grant Notice and Restricted Stock Unit Award Agreement</w:t>
              </w:r>
            </w:hyperlink>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6"/>
              </w:rPr>
              <w:t>10-Q</w:t>
            </w:r>
          </w:p>
        </w:tc>
        <w:tc>
          <w:tcPr>
            <w:tcW w:w="1400" w:type="dxa"/>
            <w:vAlign w:val="bottom"/>
          </w:tcPr>
          <w:p>
            <w:pPr>
              <w:jc w:val="center"/>
              <w:ind w:right="29"/>
              <w:spacing w:after="0"/>
              <w:rPr>
                <w:sz w:val="20"/>
                <w:szCs w:val="20"/>
                <w:color w:val="auto"/>
              </w:rPr>
            </w:pPr>
            <w:r>
              <w:rPr>
                <w:rFonts w:ascii="Arial" w:cs="Arial" w:eastAsia="Arial" w:hAnsi="Arial"/>
                <w:sz w:val="14"/>
                <w:szCs w:val="14"/>
                <w:color w:val="auto"/>
                <w:w w:val="92"/>
              </w:rPr>
              <w:t>001-38701</w:t>
            </w: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40" w:type="dxa"/>
            <w:vAlign w:val="bottom"/>
          </w:tcPr>
          <w:p>
            <w:pPr>
              <w:jc w:val="right"/>
              <w:ind w:right="209"/>
              <w:spacing w:after="0"/>
              <w:rPr>
                <w:sz w:val="20"/>
                <w:szCs w:val="20"/>
                <w:color w:val="auto"/>
              </w:rPr>
            </w:pPr>
            <w:r>
              <w:rPr>
                <w:rFonts w:ascii="Arial" w:cs="Arial" w:eastAsia="Arial" w:hAnsi="Arial"/>
                <w:sz w:val="14"/>
                <w:szCs w:val="14"/>
                <w:color w:val="auto"/>
              </w:rPr>
              <w:t>11/8/2022</w:t>
            </w:r>
          </w:p>
        </w:tc>
      </w:tr>
      <w:tr>
        <w:trPr>
          <w:trHeight w:val="118"/>
        </w:trPr>
        <w:tc>
          <w:tcPr>
            <w:tcW w:w="1280" w:type="dxa"/>
            <w:vAlign w:val="bottom"/>
          </w:tcPr>
          <w:p>
            <w:pPr>
              <w:spacing w:after="0"/>
              <w:rPr>
                <w:sz w:val="10"/>
                <w:szCs w:val="10"/>
                <w:color w:val="auto"/>
              </w:rPr>
            </w:pPr>
          </w:p>
        </w:tc>
        <w:tc>
          <w:tcPr>
            <w:tcW w:w="512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30">
              <w:r>
                <w:rPr>
                  <w:rFonts w:ascii="Arial" w:cs="Arial" w:eastAsia="Arial" w:hAnsi="Arial"/>
                  <w:sz w:val="13"/>
                  <w:szCs w:val="13"/>
                  <w:color w:val="0000FF"/>
                </w:rPr>
                <w:t>under the 2018 Equity Incentive Plan.</w:t>
              </w:r>
            </w:hyperlink>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71"/>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95"/>
              </w:rPr>
              <w:t>10.6+</w:t>
            </w:r>
          </w:p>
        </w:tc>
        <w:tc>
          <w:tcPr>
            <w:tcW w:w="2120" w:type="dxa"/>
            <w:vAlign w:val="bottom"/>
            <w:tcBorders>
              <w:top w:val="single" w:sz="8" w:color="0000FF"/>
              <w:bottom w:val="single" w:sz="8" w:color="0000FF"/>
            </w:tcBorders>
            <w:gridSpan w:val="5"/>
          </w:tcPr>
          <w:p>
            <w:pPr>
              <w:spacing w:after="0"/>
              <w:rPr>
                <w:rFonts w:ascii="Arial" w:cs="Arial" w:eastAsia="Arial" w:hAnsi="Arial"/>
                <w:sz w:val="14"/>
                <w:szCs w:val="14"/>
                <w:color w:val="0000FF"/>
                <w:w w:val="89"/>
              </w:rPr>
            </w:pPr>
            <w:hyperlink r:id="rId131">
              <w:r>
                <w:rPr>
                  <w:rFonts w:ascii="Arial" w:cs="Arial" w:eastAsia="Arial" w:hAnsi="Arial"/>
                  <w:sz w:val="14"/>
                  <w:szCs w:val="14"/>
                  <w:color w:val="0000FF"/>
                  <w:w w:val="89"/>
                </w:rPr>
                <w:t>2018 Employee Stock Purchase Plan.</w:t>
              </w:r>
            </w:hyperlink>
          </w:p>
        </w:tc>
        <w:tc>
          <w:tcPr>
            <w:tcW w:w="20" w:type="dxa"/>
            <w:vAlign w:val="bottom"/>
            <w:tcBorders>
              <w:top w:val="single" w:sz="8" w:color="0000FF"/>
            </w:tcBorders>
          </w:tcPr>
          <w:p>
            <w:pPr>
              <w:spacing w:after="0"/>
              <w:rPr>
                <w:sz w:val="14"/>
                <w:szCs w:val="14"/>
                <w:color w:val="auto"/>
              </w:rPr>
            </w:pPr>
          </w:p>
        </w:tc>
        <w:tc>
          <w:tcPr>
            <w:tcW w:w="3260" w:type="dxa"/>
            <w:vAlign w:val="bottom"/>
            <w:gridSpan w:val="10"/>
          </w:tcPr>
          <w:p>
            <w:pPr>
              <w:spacing w:after="0"/>
              <w:rPr>
                <w:sz w:val="14"/>
                <w:szCs w:val="14"/>
                <w:color w:val="auto"/>
              </w:rPr>
            </w:pP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6"/>
              </w:rPr>
              <w:t>S-1/A</w:t>
            </w:r>
          </w:p>
        </w:tc>
        <w:tc>
          <w:tcPr>
            <w:tcW w:w="1400" w:type="dxa"/>
            <w:vAlign w:val="bottom"/>
          </w:tcPr>
          <w:p>
            <w:pPr>
              <w:jc w:val="center"/>
              <w:ind w:right="9"/>
              <w:spacing w:after="0"/>
              <w:rPr>
                <w:sz w:val="20"/>
                <w:szCs w:val="20"/>
                <w:color w:val="auto"/>
              </w:rPr>
            </w:pPr>
            <w:r>
              <w:rPr>
                <w:rFonts w:ascii="Arial" w:cs="Arial" w:eastAsia="Arial" w:hAnsi="Arial"/>
                <w:sz w:val="14"/>
                <w:szCs w:val="14"/>
                <w:color w:val="auto"/>
                <w:w w:val="90"/>
              </w:rPr>
              <w:t>333-227445</w:t>
            </w: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240" w:type="dxa"/>
            <w:vAlign w:val="bottom"/>
          </w:tcPr>
          <w:p>
            <w:pPr>
              <w:jc w:val="right"/>
              <w:ind w:right="209"/>
              <w:spacing w:after="0"/>
              <w:rPr>
                <w:sz w:val="20"/>
                <w:szCs w:val="20"/>
                <w:color w:val="auto"/>
              </w:rPr>
            </w:pPr>
            <w:r>
              <w:rPr>
                <w:rFonts w:ascii="Arial" w:cs="Arial" w:eastAsia="Arial" w:hAnsi="Arial"/>
                <w:sz w:val="14"/>
                <w:szCs w:val="14"/>
                <w:color w:val="auto"/>
              </w:rPr>
              <w:t>10/5/2018</w:t>
            </w:r>
          </w:p>
        </w:tc>
      </w:tr>
      <w:tr>
        <w:trPr>
          <w:trHeight w:val="160"/>
        </w:trPr>
        <w:tc>
          <w:tcPr>
            <w:tcW w:w="1280" w:type="dxa"/>
            <w:vAlign w:val="bottom"/>
          </w:tcPr>
          <w:p>
            <w:pPr>
              <w:jc w:val="center"/>
              <w:ind w:right="209"/>
              <w:spacing w:after="0"/>
              <w:rPr>
                <w:sz w:val="20"/>
                <w:szCs w:val="20"/>
                <w:color w:val="auto"/>
              </w:rPr>
            </w:pPr>
            <w:r>
              <w:rPr>
                <w:rFonts w:ascii="Arial" w:cs="Arial" w:eastAsia="Arial" w:hAnsi="Arial"/>
                <w:sz w:val="14"/>
                <w:szCs w:val="14"/>
                <w:color w:val="auto"/>
                <w:w w:val="91"/>
              </w:rPr>
              <w:t>10.7#</w:t>
            </w:r>
          </w:p>
        </w:tc>
        <w:tc>
          <w:tcPr>
            <w:tcW w:w="5400" w:type="dxa"/>
            <w:vAlign w:val="bottom"/>
            <w:gridSpan w:val="16"/>
          </w:tcPr>
          <w:p>
            <w:pPr>
              <w:spacing w:after="0"/>
              <w:rPr>
                <w:rFonts w:ascii="Arial" w:cs="Arial" w:eastAsia="Arial" w:hAnsi="Arial"/>
                <w:sz w:val="14"/>
                <w:szCs w:val="14"/>
                <w:color w:val="0000FF"/>
              </w:rPr>
            </w:pPr>
            <w:hyperlink r:id="rId132">
              <w:r>
                <w:rPr>
                  <w:rFonts w:ascii="Arial" w:cs="Arial" w:eastAsia="Arial" w:hAnsi="Arial"/>
                  <w:sz w:val="14"/>
                  <w:szCs w:val="14"/>
                  <w:color w:val="0000FF"/>
                </w:rPr>
                <w:t>Manufacturing, Quality and Supply Agreement, dated January 31, 2017, between the</w:t>
              </w:r>
            </w:hyperlink>
          </w:p>
        </w:tc>
        <w:tc>
          <w:tcPr>
            <w:tcW w:w="860" w:type="dxa"/>
            <w:vAlign w:val="bottom"/>
          </w:tcPr>
          <w:p>
            <w:pPr>
              <w:jc w:val="center"/>
              <w:ind w:right="29"/>
              <w:spacing w:after="0"/>
              <w:rPr>
                <w:sz w:val="20"/>
                <w:szCs w:val="20"/>
                <w:color w:val="auto"/>
              </w:rPr>
            </w:pPr>
            <w:r>
              <w:rPr>
                <w:rFonts w:ascii="Arial" w:cs="Arial" w:eastAsia="Arial" w:hAnsi="Arial"/>
                <w:sz w:val="14"/>
                <w:szCs w:val="14"/>
                <w:color w:val="auto"/>
                <w:w w:val="91"/>
              </w:rPr>
              <w:t>S-1</w:t>
            </w:r>
          </w:p>
        </w:tc>
        <w:tc>
          <w:tcPr>
            <w:tcW w:w="1400" w:type="dxa"/>
            <w:vAlign w:val="bottom"/>
          </w:tcPr>
          <w:p>
            <w:pPr>
              <w:jc w:val="center"/>
              <w:ind w:right="9"/>
              <w:spacing w:after="0"/>
              <w:rPr>
                <w:sz w:val="20"/>
                <w:szCs w:val="20"/>
                <w:color w:val="auto"/>
              </w:rPr>
            </w:pPr>
            <w:r>
              <w:rPr>
                <w:rFonts w:ascii="Arial" w:cs="Arial" w:eastAsia="Arial" w:hAnsi="Arial"/>
                <w:sz w:val="14"/>
                <w:szCs w:val="14"/>
                <w:color w:val="auto"/>
                <w:w w:val="90"/>
              </w:rPr>
              <w:t>333-227445</w:t>
            </w: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240" w:type="dxa"/>
            <w:vAlign w:val="bottom"/>
          </w:tcPr>
          <w:p>
            <w:pPr>
              <w:jc w:val="right"/>
              <w:ind w:right="209"/>
              <w:spacing w:after="0"/>
              <w:rPr>
                <w:sz w:val="20"/>
                <w:szCs w:val="20"/>
                <w:color w:val="auto"/>
              </w:rPr>
            </w:pPr>
            <w:r>
              <w:rPr>
                <w:rFonts w:ascii="Arial" w:cs="Arial" w:eastAsia="Arial" w:hAnsi="Arial"/>
                <w:sz w:val="14"/>
                <w:szCs w:val="14"/>
                <w:color w:val="auto"/>
              </w:rPr>
              <w:t>9/20/2018</w:t>
            </w:r>
          </w:p>
        </w:tc>
      </w:tr>
      <w:tr>
        <w:trPr>
          <w:trHeight w:val="118"/>
        </w:trPr>
        <w:tc>
          <w:tcPr>
            <w:tcW w:w="1280" w:type="dxa"/>
            <w:vAlign w:val="bottom"/>
          </w:tcPr>
          <w:p>
            <w:pPr>
              <w:spacing w:after="0"/>
              <w:rPr>
                <w:sz w:val="10"/>
                <w:szCs w:val="10"/>
                <w:color w:val="auto"/>
              </w:rPr>
            </w:pPr>
          </w:p>
        </w:tc>
        <w:tc>
          <w:tcPr>
            <w:tcW w:w="402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7"/>
              </w:rPr>
            </w:pPr>
            <w:hyperlink r:id="rId132">
              <w:r>
                <w:rPr>
                  <w:rFonts w:ascii="Arial" w:cs="Arial" w:eastAsia="Arial" w:hAnsi="Arial"/>
                  <w:sz w:val="13"/>
                  <w:szCs w:val="13"/>
                  <w:color w:val="0000FF"/>
                  <w:w w:val="97"/>
                </w:rPr>
                <w:t>Registrant and rms Company and Addendum No. 1 dated July 7, 2017.</w:t>
              </w:r>
            </w:hyperlink>
          </w:p>
        </w:tc>
        <w:tc>
          <w:tcPr>
            <w:tcW w:w="800" w:type="dxa"/>
            <w:vAlign w:val="bottom"/>
            <w:tcBorders>
              <w:top w:val="single" w:sz="8" w:color="0000FF"/>
            </w:tcBorders>
            <w:gridSpan w:val="3"/>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71"/>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95"/>
              </w:rPr>
              <w:t>10.8+</w:t>
            </w:r>
          </w:p>
        </w:tc>
        <w:tc>
          <w:tcPr>
            <w:tcW w:w="5400" w:type="dxa"/>
            <w:vAlign w:val="bottom"/>
            <w:gridSpan w:val="16"/>
          </w:tcPr>
          <w:p>
            <w:pPr>
              <w:spacing w:after="0"/>
              <w:rPr>
                <w:rFonts w:ascii="Arial" w:cs="Arial" w:eastAsia="Arial" w:hAnsi="Arial"/>
                <w:sz w:val="14"/>
                <w:szCs w:val="14"/>
                <w:color w:val="0000FF"/>
                <w:w w:val="96"/>
              </w:rPr>
            </w:pPr>
            <w:hyperlink r:id="rId133">
              <w:r>
                <w:rPr>
                  <w:rFonts w:ascii="Arial" w:cs="Arial" w:eastAsia="Arial" w:hAnsi="Arial"/>
                  <w:sz w:val="14"/>
                  <w:szCs w:val="14"/>
                  <w:color w:val="0000FF"/>
                  <w:w w:val="96"/>
                </w:rPr>
                <w:t>Offer Letter Agreement, dated December 15, 2009, between the Registrant and Jeffrey W.</w:t>
              </w:r>
            </w:hyperlink>
          </w:p>
        </w:tc>
        <w:tc>
          <w:tcPr>
            <w:tcW w:w="860" w:type="dxa"/>
            <w:vAlign w:val="bottom"/>
          </w:tcPr>
          <w:p>
            <w:pPr>
              <w:jc w:val="center"/>
              <w:ind w:right="29"/>
              <w:spacing w:after="0"/>
              <w:rPr>
                <w:sz w:val="20"/>
                <w:szCs w:val="20"/>
                <w:color w:val="auto"/>
              </w:rPr>
            </w:pPr>
            <w:r>
              <w:rPr>
                <w:rFonts w:ascii="Arial" w:cs="Arial" w:eastAsia="Arial" w:hAnsi="Arial"/>
                <w:sz w:val="14"/>
                <w:szCs w:val="14"/>
                <w:color w:val="auto"/>
                <w:w w:val="91"/>
              </w:rPr>
              <w:t>S-1</w:t>
            </w:r>
          </w:p>
        </w:tc>
        <w:tc>
          <w:tcPr>
            <w:tcW w:w="1400" w:type="dxa"/>
            <w:vAlign w:val="bottom"/>
          </w:tcPr>
          <w:p>
            <w:pPr>
              <w:jc w:val="center"/>
              <w:ind w:right="9"/>
              <w:spacing w:after="0"/>
              <w:rPr>
                <w:sz w:val="20"/>
                <w:szCs w:val="20"/>
                <w:color w:val="auto"/>
              </w:rPr>
            </w:pPr>
            <w:r>
              <w:rPr>
                <w:rFonts w:ascii="Arial" w:cs="Arial" w:eastAsia="Arial" w:hAnsi="Arial"/>
                <w:sz w:val="14"/>
                <w:szCs w:val="14"/>
                <w:color w:val="auto"/>
                <w:w w:val="90"/>
              </w:rPr>
              <w:t>333-227445</w:t>
            </w: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1240" w:type="dxa"/>
            <w:vAlign w:val="bottom"/>
          </w:tcPr>
          <w:p>
            <w:pPr>
              <w:jc w:val="right"/>
              <w:ind w:right="209"/>
              <w:spacing w:after="0"/>
              <w:rPr>
                <w:sz w:val="20"/>
                <w:szCs w:val="20"/>
                <w:color w:val="auto"/>
              </w:rPr>
            </w:pPr>
            <w:r>
              <w:rPr>
                <w:rFonts w:ascii="Arial" w:cs="Arial" w:eastAsia="Arial" w:hAnsi="Arial"/>
                <w:sz w:val="14"/>
                <w:szCs w:val="14"/>
                <w:color w:val="auto"/>
              </w:rPr>
              <w:t>9/20/2018</w:t>
            </w:r>
          </w:p>
        </w:tc>
      </w:tr>
      <w:tr>
        <w:trPr>
          <w:trHeight w:val="118"/>
        </w:trPr>
        <w:tc>
          <w:tcPr>
            <w:tcW w:w="128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7"/>
              </w:rPr>
            </w:pPr>
            <w:hyperlink r:id="rId133">
              <w:r>
                <w:rPr>
                  <w:rFonts w:ascii="Arial" w:cs="Arial" w:eastAsia="Arial" w:hAnsi="Arial"/>
                  <w:sz w:val="13"/>
                  <w:szCs w:val="13"/>
                  <w:color w:val="0000FF"/>
                  <w:w w:val="97"/>
                </w:rPr>
                <w:t>Dunn.</w:t>
              </w:r>
            </w:hyperlink>
          </w:p>
        </w:tc>
        <w:tc>
          <w:tcPr>
            <w:tcW w:w="4740" w:type="dxa"/>
            <w:vAlign w:val="bottom"/>
            <w:tcBorders>
              <w:top w:val="single" w:sz="8" w:color="0000FF"/>
            </w:tcBorders>
            <w:gridSpan w:val="12"/>
          </w:tcPr>
          <w:p>
            <w:pPr>
              <w:spacing w:after="0"/>
              <w:rPr>
                <w:sz w:val="10"/>
                <w:szCs w:val="10"/>
                <w:color w:val="auto"/>
              </w:rPr>
            </w:pPr>
          </w:p>
        </w:tc>
        <w:tc>
          <w:tcPr>
            <w:tcW w:w="10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71"/>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95"/>
              </w:rPr>
              <w:t>10.9+</w:t>
            </w:r>
          </w:p>
        </w:tc>
        <w:tc>
          <w:tcPr>
            <w:tcW w:w="5400" w:type="dxa"/>
            <w:vAlign w:val="bottom"/>
            <w:gridSpan w:val="16"/>
          </w:tcPr>
          <w:p>
            <w:pPr>
              <w:spacing w:after="0"/>
              <w:rPr>
                <w:rFonts w:ascii="Arial" w:cs="Arial" w:eastAsia="Arial" w:hAnsi="Arial"/>
                <w:sz w:val="14"/>
                <w:szCs w:val="14"/>
                <w:color w:val="0000FF"/>
                <w:w w:val="97"/>
              </w:rPr>
            </w:pPr>
            <w:hyperlink r:id="rId134">
              <w:r>
                <w:rPr>
                  <w:rFonts w:ascii="Arial" w:cs="Arial" w:eastAsia="Arial" w:hAnsi="Arial"/>
                  <w:sz w:val="14"/>
                  <w:szCs w:val="14"/>
                  <w:color w:val="0000FF"/>
                  <w:w w:val="97"/>
                </w:rPr>
                <w:t>Offer Letter Agreement, dated February 19, 2015, between the Registrant and Michael A.</w:t>
              </w:r>
            </w:hyperlink>
          </w:p>
        </w:tc>
        <w:tc>
          <w:tcPr>
            <w:tcW w:w="860" w:type="dxa"/>
            <w:vAlign w:val="bottom"/>
          </w:tcPr>
          <w:p>
            <w:pPr>
              <w:jc w:val="center"/>
              <w:ind w:right="29"/>
              <w:spacing w:after="0"/>
              <w:rPr>
                <w:sz w:val="20"/>
                <w:szCs w:val="20"/>
                <w:color w:val="auto"/>
              </w:rPr>
            </w:pPr>
            <w:r>
              <w:rPr>
                <w:rFonts w:ascii="Arial" w:cs="Arial" w:eastAsia="Arial" w:hAnsi="Arial"/>
                <w:sz w:val="14"/>
                <w:szCs w:val="14"/>
                <w:color w:val="auto"/>
                <w:w w:val="91"/>
              </w:rPr>
              <w:t>S-1</w:t>
            </w:r>
          </w:p>
        </w:tc>
        <w:tc>
          <w:tcPr>
            <w:tcW w:w="1400" w:type="dxa"/>
            <w:vAlign w:val="bottom"/>
          </w:tcPr>
          <w:p>
            <w:pPr>
              <w:jc w:val="center"/>
              <w:ind w:right="9"/>
              <w:spacing w:after="0"/>
              <w:rPr>
                <w:sz w:val="20"/>
                <w:szCs w:val="20"/>
                <w:color w:val="auto"/>
              </w:rPr>
            </w:pPr>
            <w:r>
              <w:rPr>
                <w:rFonts w:ascii="Arial" w:cs="Arial" w:eastAsia="Arial" w:hAnsi="Arial"/>
                <w:sz w:val="14"/>
                <w:szCs w:val="14"/>
                <w:color w:val="auto"/>
                <w:w w:val="90"/>
              </w:rPr>
              <w:t>333-227445</w:t>
            </w: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10.8</w:t>
            </w:r>
          </w:p>
        </w:tc>
        <w:tc>
          <w:tcPr>
            <w:tcW w:w="1240" w:type="dxa"/>
            <w:vAlign w:val="bottom"/>
          </w:tcPr>
          <w:p>
            <w:pPr>
              <w:jc w:val="right"/>
              <w:ind w:right="209"/>
              <w:spacing w:after="0"/>
              <w:rPr>
                <w:sz w:val="20"/>
                <w:szCs w:val="20"/>
                <w:color w:val="auto"/>
              </w:rPr>
            </w:pPr>
            <w:r>
              <w:rPr>
                <w:rFonts w:ascii="Arial" w:cs="Arial" w:eastAsia="Arial" w:hAnsi="Arial"/>
                <w:sz w:val="14"/>
                <w:szCs w:val="14"/>
                <w:color w:val="auto"/>
              </w:rPr>
              <w:t>9/20/2018</w:t>
            </w:r>
          </w:p>
        </w:tc>
      </w:tr>
      <w:tr>
        <w:trPr>
          <w:trHeight w:val="118"/>
        </w:trPr>
        <w:tc>
          <w:tcPr>
            <w:tcW w:w="1280" w:type="dxa"/>
            <w:vAlign w:val="bottom"/>
          </w:tcPr>
          <w:p>
            <w:pPr>
              <w:spacing w:after="0"/>
              <w:rPr>
                <w:sz w:val="10"/>
                <w:szCs w:val="10"/>
                <w:color w:val="auto"/>
              </w:rPr>
            </w:pPr>
          </w:p>
        </w:tc>
        <w:tc>
          <w:tcPr>
            <w:tcW w:w="4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4"/>
              </w:rPr>
            </w:pPr>
            <w:hyperlink r:id="rId134">
              <w:r>
                <w:rPr>
                  <w:rFonts w:ascii="Arial" w:cs="Arial" w:eastAsia="Arial" w:hAnsi="Arial"/>
                  <w:sz w:val="13"/>
                  <w:szCs w:val="13"/>
                  <w:color w:val="0000FF"/>
                  <w:w w:val="94"/>
                </w:rPr>
                <w:t>Pisetsky</w:t>
              </w:r>
            </w:hyperlink>
          </w:p>
        </w:tc>
        <w:tc>
          <w:tcPr>
            <w:tcW w:w="4600" w:type="dxa"/>
            <w:vAlign w:val="bottom"/>
            <w:tcBorders>
              <w:top w:val="single" w:sz="8" w:color="0000FF"/>
            </w:tcBorders>
            <w:gridSpan w:val="10"/>
          </w:tcPr>
          <w:p>
            <w:pPr>
              <w:spacing w:after="0"/>
              <w:rPr>
                <w:sz w:val="10"/>
                <w:szCs w:val="10"/>
                <w:color w:val="auto"/>
              </w:rPr>
            </w:pPr>
          </w:p>
        </w:tc>
        <w:tc>
          <w:tcPr>
            <w:tcW w:w="120" w:type="dxa"/>
            <w:vAlign w:val="bottom"/>
            <w:gridSpan w:val="3"/>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71"/>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87"/>
              </w:rPr>
              <w:t>10.10+</w:t>
            </w:r>
          </w:p>
        </w:tc>
        <w:tc>
          <w:tcPr>
            <w:tcW w:w="5400" w:type="dxa"/>
            <w:vAlign w:val="bottom"/>
            <w:gridSpan w:val="16"/>
          </w:tcPr>
          <w:p>
            <w:pPr>
              <w:spacing w:after="0"/>
              <w:rPr>
                <w:rFonts w:ascii="Arial" w:cs="Arial" w:eastAsia="Arial" w:hAnsi="Arial"/>
                <w:sz w:val="14"/>
                <w:szCs w:val="14"/>
                <w:color w:val="0000FF"/>
              </w:rPr>
            </w:pPr>
            <w:hyperlink r:id="rId135">
              <w:r>
                <w:rPr>
                  <w:rFonts w:ascii="Arial" w:cs="Arial" w:eastAsia="Arial" w:hAnsi="Arial"/>
                  <w:sz w:val="14"/>
                  <w:szCs w:val="14"/>
                  <w:color w:val="0000FF"/>
                </w:rPr>
                <w:t>Letter Regarding Change to Employment Terms, dated June 20, 2016, between the</w:t>
              </w:r>
            </w:hyperlink>
          </w:p>
        </w:tc>
        <w:tc>
          <w:tcPr>
            <w:tcW w:w="860" w:type="dxa"/>
            <w:vAlign w:val="bottom"/>
          </w:tcPr>
          <w:p>
            <w:pPr>
              <w:jc w:val="center"/>
              <w:ind w:right="29"/>
              <w:spacing w:after="0"/>
              <w:rPr>
                <w:sz w:val="20"/>
                <w:szCs w:val="20"/>
                <w:color w:val="auto"/>
              </w:rPr>
            </w:pPr>
            <w:r>
              <w:rPr>
                <w:rFonts w:ascii="Arial" w:cs="Arial" w:eastAsia="Arial" w:hAnsi="Arial"/>
                <w:sz w:val="14"/>
                <w:szCs w:val="14"/>
                <w:color w:val="auto"/>
                <w:w w:val="91"/>
              </w:rPr>
              <w:t>S-1</w:t>
            </w:r>
          </w:p>
        </w:tc>
        <w:tc>
          <w:tcPr>
            <w:tcW w:w="1400" w:type="dxa"/>
            <w:vAlign w:val="bottom"/>
          </w:tcPr>
          <w:p>
            <w:pPr>
              <w:jc w:val="center"/>
              <w:ind w:right="9"/>
              <w:spacing w:after="0"/>
              <w:rPr>
                <w:sz w:val="20"/>
                <w:szCs w:val="20"/>
                <w:color w:val="auto"/>
              </w:rPr>
            </w:pPr>
            <w:r>
              <w:rPr>
                <w:rFonts w:ascii="Arial" w:cs="Arial" w:eastAsia="Arial" w:hAnsi="Arial"/>
                <w:sz w:val="14"/>
                <w:szCs w:val="14"/>
                <w:color w:val="auto"/>
                <w:w w:val="90"/>
              </w:rPr>
              <w:t>333-227445</w:t>
            </w: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1240" w:type="dxa"/>
            <w:vAlign w:val="bottom"/>
          </w:tcPr>
          <w:p>
            <w:pPr>
              <w:jc w:val="right"/>
              <w:ind w:right="209"/>
              <w:spacing w:after="0"/>
              <w:rPr>
                <w:sz w:val="20"/>
                <w:szCs w:val="20"/>
                <w:color w:val="auto"/>
              </w:rPr>
            </w:pPr>
            <w:r>
              <w:rPr>
                <w:rFonts w:ascii="Arial" w:cs="Arial" w:eastAsia="Arial" w:hAnsi="Arial"/>
                <w:sz w:val="14"/>
                <w:szCs w:val="14"/>
                <w:color w:val="auto"/>
              </w:rPr>
              <w:t>9/20/2018</w:t>
            </w:r>
          </w:p>
        </w:tc>
      </w:tr>
      <w:tr>
        <w:trPr>
          <w:trHeight w:val="118"/>
        </w:trPr>
        <w:tc>
          <w:tcPr>
            <w:tcW w:w="1280" w:type="dxa"/>
            <w:vAlign w:val="bottom"/>
          </w:tcPr>
          <w:p>
            <w:pPr>
              <w:spacing w:after="0"/>
              <w:rPr>
                <w:sz w:val="10"/>
                <w:szCs w:val="10"/>
                <w:color w:val="auto"/>
              </w:rPr>
            </w:pPr>
          </w:p>
        </w:tc>
        <w:tc>
          <w:tcPr>
            <w:tcW w:w="4680" w:type="dxa"/>
            <w:vAlign w:val="bottom"/>
            <w:tcBorders>
              <w:top w:val="single" w:sz="8" w:color="0000FF"/>
            </w:tcBorders>
            <w:gridSpan w:val="9"/>
          </w:tcPr>
          <w:p>
            <w:pPr>
              <w:spacing w:after="0" w:line="118" w:lineRule="exact"/>
              <w:rPr>
                <w:rFonts w:ascii="Arial" w:cs="Arial" w:eastAsia="Arial" w:hAnsi="Arial"/>
                <w:sz w:val="13"/>
                <w:szCs w:val="13"/>
                <w:color w:val="0000FF"/>
              </w:rPr>
            </w:pPr>
            <w:hyperlink r:id="rId135">
              <w:r>
                <w:rPr>
                  <w:rFonts w:ascii="Arial" w:cs="Arial" w:eastAsia="Arial" w:hAnsi="Arial"/>
                  <w:sz w:val="13"/>
                  <w:szCs w:val="13"/>
                  <w:color w:val="0000FF"/>
                </w:rPr>
                <w:t>Registrant and Michael A. Pisetsky.</w:t>
              </w:r>
            </w:hyperlink>
          </w:p>
        </w:tc>
        <w:tc>
          <w:tcPr>
            <w:tcW w:w="120" w:type="dxa"/>
            <w:vAlign w:val="bottom"/>
          </w:tcPr>
          <w:p>
            <w:pPr>
              <w:spacing w:after="0"/>
              <w:rPr>
                <w:sz w:val="10"/>
                <w:szCs w:val="10"/>
                <w:color w:val="auto"/>
              </w:rPr>
            </w:pPr>
          </w:p>
        </w:tc>
        <w:tc>
          <w:tcPr>
            <w:tcW w:w="400" w:type="dxa"/>
            <w:vAlign w:val="bottom"/>
            <w:gridSpan w:val="5"/>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1"/>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87"/>
              </w:rPr>
              <w:t>10.11+</w:t>
            </w:r>
          </w:p>
        </w:tc>
        <w:tc>
          <w:tcPr>
            <w:tcW w:w="5400" w:type="dxa"/>
            <w:vAlign w:val="bottom"/>
            <w:gridSpan w:val="16"/>
          </w:tcPr>
          <w:p>
            <w:pPr>
              <w:spacing w:after="0"/>
              <w:rPr>
                <w:rFonts w:ascii="Arial" w:cs="Arial" w:eastAsia="Arial" w:hAnsi="Arial"/>
                <w:sz w:val="14"/>
                <w:szCs w:val="14"/>
                <w:color w:val="0000FF"/>
              </w:rPr>
            </w:pPr>
            <w:hyperlink r:id="rId136">
              <w:r>
                <w:rPr>
                  <w:rFonts w:ascii="Arial" w:cs="Arial" w:eastAsia="Arial" w:hAnsi="Arial"/>
                  <w:sz w:val="14"/>
                  <w:szCs w:val="14"/>
                  <w:color w:val="0000FF"/>
                </w:rPr>
                <w:t>Offer Letter Agreement, dated June 19, 2016, between the Registrant and Anthony J.</w:t>
              </w:r>
            </w:hyperlink>
          </w:p>
        </w:tc>
        <w:tc>
          <w:tcPr>
            <w:tcW w:w="860" w:type="dxa"/>
            <w:vAlign w:val="bottom"/>
          </w:tcPr>
          <w:p>
            <w:pPr>
              <w:jc w:val="center"/>
              <w:ind w:right="29"/>
              <w:spacing w:after="0"/>
              <w:rPr>
                <w:sz w:val="20"/>
                <w:szCs w:val="20"/>
                <w:color w:val="auto"/>
              </w:rPr>
            </w:pPr>
            <w:r>
              <w:rPr>
                <w:rFonts w:ascii="Arial" w:cs="Arial" w:eastAsia="Arial" w:hAnsi="Arial"/>
                <w:sz w:val="14"/>
                <w:szCs w:val="14"/>
                <w:color w:val="auto"/>
                <w:w w:val="91"/>
              </w:rPr>
              <w:t>S-1</w:t>
            </w:r>
          </w:p>
        </w:tc>
        <w:tc>
          <w:tcPr>
            <w:tcW w:w="1400" w:type="dxa"/>
            <w:vAlign w:val="bottom"/>
          </w:tcPr>
          <w:p>
            <w:pPr>
              <w:jc w:val="center"/>
              <w:ind w:right="9"/>
              <w:spacing w:after="0"/>
              <w:rPr>
                <w:sz w:val="20"/>
                <w:szCs w:val="20"/>
                <w:color w:val="auto"/>
              </w:rPr>
            </w:pPr>
            <w:r>
              <w:rPr>
                <w:rFonts w:ascii="Arial" w:cs="Arial" w:eastAsia="Arial" w:hAnsi="Arial"/>
                <w:sz w:val="14"/>
                <w:szCs w:val="14"/>
                <w:color w:val="auto"/>
                <w:w w:val="90"/>
              </w:rPr>
              <w:t>333-227445</w:t>
            </w:r>
          </w:p>
        </w:tc>
        <w:tc>
          <w:tcPr>
            <w:tcW w:w="1100" w:type="dxa"/>
            <w:vAlign w:val="bottom"/>
          </w:tcPr>
          <w:p>
            <w:pPr>
              <w:jc w:val="center"/>
              <w:spacing w:after="0"/>
              <w:rPr>
                <w:sz w:val="20"/>
                <w:szCs w:val="20"/>
                <w:color w:val="auto"/>
              </w:rPr>
            </w:pPr>
            <w:r>
              <w:rPr>
                <w:rFonts w:ascii="Arial" w:cs="Arial" w:eastAsia="Arial" w:hAnsi="Arial"/>
                <w:sz w:val="14"/>
                <w:szCs w:val="14"/>
                <w:color w:val="auto"/>
                <w:w w:val="85"/>
              </w:rPr>
              <w:t>10.18</w:t>
            </w:r>
          </w:p>
        </w:tc>
        <w:tc>
          <w:tcPr>
            <w:tcW w:w="1240" w:type="dxa"/>
            <w:vAlign w:val="bottom"/>
          </w:tcPr>
          <w:p>
            <w:pPr>
              <w:jc w:val="right"/>
              <w:ind w:right="209"/>
              <w:spacing w:after="0"/>
              <w:rPr>
                <w:sz w:val="20"/>
                <w:szCs w:val="20"/>
                <w:color w:val="auto"/>
              </w:rPr>
            </w:pPr>
            <w:r>
              <w:rPr>
                <w:rFonts w:ascii="Arial" w:cs="Arial" w:eastAsia="Arial" w:hAnsi="Arial"/>
                <w:sz w:val="14"/>
                <w:szCs w:val="14"/>
                <w:color w:val="auto"/>
              </w:rPr>
              <w:t>9/20/2018</w:t>
            </w:r>
          </w:p>
        </w:tc>
      </w:tr>
      <w:tr>
        <w:trPr>
          <w:trHeight w:val="118"/>
        </w:trPr>
        <w:tc>
          <w:tcPr>
            <w:tcW w:w="1280" w:type="dxa"/>
            <w:vAlign w:val="bottom"/>
          </w:tcPr>
          <w:p>
            <w:pPr>
              <w:spacing w:after="0"/>
              <w:rPr>
                <w:sz w:val="10"/>
                <w:szCs w:val="10"/>
                <w:color w:val="auto"/>
              </w:rPr>
            </w:pPr>
          </w:p>
        </w:tc>
        <w:tc>
          <w:tcPr>
            <w:tcW w:w="58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3"/>
              </w:rPr>
            </w:pPr>
            <w:hyperlink r:id="rId136">
              <w:r>
                <w:rPr>
                  <w:rFonts w:ascii="Arial" w:cs="Arial" w:eastAsia="Arial" w:hAnsi="Arial"/>
                  <w:sz w:val="13"/>
                  <w:szCs w:val="13"/>
                  <w:color w:val="0000FF"/>
                  <w:w w:val="93"/>
                </w:rPr>
                <w:t>Recupero.</w:t>
              </w:r>
            </w:hyperlink>
          </w:p>
        </w:tc>
        <w:tc>
          <w:tcPr>
            <w:tcW w:w="4220" w:type="dxa"/>
            <w:vAlign w:val="bottom"/>
            <w:tcBorders>
              <w:top w:val="single" w:sz="8" w:color="0000FF"/>
            </w:tcBorders>
            <w:gridSpan w:val="7"/>
          </w:tcPr>
          <w:p>
            <w:pPr>
              <w:spacing w:after="0"/>
              <w:rPr>
                <w:sz w:val="10"/>
                <w:szCs w:val="10"/>
                <w:color w:val="auto"/>
              </w:rPr>
            </w:pPr>
          </w:p>
        </w:tc>
        <w:tc>
          <w:tcPr>
            <w:tcW w:w="400" w:type="dxa"/>
            <w:vAlign w:val="bottom"/>
            <w:gridSpan w:val="5"/>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71"/>
        </w:trPr>
        <w:tc>
          <w:tcPr>
            <w:tcW w:w="1280" w:type="dxa"/>
            <w:vAlign w:val="bottom"/>
          </w:tcPr>
          <w:p>
            <w:pPr>
              <w:jc w:val="right"/>
              <w:ind w:right="509"/>
              <w:spacing w:after="0"/>
              <w:rPr>
                <w:sz w:val="20"/>
                <w:szCs w:val="20"/>
                <w:color w:val="auto"/>
              </w:rPr>
            </w:pPr>
            <w:r>
              <w:rPr>
                <w:rFonts w:ascii="Arial" w:cs="Arial" w:eastAsia="Arial" w:hAnsi="Arial"/>
                <w:sz w:val="14"/>
                <w:szCs w:val="14"/>
                <w:color w:val="auto"/>
              </w:rPr>
              <w:t>10.12</w:t>
            </w:r>
          </w:p>
        </w:tc>
        <w:tc>
          <w:tcPr>
            <w:tcW w:w="5400" w:type="dxa"/>
            <w:vAlign w:val="bottom"/>
            <w:gridSpan w:val="16"/>
          </w:tcPr>
          <w:p>
            <w:pPr>
              <w:spacing w:after="0"/>
              <w:rPr>
                <w:rFonts w:ascii="Arial" w:cs="Arial" w:eastAsia="Arial" w:hAnsi="Arial"/>
                <w:sz w:val="14"/>
                <w:szCs w:val="14"/>
                <w:color w:val="0000FF"/>
                <w:w w:val="93"/>
              </w:rPr>
            </w:pPr>
            <w:hyperlink r:id="rId137">
              <w:r>
                <w:rPr>
                  <w:rFonts w:ascii="Arial" w:cs="Arial" w:eastAsia="Arial" w:hAnsi="Arial"/>
                  <w:sz w:val="14"/>
                  <w:szCs w:val="14"/>
                  <w:color w:val="0000FF"/>
                  <w:w w:val="93"/>
                </w:rPr>
                <w:t>Amended and Restated Investors’ Rights Agreement, dated June 2, 2016, by and among the</w:t>
              </w:r>
            </w:hyperlink>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6"/>
              </w:rPr>
              <w:t>S-1/A</w:t>
            </w:r>
          </w:p>
        </w:tc>
        <w:tc>
          <w:tcPr>
            <w:tcW w:w="1400" w:type="dxa"/>
            <w:vAlign w:val="bottom"/>
          </w:tcPr>
          <w:p>
            <w:pPr>
              <w:jc w:val="center"/>
              <w:ind w:right="9"/>
              <w:spacing w:after="0"/>
              <w:rPr>
                <w:sz w:val="20"/>
                <w:szCs w:val="20"/>
                <w:color w:val="auto"/>
              </w:rPr>
            </w:pPr>
            <w:r>
              <w:rPr>
                <w:rFonts w:ascii="Arial" w:cs="Arial" w:eastAsia="Arial" w:hAnsi="Arial"/>
                <w:sz w:val="14"/>
                <w:szCs w:val="14"/>
                <w:color w:val="auto"/>
                <w:w w:val="90"/>
              </w:rPr>
              <w:t>333-227445</w:t>
            </w:r>
          </w:p>
        </w:tc>
        <w:tc>
          <w:tcPr>
            <w:tcW w:w="1100" w:type="dxa"/>
            <w:vAlign w:val="bottom"/>
          </w:tcPr>
          <w:p>
            <w:pPr>
              <w:jc w:val="center"/>
              <w:spacing w:after="0"/>
              <w:rPr>
                <w:sz w:val="20"/>
                <w:szCs w:val="20"/>
                <w:color w:val="auto"/>
              </w:rPr>
            </w:pPr>
            <w:r>
              <w:rPr>
                <w:rFonts w:ascii="Arial" w:cs="Arial" w:eastAsia="Arial" w:hAnsi="Arial"/>
                <w:sz w:val="14"/>
                <w:szCs w:val="14"/>
                <w:color w:val="auto"/>
                <w:w w:val="85"/>
              </w:rPr>
              <w:t>10.21</w:t>
            </w:r>
          </w:p>
        </w:tc>
        <w:tc>
          <w:tcPr>
            <w:tcW w:w="1240" w:type="dxa"/>
            <w:vAlign w:val="bottom"/>
          </w:tcPr>
          <w:p>
            <w:pPr>
              <w:jc w:val="right"/>
              <w:ind w:right="209"/>
              <w:spacing w:after="0"/>
              <w:rPr>
                <w:sz w:val="20"/>
                <w:szCs w:val="20"/>
                <w:color w:val="auto"/>
              </w:rPr>
            </w:pPr>
            <w:r>
              <w:rPr>
                <w:rFonts w:ascii="Arial" w:cs="Arial" w:eastAsia="Arial" w:hAnsi="Arial"/>
                <w:sz w:val="14"/>
                <w:szCs w:val="14"/>
                <w:color w:val="auto"/>
              </w:rPr>
              <w:t>10/5/2018</w:t>
            </w:r>
          </w:p>
        </w:tc>
      </w:tr>
      <w:tr>
        <w:trPr>
          <w:trHeight w:val="118"/>
        </w:trPr>
        <w:tc>
          <w:tcPr>
            <w:tcW w:w="1280" w:type="dxa"/>
            <w:vAlign w:val="bottom"/>
          </w:tcPr>
          <w:p>
            <w:pPr>
              <w:spacing w:after="0"/>
              <w:rPr>
                <w:sz w:val="10"/>
                <w:szCs w:val="10"/>
                <w:color w:val="auto"/>
              </w:rPr>
            </w:pPr>
          </w:p>
        </w:tc>
        <w:tc>
          <w:tcPr>
            <w:tcW w:w="520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37">
              <w:r>
                <w:rPr>
                  <w:rFonts w:ascii="Arial" w:cs="Arial" w:eastAsia="Arial" w:hAnsi="Arial"/>
                  <w:sz w:val="13"/>
                  <w:szCs w:val="13"/>
                  <w:color w:val="0000FF"/>
                </w:rPr>
                <w:t>Registrant and the parties thereto, as amended on October 4, 2018.</w:t>
              </w:r>
            </w:hyperlink>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606"/>
        </w:trPr>
        <w:tc>
          <w:tcPr>
            <w:tcW w:w="1280" w:type="dxa"/>
            <w:vAlign w:val="bottom"/>
          </w:tcPr>
          <w:p>
            <w:pPr>
              <w:spacing w:after="0"/>
              <w:rPr>
                <w:sz w:val="24"/>
                <w:szCs w:val="24"/>
                <w:color w:val="auto"/>
              </w:rPr>
            </w:pPr>
          </w:p>
        </w:tc>
        <w:tc>
          <w:tcPr>
            <w:tcW w:w="3760" w:type="dxa"/>
            <w:vAlign w:val="bottom"/>
            <w:tcBorders>
              <w:top w:val="single" w:sz="8" w:color="0000FF"/>
            </w:tcBorders>
            <w:gridSpan w:val="7"/>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7"/>
        </w:trPr>
        <w:tc>
          <w:tcPr>
            <w:tcW w:w="1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1"/>
              </w:rPr>
              <w:t>10.13</w:t>
            </w:r>
          </w:p>
        </w:tc>
        <w:tc>
          <w:tcPr>
            <w:tcW w:w="5440" w:type="dxa"/>
            <w:vAlign w:val="bottom"/>
            <w:gridSpan w:val="33"/>
          </w:tcPr>
          <w:p>
            <w:pPr>
              <w:spacing w:after="0"/>
              <w:rPr>
                <w:rFonts w:ascii="Arial" w:cs="Arial" w:eastAsia="Arial" w:hAnsi="Arial"/>
                <w:sz w:val="14"/>
                <w:szCs w:val="14"/>
                <w:color w:val="0000FF"/>
              </w:rPr>
            </w:pPr>
            <w:hyperlink r:id="rId140">
              <w:r>
                <w:rPr>
                  <w:rFonts w:ascii="Arial" w:cs="Arial" w:eastAsia="Arial" w:hAnsi="Arial"/>
                  <w:sz w:val="14"/>
                  <w:szCs w:val="14"/>
                  <w:color w:val="0000FF"/>
                </w:rPr>
                <w:t>Addendum No. 2 to Manufacturing, Quality and Supply Agreement, dated July 1, 2020,</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rPr>
              <w:t>10-K</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85"/>
              </w:rPr>
              <w:t>10.16</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89"/>
              </w:rPr>
              <w:t>3/10/2021</w:t>
            </w:r>
          </w:p>
        </w:tc>
      </w:tr>
      <w:tr>
        <w:trPr>
          <w:trHeight w:val="118"/>
        </w:trPr>
        <w:tc>
          <w:tcPr>
            <w:tcW w:w="1280" w:type="dxa"/>
            <w:vAlign w:val="bottom"/>
          </w:tcPr>
          <w:p>
            <w:pPr>
              <w:spacing w:after="0"/>
              <w:rPr>
                <w:sz w:val="10"/>
                <w:szCs w:val="10"/>
                <w:color w:val="auto"/>
              </w:rPr>
            </w:pPr>
          </w:p>
        </w:tc>
        <w:tc>
          <w:tcPr>
            <w:tcW w:w="240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6"/>
              </w:rPr>
            </w:pPr>
            <w:hyperlink r:id="rId140">
              <w:r>
                <w:rPr>
                  <w:rFonts w:ascii="Arial" w:cs="Arial" w:eastAsia="Arial" w:hAnsi="Arial"/>
                  <w:sz w:val="13"/>
                  <w:szCs w:val="13"/>
                  <w:color w:val="0000FF"/>
                  <w:w w:val="96"/>
                </w:rPr>
                <w:t>between the Registrant and rsm Company.</w:t>
              </w:r>
            </w:hyperlink>
          </w:p>
        </w:tc>
        <w:tc>
          <w:tcPr>
            <w:tcW w:w="2580" w:type="dxa"/>
            <w:vAlign w:val="bottom"/>
            <w:tcBorders>
              <w:top w:val="single" w:sz="8" w:color="0000FF"/>
            </w:tcBorders>
            <w:gridSpan w:val="19"/>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1"/>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3"/>
              </w:rPr>
              <w:t>10.14#</w:t>
            </w:r>
          </w:p>
        </w:tc>
        <w:tc>
          <w:tcPr>
            <w:tcW w:w="5440" w:type="dxa"/>
            <w:vAlign w:val="bottom"/>
            <w:gridSpan w:val="33"/>
          </w:tcPr>
          <w:p>
            <w:pPr>
              <w:spacing w:after="0"/>
              <w:rPr>
                <w:rFonts w:ascii="Arial" w:cs="Arial" w:eastAsia="Arial" w:hAnsi="Arial"/>
                <w:sz w:val="14"/>
                <w:szCs w:val="14"/>
                <w:color w:val="0000FF"/>
                <w:w w:val="93"/>
              </w:rPr>
            </w:pPr>
            <w:hyperlink r:id="rId141">
              <w:r>
                <w:rPr>
                  <w:rFonts w:ascii="Arial" w:cs="Arial" w:eastAsia="Arial" w:hAnsi="Arial"/>
                  <w:sz w:val="14"/>
                  <w:szCs w:val="14"/>
                  <w:color w:val="0000FF"/>
                  <w:w w:val="93"/>
                </w:rPr>
                <w:t>Amended and Restated Manufacturing, Quality and Supply Agreement, dated June 11, 2021,</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10-Q</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95"/>
              </w:rPr>
              <w:t>8/4/2021</w:t>
            </w:r>
          </w:p>
        </w:tc>
      </w:tr>
      <w:tr>
        <w:trPr>
          <w:trHeight w:val="118"/>
        </w:trPr>
        <w:tc>
          <w:tcPr>
            <w:tcW w:w="1280" w:type="dxa"/>
            <w:vAlign w:val="bottom"/>
          </w:tcPr>
          <w:p>
            <w:pPr>
              <w:spacing w:after="0"/>
              <w:rPr>
                <w:sz w:val="10"/>
                <w:szCs w:val="10"/>
                <w:color w:val="auto"/>
              </w:rPr>
            </w:pPr>
          </w:p>
        </w:tc>
        <w:tc>
          <w:tcPr>
            <w:tcW w:w="5260" w:type="dxa"/>
            <w:vAlign w:val="bottom"/>
            <w:tcBorders>
              <w:top w:val="single" w:sz="8" w:color="0000FF"/>
            </w:tcBorders>
            <w:gridSpan w:val="32"/>
          </w:tcPr>
          <w:p>
            <w:pPr>
              <w:spacing w:after="0" w:line="118" w:lineRule="exact"/>
              <w:rPr>
                <w:rFonts w:ascii="Arial" w:cs="Arial" w:eastAsia="Arial" w:hAnsi="Arial"/>
                <w:sz w:val="13"/>
                <w:szCs w:val="13"/>
                <w:color w:val="0000FF"/>
              </w:rPr>
            </w:pPr>
            <w:hyperlink r:id="rId141">
              <w:r>
                <w:rPr>
                  <w:rFonts w:ascii="Arial" w:cs="Arial" w:eastAsia="Arial" w:hAnsi="Arial"/>
                  <w:sz w:val="13"/>
                  <w:szCs w:val="13"/>
                  <w:color w:val="0000FF"/>
                </w:rPr>
                <w:t>between the Registrant and rms Company</w:t>
              </w:r>
            </w:hyperlink>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1"/>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87"/>
              </w:rPr>
              <w:t>10.15+</w:t>
            </w:r>
          </w:p>
        </w:tc>
        <w:tc>
          <w:tcPr>
            <w:tcW w:w="5440" w:type="dxa"/>
            <w:vAlign w:val="bottom"/>
            <w:gridSpan w:val="33"/>
          </w:tcPr>
          <w:p>
            <w:pPr>
              <w:spacing w:after="0"/>
              <w:rPr>
                <w:rFonts w:ascii="Arial" w:cs="Arial" w:eastAsia="Arial" w:hAnsi="Arial"/>
                <w:sz w:val="14"/>
                <w:szCs w:val="14"/>
                <w:color w:val="0000FF"/>
              </w:rPr>
            </w:pPr>
            <w:hyperlink r:id="rId142">
              <w:r>
                <w:rPr>
                  <w:rFonts w:ascii="Arial" w:cs="Arial" w:eastAsia="Arial" w:hAnsi="Arial"/>
                  <w:sz w:val="14"/>
                  <w:szCs w:val="14"/>
                  <w:color w:val="0000FF"/>
                </w:rPr>
                <w:t>Form of Restricted Stock Unit Grant Notice and Award Agreement.</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S-1</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333-227445</w:t>
            </w:r>
          </w:p>
        </w:tc>
        <w:tc>
          <w:tcPr>
            <w:tcW w:w="1200" w:type="dxa"/>
            <w:vAlign w:val="bottom"/>
          </w:tcPr>
          <w:p>
            <w:pPr>
              <w:jc w:val="center"/>
              <w:spacing w:after="0"/>
              <w:rPr>
                <w:sz w:val="20"/>
                <w:szCs w:val="20"/>
                <w:color w:val="auto"/>
              </w:rPr>
            </w:pPr>
            <w:r>
              <w:rPr>
                <w:rFonts w:ascii="Arial" w:cs="Arial" w:eastAsia="Arial" w:hAnsi="Arial"/>
                <w:sz w:val="14"/>
                <w:szCs w:val="14"/>
                <w:color w:val="auto"/>
                <w:w w:val="85"/>
              </w:rPr>
              <w:t>10.30</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89"/>
              </w:rPr>
              <w:t>9/20/2018</w:t>
            </w:r>
          </w:p>
        </w:tc>
      </w:tr>
      <w:tr>
        <w:trPr>
          <w:trHeight w:val="160"/>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87"/>
              </w:rPr>
              <w:t>10.16+</w:t>
            </w:r>
          </w:p>
        </w:tc>
        <w:tc>
          <w:tcPr>
            <w:tcW w:w="3820" w:type="dxa"/>
            <w:vAlign w:val="bottom"/>
            <w:tcBorders>
              <w:top w:val="single" w:sz="8" w:color="0000FF"/>
            </w:tcBorders>
            <w:gridSpan w:val="16"/>
          </w:tcPr>
          <w:p>
            <w:pPr>
              <w:spacing w:after="0"/>
              <w:rPr>
                <w:rFonts w:ascii="Arial" w:cs="Arial" w:eastAsia="Arial" w:hAnsi="Arial"/>
                <w:sz w:val="14"/>
                <w:szCs w:val="14"/>
                <w:color w:val="0000FF"/>
              </w:rPr>
            </w:pPr>
            <w:hyperlink r:id="rId143">
              <w:r>
                <w:rPr>
                  <w:rFonts w:ascii="Arial" w:cs="Arial" w:eastAsia="Arial" w:hAnsi="Arial"/>
                  <w:sz w:val="14"/>
                  <w:szCs w:val="14"/>
                  <w:color w:val="0000FF"/>
                </w:rPr>
                <w:t>Amendment to Restricted Stock Units of Laura Francis</w:t>
              </w:r>
            </w:hyperlink>
          </w:p>
        </w:tc>
        <w:tc>
          <w:tcPr>
            <w:tcW w:w="1620" w:type="dxa"/>
            <w:vAlign w:val="bottom"/>
            <w:gridSpan w:val="17"/>
          </w:tcPr>
          <w:p>
            <w:pPr>
              <w:spacing w:after="0"/>
              <w:rPr>
                <w:sz w:val="13"/>
                <w:szCs w:val="13"/>
                <w:color w:val="auto"/>
              </w:rPr>
            </w:pPr>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10-Q</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91"/>
              </w:rPr>
              <w:t>11/12/2019</w:t>
            </w:r>
          </w:p>
        </w:tc>
      </w:tr>
      <w:tr>
        <w:trPr>
          <w:trHeight w:val="160"/>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87"/>
              </w:rPr>
              <w:t>10.17+</w:t>
            </w:r>
          </w:p>
        </w:tc>
        <w:tc>
          <w:tcPr>
            <w:tcW w:w="2620" w:type="dxa"/>
            <w:vAlign w:val="bottom"/>
            <w:tcBorders>
              <w:top w:val="single" w:sz="8" w:color="0000FF"/>
              <w:bottom w:val="single" w:sz="8" w:color="0000FF"/>
            </w:tcBorders>
            <w:gridSpan w:val="8"/>
          </w:tcPr>
          <w:p>
            <w:pPr>
              <w:spacing w:after="0"/>
              <w:rPr>
                <w:rFonts w:ascii="Arial" w:cs="Arial" w:eastAsia="Arial" w:hAnsi="Arial"/>
                <w:sz w:val="14"/>
                <w:szCs w:val="14"/>
                <w:color w:val="0000FF"/>
                <w:w w:val="93"/>
              </w:rPr>
            </w:pPr>
            <w:hyperlink r:id="rId144">
              <w:r>
                <w:rPr>
                  <w:rFonts w:ascii="Arial" w:cs="Arial" w:eastAsia="Arial" w:hAnsi="Arial"/>
                  <w:sz w:val="14"/>
                  <w:szCs w:val="14"/>
                  <w:color w:val="0000FF"/>
                  <w:w w:val="93"/>
                </w:rPr>
                <w:t>Amendment to Offer Letter with Jeffrey Dunn</w:t>
              </w:r>
            </w:hyperlink>
          </w:p>
        </w:tc>
        <w:tc>
          <w:tcPr>
            <w:tcW w:w="500" w:type="dxa"/>
            <w:vAlign w:val="bottom"/>
            <w:tcBorders>
              <w:top w:val="single" w:sz="8" w:color="0000FF"/>
            </w:tcBorders>
            <w:gridSpan w:val="5"/>
          </w:tcPr>
          <w:p>
            <w:pPr>
              <w:spacing w:after="0"/>
              <w:rPr>
                <w:sz w:val="13"/>
                <w:szCs w:val="13"/>
                <w:color w:val="auto"/>
              </w:rPr>
            </w:pPr>
          </w:p>
        </w:tc>
        <w:tc>
          <w:tcPr>
            <w:tcW w:w="2320" w:type="dxa"/>
            <w:vAlign w:val="bottom"/>
            <w:gridSpan w:val="20"/>
          </w:tcPr>
          <w:p>
            <w:pPr>
              <w:spacing w:after="0"/>
              <w:rPr>
                <w:sz w:val="13"/>
                <w:szCs w:val="13"/>
                <w:color w:val="auto"/>
              </w:rPr>
            </w:pPr>
          </w:p>
        </w:tc>
        <w:tc>
          <w:tcPr>
            <w:tcW w:w="820" w:type="dxa"/>
            <w:vAlign w:val="bottom"/>
          </w:tcPr>
          <w:p>
            <w:pPr>
              <w:jc w:val="center"/>
              <w:ind w:right="49"/>
              <w:spacing w:after="0"/>
              <w:rPr>
                <w:sz w:val="20"/>
                <w:szCs w:val="20"/>
                <w:color w:val="auto"/>
              </w:rPr>
            </w:pPr>
            <w:r>
              <w:rPr>
                <w:rFonts w:ascii="Arial" w:cs="Arial" w:eastAsia="Arial" w:hAnsi="Arial"/>
                <w:sz w:val="14"/>
                <w:szCs w:val="14"/>
                <w:color w:val="auto"/>
              </w:rPr>
              <w:t>8-K</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95"/>
              </w:rPr>
              <w:t>1/7/2021</w:t>
            </w:r>
          </w:p>
        </w:tc>
      </w:tr>
      <w:tr>
        <w:trPr>
          <w:trHeight w:val="160"/>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87"/>
              </w:rPr>
              <w:t>10.18+</w:t>
            </w:r>
          </w:p>
        </w:tc>
        <w:tc>
          <w:tcPr>
            <w:tcW w:w="302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w w:val="92"/>
              </w:rPr>
              <w:t>2022 Non-Employee Directors' Compensation Policy</w:t>
            </w:r>
          </w:p>
        </w:tc>
        <w:tc>
          <w:tcPr>
            <w:tcW w:w="2420" w:type="dxa"/>
            <w:vAlign w:val="bottom"/>
            <w:gridSpan w:val="21"/>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1280" w:type="dxa"/>
            <w:vAlign w:val="bottom"/>
          </w:tcPr>
          <w:p>
            <w:pPr>
              <w:jc w:val="center"/>
              <w:ind w:right="209"/>
              <w:spacing w:after="0"/>
              <w:rPr>
                <w:sz w:val="20"/>
                <w:szCs w:val="20"/>
                <w:color w:val="auto"/>
              </w:rPr>
            </w:pPr>
            <w:r>
              <w:rPr>
                <w:rFonts w:ascii="Arial" w:cs="Arial" w:eastAsia="Arial" w:hAnsi="Arial"/>
                <w:sz w:val="14"/>
                <w:szCs w:val="14"/>
                <w:color w:val="auto"/>
                <w:w w:val="91"/>
              </w:rPr>
              <w:t>10.19</w:t>
            </w:r>
          </w:p>
        </w:tc>
        <w:tc>
          <w:tcPr>
            <w:tcW w:w="5440" w:type="dxa"/>
            <w:vAlign w:val="bottom"/>
            <w:gridSpan w:val="33"/>
          </w:tcPr>
          <w:p>
            <w:pPr>
              <w:spacing w:after="0"/>
              <w:rPr>
                <w:rFonts w:ascii="Arial" w:cs="Arial" w:eastAsia="Arial" w:hAnsi="Arial"/>
                <w:sz w:val="14"/>
                <w:szCs w:val="14"/>
                <w:color w:val="0000FF"/>
              </w:rPr>
            </w:pPr>
            <w:hyperlink r:id="rId145">
              <w:r>
                <w:rPr>
                  <w:rFonts w:ascii="Arial" w:cs="Arial" w:eastAsia="Arial" w:hAnsi="Arial"/>
                  <w:sz w:val="14"/>
                  <w:szCs w:val="14"/>
                  <w:color w:val="0000FF"/>
                </w:rPr>
                <w:t>Loan and Security Agreement, dated May 29, 2020, between SI-BONE, Inc. and Solar</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10-Q</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95"/>
              </w:rPr>
              <w:t>8/4/2020</w:t>
            </w:r>
          </w:p>
        </w:tc>
      </w:tr>
      <w:tr>
        <w:trPr>
          <w:trHeight w:val="118"/>
        </w:trPr>
        <w:tc>
          <w:tcPr>
            <w:tcW w:w="1280" w:type="dxa"/>
            <w:vAlign w:val="bottom"/>
          </w:tcPr>
          <w:p>
            <w:pPr>
              <w:spacing w:after="0"/>
              <w:rPr>
                <w:sz w:val="10"/>
                <w:szCs w:val="10"/>
                <w:color w:val="auto"/>
              </w:rPr>
            </w:pPr>
          </w:p>
        </w:tc>
        <w:tc>
          <w:tcPr>
            <w:tcW w:w="4520" w:type="dxa"/>
            <w:vAlign w:val="bottom"/>
            <w:tcBorders>
              <w:top w:val="single" w:sz="8" w:color="0000FF"/>
              <w:bottom w:val="single" w:sz="8" w:color="0000FF"/>
            </w:tcBorders>
            <w:gridSpan w:val="18"/>
          </w:tcPr>
          <w:p>
            <w:pPr>
              <w:spacing w:after="0" w:line="118" w:lineRule="exact"/>
              <w:rPr>
                <w:rFonts w:ascii="Arial" w:cs="Arial" w:eastAsia="Arial" w:hAnsi="Arial"/>
                <w:sz w:val="13"/>
                <w:szCs w:val="13"/>
                <w:color w:val="0000FF"/>
                <w:w w:val="98"/>
              </w:rPr>
            </w:pPr>
            <w:hyperlink r:id="rId145">
              <w:r>
                <w:rPr>
                  <w:rFonts w:ascii="Arial" w:cs="Arial" w:eastAsia="Arial" w:hAnsi="Arial"/>
                  <w:sz w:val="13"/>
                  <w:szCs w:val="13"/>
                  <w:color w:val="0000FF"/>
                  <w:w w:val="98"/>
                </w:rPr>
                <w:t>Capital Ltd., as collateral agent, and the lenders from time to time party thereto.</w:t>
              </w:r>
            </w:hyperlink>
          </w:p>
        </w:tc>
        <w:tc>
          <w:tcPr>
            <w:tcW w:w="38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1"/>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87"/>
              </w:rPr>
              <w:t>10.20+</w:t>
            </w:r>
          </w:p>
        </w:tc>
        <w:tc>
          <w:tcPr>
            <w:tcW w:w="4360" w:type="dxa"/>
            <w:vAlign w:val="bottom"/>
            <w:tcBorders>
              <w:bottom w:val="single" w:sz="8" w:color="0000FF"/>
            </w:tcBorders>
            <w:gridSpan w:val="17"/>
          </w:tcPr>
          <w:p>
            <w:pPr>
              <w:spacing w:after="0"/>
              <w:rPr>
                <w:rFonts w:ascii="Arial" w:cs="Arial" w:eastAsia="Arial" w:hAnsi="Arial"/>
                <w:sz w:val="14"/>
                <w:szCs w:val="14"/>
                <w:color w:val="0000FF"/>
                <w:w w:val="92"/>
              </w:rPr>
            </w:pPr>
            <w:hyperlink r:id="rId146">
              <w:r>
                <w:rPr>
                  <w:rFonts w:ascii="Arial" w:cs="Arial" w:eastAsia="Arial" w:hAnsi="Arial"/>
                  <w:sz w:val="14"/>
                  <w:szCs w:val="14"/>
                  <w:color w:val="0000FF"/>
                  <w:w w:val="92"/>
                </w:rPr>
                <w:t>SI-BONE, Inc. Severance Benefit Plan and Form of Participation Agreement</w:t>
              </w:r>
            </w:hyperlink>
          </w:p>
        </w:tc>
        <w:tc>
          <w:tcPr>
            <w:tcW w:w="1080" w:type="dxa"/>
            <w:vAlign w:val="bottom"/>
            <w:gridSpan w:val="16"/>
          </w:tcPr>
          <w:p>
            <w:pPr>
              <w:spacing w:after="0"/>
              <w:rPr>
                <w:sz w:val="14"/>
                <w:szCs w:val="14"/>
                <w:color w:val="auto"/>
              </w:rPr>
            </w:pPr>
          </w:p>
        </w:tc>
        <w:tc>
          <w:tcPr>
            <w:tcW w:w="820" w:type="dxa"/>
            <w:vAlign w:val="bottom"/>
          </w:tcPr>
          <w:p>
            <w:pPr>
              <w:jc w:val="center"/>
              <w:ind w:right="49"/>
              <w:spacing w:after="0"/>
              <w:rPr>
                <w:sz w:val="20"/>
                <w:szCs w:val="20"/>
                <w:color w:val="auto"/>
              </w:rPr>
            </w:pPr>
            <w:r>
              <w:rPr>
                <w:rFonts w:ascii="Arial" w:cs="Arial" w:eastAsia="Arial" w:hAnsi="Arial"/>
                <w:sz w:val="14"/>
                <w:szCs w:val="14"/>
                <w:color w:val="auto"/>
              </w:rPr>
              <w:t>10-K</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85"/>
              </w:rPr>
              <w:t>10.24</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89"/>
              </w:rPr>
              <w:t>3/10/2021</w:t>
            </w:r>
          </w:p>
        </w:tc>
      </w:tr>
      <w:tr>
        <w:trPr>
          <w:trHeight w:val="160"/>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87"/>
              </w:rPr>
              <w:t>10.21+</w:t>
            </w:r>
          </w:p>
        </w:tc>
        <w:tc>
          <w:tcPr>
            <w:tcW w:w="5440" w:type="dxa"/>
            <w:vAlign w:val="bottom"/>
            <w:gridSpan w:val="33"/>
          </w:tcPr>
          <w:p>
            <w:pPr>
              <w:spacing w:after="0"/>
              <w:rPr>
                <w:rFonts w:ascii="Arial" w:cs="Arial" w:eastAsia="Arial" w:hAnsi="Arial"/>
                <w:sz w:val="14"/>
                <w:szCs w:val="14"/>
                <w:color w:val="0000FF"/>
              </w:rPr>
            </w:pPr>
            <w:hyperlink r:id="rId147">
              <w:r>
                <w:rPr>
                  <w:rFonts w:ascii="Arial" w:cs="Arial" w:eastAsia="Arial" w:hAnsi="Arial"/>
                  <w:sz w:val="14"/>
                  <w:szCs w:val="14"/>
                  <w:color w:val="0000FF"/>
                </w:rPr>
                <w:t>Offer Letter Agreement, dated April 19, 2021, between the Registrant and Helen Loh</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10-Q</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95"/>
              </w:rPr>
              <w:t>5/4/2021</w:t>
            </w:r>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0"/>
        </w:trPr>
        <w:tc>
          <w:tcPr>
            <w:tcW w:w="1280" w:type="dxa"/>
            <w:vAlign w:val="bottom"/>
          </w:tcPr>
          <w:p>
            <w:pPr>
              <w:jc w:val="center"/>
              <w:ind w:right="189"/>
              <w:spacing w:after="0"/>
              <w:rPr>
                <w:sz w:val="20"/>
                <w:szCs w:val="20"/>
                <w:color w:val="auto"/>
              </w:rPr>
            </w:pPr>
            <w:r>
              <w:rPr>
                <w:rFonts w:ascii="Arial" w:cs="Arial" w:eastAsia="Arial" w:hAnsi="Arial"/>
                <w:sz w:val="14"/>
                <w:szCs w:val="14"/>
                <w:color w:val="auto"/>
                <w:w w:val="87"/>
              </w:rPr>
              <w:t>10.22+</w:t>
            </w:r>
          </w:p>
        </w:tc>
        <w:tc>
          <w:tcPr>
            <w:tcW w:w="5180" w:type="dxa"/>
            <w:vAlign w:val="bottom"/>
            <w:tcBorders>
              <w:bottom w:val="single" w:sz="8" w:color="0000FF"/>
            </w:tcBorders>
            <w:gridSpan w:val="31"/>
          </w:tcPr>
          <w:p>
            <w:pPr>
              <w:spacing w:after="0"/>
              <w:rPr>
                <w:rFonts w:ascii="Arial" w:cs="Arial" w:eastAsia="Arial" w:hAnsi="Arial"/>
                <w:sz w:val="14"/>
                <w:szCs w:val="14"/>
                <w:color w:val="0000FF"/>
                <w:w w:val="92"/>
              </w:rPr>
            </w:pPr>
            <w:hyperlink r:id="rId148">
              <w:r>
                <w:rPr>
                  <w:rFonts w:ascii="Arial" w:cs="Arial" w:eastAsia="Arial" w:hAnsi="Arial"/>
                  <w:sz w:val="14"/>
                  <w:szCs w:val="14"/>
                  <w:color w:val="0000FF"/>
                  <w:w w:val="92"/>
                </w:rPr>
                <w:t>Offer Letter Agreement, dated March 4, 2021, between the Registrant and Mika Nishimura</w:t>
              </w:r>
            </w:hyperlink>
          </w:p>
        </w:tc>
        <w:tc>
          <w:tcPr>
            <w:tcW w:w="260" w:type="dxa"/>
            <w:vAlign w:val="bottom"/>
            <w:gridSpan w:val="2"/>
          </w:tcPr>
          <w:p>
            <w:pPr>
              <w:spacing w:after="0"/>
              <w:rPr>
                <w:sz w:val="13"/>
                <w:szCs w:val="13"/>
                <w:color w:val="auto"/>
              </w:rPr>
            </w:pPr>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10-Q</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95"/>
              </w:rPr>
              <w:t>5/4/2021</w:t>
            </w:r>
          </w:p>
        </w:tc>
      </w:tr>
      <w:tr>
        <w:trPr>
          <w:trHeight w:val="160"/>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1"/>
              </w:rPr>
              <w:t>10.23</w:t>
            </w:r>
          </w:p>
        </w:tc>
        <w:tc>
          <w:tcPr>
            <w:tcW w:w="5440" w:type="dxa"/>
            <w:vAlign w:val="bottom"/>
            <w:gridSpan w:val="33"/>
          </w:tcPr>
          <w:p>
            <w:pPr>
              <w:spacing w:after="0"/>
              <w:rPr>
                <w:rFonts w:ascii="Arial" w:cs="Arial" w:eastAsia="Arial" w:hAnsi="Arial"/>
                <w:sz w:val="14"/>
                <w:szCs w:val="14"/>
                <w:color w:val="0000FF"/>
                <w:w w:val="97"/>
              </w:rPr>
            </w:pPr>
            <w:hyperlink r:id="rId149">
              <w:r>
                <w:rPr>
                  <w:rFonts w:ascii="Arial" w:cs="Arial" w:eastAsia="Arial" w:hAnsi="Arial"/>
                  <w:sz w:val="14"/>
                  <w:szCs w:val="14"/>
                  <w:color w:val="0000FF"/>
                  <w:w w:val="97"/>
                </w:rPr>
                <w:t>Office Lease Agreement, dated February 2, 2018, between the Registrant and Bixby SPE</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S-1</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333-227445</w:t>
            </w:r>
          </w:p>
        </w:tc>
        <w:tc>
          <w:tcPr>
            <w:tcW w:w="1200" w:type="dxa"/>
            <w:vAlign w:val="bottom"/>
          </w:tcPr>
          <w:p>
            <w:pPr>
              <w:jc w:val="center"/>
              <w:spacing w:after="0"/>
              <w:rPr>
                <w:sz w:val="20"/>
                <w:szCs w:val="20"/>
                <w:color w:val="auto"/>
              </w:rPr>
            </w:pPr>
            <w:r>
              <w:rPr>
                <w:rFonts w:ascii="Arial" w:cs="Arial" w:eastAsia="Arial" w:hAnsi="Arial"/>
                <w:sz w:val="14"/>
                <w:szCs w:val="14"/>
                <w:color w:val="auto"/>
                <w:w w:val="85"/>
              </w:rPr>
              <w:t>10.21</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89"/>
              </w:rPr>
              <w:t>9/20/2018</w:t>
            </w:r>
          </w:p>
        </w:tc>
      </w:tr>
      <w:tr>
        <w:trPr>
          <w:trHeight w:val="118"/>
        </w:trPr>
        <w:tc>
          <w:tcPr>
            <w:tcW w:w="1280" w:type="dxa"/>
            <w:vAlign w:val="bottom"/>
          </w:tcPr>
          <w:p>
            <w:pPr>
              <w:spacing w:after="0"/>
              <w:rPr>
                <w:sz w:val="10"/>
                <w:szCs w:val="10"/>
                <w:color w:val="auto"/>
              </w:rPr>
            </w:pPr>
          </w:p>
        </w:tc>
        <w:tc>
          <w:tcPr>
            <w:tcW w:w="504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49">
              <w:r>
                <w:rPr>
                  <w:rFonts w:ascii="Arial" w:cs="Arial" w:eastAsia="Arial" w:hAnsi="Arial"/>
                  <w:sz w:val="13"/>
                  <w:szCs w:val="13"/>
                  <w:color w:val="0000FF"/>
                </w:rPr>
                <w:t>Finance 11, LLC, as amended on April 16, 2018.</w:t>
              </w:r>
            </w:hyperlink>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3"/>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1"/>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1"/>
              </w:rPr>
              <w:t>10.24</w:t>
            </w:r>
          </w:p>
        </w:tc>
        <w:tc>
          <w:tcPr>
            <w:tcW w:w="5440" w:type="dxa"/>
            <w:vAlign w:val="bottom"/>
            <w:gridSpan w:val="33"/>
          </w:tcPr>
          <w:p>
            <w:pPr>
              <w:spacing w:after="0"/>
              <w:rPr>
                <w:rFonts w:ascii="Arial" w:cs="Arial" w:eastAsia="Arial" w:hAnsi="Arial"/>
                <w:sz w:val="14"/>
                <w:szCs w:val="14"/>
                <w:color w:val="0000FF"/>
                <w:w w:val="96"/>
              </w:rPr>
            </w:pPr>
            <w:hyperlink r:id="rId150">
              <w:r>
                <w:rPr>
                  <w:rFonts w:ascii="Arial" w:cs="Arial" w:eastAsia="Arial" w:hAnsi="Arial"/>
                  <w:sz w:val="14"/>
                  <w:szCs w:val="14"/>
                  <w:color w:val="0000FF"/>
                  <w:w w:val="96"/>
                </w:rPr>
                <w:t>Loan and Security Agreement, dated August 12, 2021, between SI-BONE, Inc. and Silicon</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10-Q</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89"/>
              </w:rPr>
              <w:t>11/9/2021</w:t>
            </w:r>
          </w:p>
        </w:tc>
      </w:tr>
      <w:tr>
        <w:trPr>
          <w:trHeight w:val="118"/>
        </w:trPr>
        <w:tc>
          <w:tcPr>
            <w:tcW w:w="1280" w:type="dxa"/>
            <w:vAlign w:val="bottom"/>
          </w:tcPr>
          <w:p>
            <w:pPr>
              <w:spacing w:after="0"/>
              <w:rPr>
                <w:sz w:val="10"/>
                <w:szCs w:val="10"/>
                <w:color w:val="auto"/>
              </w:rPr>
            </w:pPr>
          </w:p>
        </w:tc>
        <w:tc>
          <w:tcPr>
            <w:tcW w:w="7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6"/>
              </w:rPr>
            </w:pPr>
            <w:hyperlink r:id="rId150">
              <w:r>
                <w:rPr>
                  <w:rFonts w:ascii="Arial" w:cs="Arial" w:eastAsia="Arial" w:hAnsi="Arial"/>
                  <w:sz w:val="13"/>
                  <w:szCs w:val="13"/>
                  <w:color w:val="0000FF"/>
                  <w:w w:val="96"/>
                </w:rPr>
                <w:t>Valley Bank</w:t>
              </w:r>
            </w:hyperlink>
          </w:p>
        </w:tc>
        <w:tc>
          <w:tcPr>
            <w:tcW w:w="4460" w:type="dxa"/>
            <w:vAlign w:val="bottom"/>
            <w:tcBorders>
              <w:top w:val="single" w:sz="8" w:color="0000FF"/>
            </w:tcBorders>
            <w:gridSpan w:val="29"/>
          </w:tcPr>
          <w:p>
            <w:pPr>
              <w:spacing w:after="0"/>
              <w:rPr>
                <w:sz w:val="10"/>
                <w:szCs w:val="10"/>
                <w:color w:val="auto"/>
              </w:rPr>
            </w:pPr>
          </w:p>
        </w:tc>
        <w:tc>
          <w:tcPr>
            <w:tcW w:w="280" w:type="dxa"/>
            <w:vAlign w:val="bottom"/>
            <w:gridSpan w:val="3"/>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1"/>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2"/>
              </w:rPr>
              <w:t>10.25+</w:t>
            </w:r>
          </w:p>
        </w:tc>
        <w:tc>
          <w:tcPr>
            <w:tcW w:w="5440" w:type="dxa"/>
            <w:vAlign w:val="bottom"/>
            <w:gridSpan w:val="33"/>
          </w:tcPr>
          <w:p>
            <w:pPr>
              <w:spacing w:after="0"/>
              <w:rPr>
                <w:rFonts w:ascii="Arial" w:cs="Arial" w:eastAsia="Arial" w:hAnsi="Arial"/>
                <w:sz w:val="14"/>
                <w:szCs w:val="14"/>
                <w:color w:val="0000FF"/>
              </w:rPr>
            </w:pPr>
            <w:hyperlink r:id="rId151">
              <w:r>
                <w:rPr>
                  <w:rFonts w:ascii="Arial" w:cs="Arial" w:eastAsia="Arial" w:hAnsi="Arial"/>
                  <w:sz w:val="14"/>
                  <w:szCs w:val="14"/>
                  <w:color w:val="0000FF"/>
                </w:rPr>
                <w:t>Second Amendment to the Offer Letter Agreement and Severance Plan Participation</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10-Q</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89"/>
              </w:rPr>
              <w:t>11/9/2021</w:t>
            </w:r>
          </w:p>
        </w:tc>
      </w:tr>
      <w:tr>
        <w:trPr>
          <w:trHeight w:val="118"/>
        </w:trPr>
        <w:tc>
          <w:tcPr>
            <w:tcW w:w="1280" w:type="dxa"/>
            <w:vAlign w:val="bottom"/>
          </w:tcPr>
          <w:p>
            <w:pPr>
              <w:spacing w:after="0"/>
              <w:rPr>
                <w:sz w:val="10"/>
                <w:szCs w:val="10"/>
                <w:color w:val="auto"/>
              </w:rPr>
            </w:pPr>
          </w:p>
        </w:tc>
        <w:tc>
          <w:tcPr>
            <w:tcW w:w="170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51">
              <w:r>
                <w:rPr>
                  <w:rFonts w:ascii="Arial" w:cs="Arial" w:eastAsia="Arial" w:hAnsi="Arial"/>
                  <w:sz w:val="13"/>
                  <w:szCs w:val="13"/>
                  <w:color w:val="0000FF"/>
                </w:rPr>
                <w:t>Agreement with Jeffery Dunn</w:t>
              </w:r>
            </w:hyperlink>
          </w:p>
        </w:tc>
        <w:tc>
          <w:tcPr>
            <w:tcW w:w="3120" w:type="dxa"/>
            <w:vAlign w:val="bottom"/>
            <w:tcBorders>
              <w:top w:val="single" w:sz="8" w:color="0000FF"/>
            </w:tcBorders>
            <w:gridSpan w:val="18"/>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gridSpan w:val="4"/>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1"/>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2"/>
              </w:rPr>
              <w:t>10.26+</w:t>
            </w:r>
          </w:p>
        </w:tc>
        <w:tc>
          <w:tcPr>
            <w:tcW w:w="5440" w:type="dxa"/>
            <w:vAlign w:val="bottom"/>
            <w:gridSpan w:val="33"/>
          </w:tcPr>
          <w:p>
            <w:pPr>
              <w:spacing w:after="0"/>
              <w:rPr>
                <w:rFonts w:ascii="Arial" w:cs="Arial" w:eastAsia="Arial" w:hAnsi="Arial"/>
                <w:sz w:val="14"/>
                <w:szCs w:val="14"/>
                <w:color w:val="0000FF"/>
              </w:rPr>
            </w:pPr>
            <w:hyperlink r:id="rId152">
              <w:r>
                <w:rPr>
                  <w:rFonts w:ascii="Arial" w:cs="Arial" w:eastAsia="Arial" w:hAnsi="Arial"/>
                  <w:sz w:val="14"/>
                  <w:szCs w:val="14"/>
                  <w:color w:val="0000FF"/>
                </w:rPr>
                <w:t>Offer Letter Agreement, dated April 20, 2021, between the Registrant and Anshul</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rPr>
              <w:t>8-K</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89"/>
              </w:rPr>
              <w:t>4/20/2021</w:t>
            </w:r>
          </w:p>
        </w:tc>
      </w:tr>
      <w:tr>
        <w:trPr>
          <w:trHeight w:val="118"/>
        </w:trPr>
        <w:tc>
          <w:tcPr>
            <w:tcW w:w="1280" w:type="dxa"/>
            <w:vAlign w:val="bottom"/>
          </w:tcPr>
          <w:p>
            <w:pPr>
              <w:spacing w:after="0"/>
              <w:rPr>
                <w:sz w:val="10"/>
                <w:szCs w:val="10"/>
                <w:color w:val="auto"/>
              </w:rPr>
            </w:pPr>
          </w:p>
        </w:tc>
        <w:tc>
          <w:tcPr>
            <w:tcW w:w="464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52">
              <w:r>
                <w:rPr>
                  <w:rFonts w:ascii="Arial" w:cs="Arial" w:eastAsia="Arial" w:hAnsi="Arial"/>
                  <w:sz w:val="13"/>
                  <w:szCs w:val="13"/>
                  <w:color w:val="0000FF"/>
                </w:rPr>
                <w:t>Maheshwari</w:t>
              </w:r>
            </w:hyperlink>
          </w:p>
        </w:tc>
        <w:tc>
          <w:tcPr>
            <w:tcW w:w="6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gridSpan w:val="4"/>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1"/>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2"/>
              </w:rPr>
              <w:t>10.27+</w:t>
            </w:r>
          </w:p>
        </w:tc>
        <w:tc>
          <w:tcPr>
            <w:tcW w:w="5440" w:type="dxa"/>
            <w:vAlign w:val="bottom"/>
            <w:gridSpan w:val="33"/>
          </w:tcPr>
          <w:p>
            <w:pPr>
              <w:spacing w:after="0"/>
              <w:rPr>
                <w:rFonts w:ascii="Arial" w:cs="Arial" w:eastAsia="Arial" w:hAnsi="Arial"/>
                <w:sz w:val="14"/>
                <w:szCs w:val="14"/>
                <w:color w:val="0000FF"/>
              </w:rPr>
            </w:pPr>
            <w:hyperlink r:id="rId153">
              <w:r>
                <w:rPr>
                  <w:rFonts w:ascii="Arial" w:cs="Arial" w:eastAsia="Arial" w:hAnsi="Arial"/>
                  <w:sz w:val="14"/>
                  <w:szCs w:val="14"/>
                  <w:color w:val="0000FF"/>
                </w:rPr>
                <w:t>Amended and Restated Participation Agreement dated April 20, 2021, between the</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rPr>
              <w:t>8-K</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89"/>
              </w:rPr>
              <w:t>4/20/2021</w:t>
            </w:r>
          </w:p>
        </w:tc>
      </w:tr>
      <w:tr>
        <w:trPr>
          <w:trHeight w:val="118"/>
        </w:trPr>
        <w:tc>
          <w:tcPr>
            <w:tcW w:w="1280" w:type="dxa"/>
            <w:vAlign w:val="bottom"/>
          </w:tcPr>
          <w:p>
            <w:pPr>
              <w:spacing w:after="0"/>
              <w:rPr>
                <w:sz w:val="10"/>
                <w:szCs w:val="10"/>
                <w:color w:val="auto"/>
              </w:rPr>
            </w:pPr>
          </w:p>
        </w:tc>
        <w:tc>
          <w:tcPr>
            <w:tcW w:w="164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6"/>
              </w:rPr>
            </w:pPr>
            <w:hyperlink r:id="rId153">
              <w:r>
                <w:rPr>
                  <w:rFonts w:ascii="Arial" w:cs="Arial" w:eastAsia="Arial" w:hAnsi="Arial"/>
                  <w:sz w:val="13"/>
                  <w:szCs w:val="13"/>
                  <w:color w:val="0000FF"/>
                  <w:w w:val="96"/>
                </w:rPr>
                <w:t>Registrant and Laura Francis</w:t>
              </w:r>
            </w:hyperlink>
          </w:p>
        </w:tc>
        <w:tc>
          <w:tcPr>
            <w:tcW w:w="3060" w:type="dxa"/>
            <w:vAlign w:val="bottom"/>
            <w:tcBorders>
              <w:top w:val="single" w:sz="8" w:color="0000FF"/>
            </w:tcBorders>
            <w:gridSpan w:val="18"/>
          </w:tcPr>
          <w:p>
            <w:pPr>
              <w:spacing w:after="0"/>
              <w:rPr>
                <w:sz w:val="10"/>
                <w:szCs w:val="10"/>
                <w:color w:val="auto"/>
              </w:rPr>
            </w:pPr>
          </w:p>
        </w:tc>
        <w:tc>
          <w:tcPr>
            <w:tcW w:w="18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gridSpan w:val="4"/>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1"/>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2"/>
              </w:rPr>
              <w:t>10.28+</w:t>
            </w:r>
          </w:p>
        </w:tc>
        <w:tc>
          <w:tcPr>
            <w:tcW w:w="5440" w:type="dxa"/>
            <w:vAlign w:val="bottom"/>
            <w:gridSpan w:val="33"/>
          </w:tcPr>
          <w:p>
            <w:pPr>
              <w:spacing w:after="0"/>
              <w:rPr>
                <w:rFonts w:ascii="Arial" w:cs="Arial" w:eastAsia="Arial" w:hAnsi="Arial"/>
                <w:sz w:val="14"/>
                <w:szCs w:val="14"/>
                <w:color w:val="0000FF"/>
              </w:rPr>
            </w:pPr>
            <w:hyperlink r:id="rId154">
              <w:r>
                <w:rPr>
                  <w:rFonts w:ascii="Arial" w:cs="Arial" w:eastAsia="Arial" w:hAnsi="Arial"/>
                  <w:sz w:val="14"/>
                  <w:szCs w:val="14"/>
                  <w:color w:val="0000FF"/>
                </w:rPr>
                <w:t>Form of Performance-Based Restricted Stock Unit Agreement</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w w:val="96"/>
              </w:rPr>
              <w:t>10-Q</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89"/>
              </w:rPr>
              <w:t>11/8/2022</w:t>
            </w:r>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0"/>
        </w:trPr>
        <w:tc>
          <w:tcPr>
            <w:tcW w:w="1280" w:type="dxa"/>
            <w:vAlign w:val="bottom"/>
          </w:tcPr>
          <w:p>
            <w:pPr>
              <w:jc w:val="center"/>
              <w:ind w:right="109"/>
              <w:spacing w:after="0"/>
              <w:rPr>
                <w:sz w:val="20"/>
                <w:szCs w:val="20"/>
                <w:color w:val="auto"/>
              </w:rPr>
            </w:pPr>
            <w:r>
              <w:rPr>
                <w:rFonts w:ascii="Arial" w:cs="Arial" w:eastAsia="Arial" w:hAnsi="Arial"/>
                <w:sz w:val="14"/>
                <w:szCs w:val="14"/>
                <w:color w:val="auto"/>
                <w:w w:val="95"/>
              </w:rPr>
              <w:t>10.29*#</w:t>
            </w:r>
          </w:p>
        </w:tc>
        <w:tc>
          <w:tcPr>
            <w:tcW w:w="5440" w:type="dxa"/>
            <w:vAlign w:val="bottom"/>
            <w:gridSpan w:val="33"/>
          </w:tcPr>
          <w:p>
            <w:pPr>
              <w:spacing w:after="0"/>
              <w:rPr>
                <w:sz w:val="20"/>
                <w:szCs w:val="20"/>
                <w:color w:val="auto"/>
              </w:rPr>
            </w:pPr>
            <w:r>
              <w:rPr>
                <w:rFonts w:ascii="Arial" w:cs="Arial" w:eastAsia="Arial" w:hAnsi="Arial"/>
                <w:sz w:val="14"/>
                <w:szCs w:val="14"/>
                <w:color w:val="0000FF"/>
              </w:rPr>
              <w:t>First Amendment to Loan and Security Agreement, dated January 6, 2023 between SI-</w:t>
            </w: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18"/>
        </w:trPr>
        <w:tc>
          <w:tcPr>
            <w:tcW w:w="1280" w:type="dxa"/>
            <w:vAlign w:val="bottom"/>
          </w:tcPr>
          <w:p>
            <w:pPr>
              <w:spacing w:after="0"/>
              <w:rPr>
                <w:sz w:val="10"/>
                <w:szCs w:val="10"/>
                <w:color w:val="auto"/>
              </w:rPr>
            </w:pPr>
          </w:p>
        </w:tc>
        <w:tc>
          <w:tcPr>
            <w:tcW w:w="2080" w:type="dxa"/>
            <w:vAlign w:val="bottom"/>
            <w:tcBorders>
              <w:top w:val="single" w:sz="8" w:color="0000FF"/>
              <w:bottom w:val="single" w:sz="8" w:color="0000FF"/>
            </w:tcBorders>
            <w:gridSpan w:val="5"/>
          </w:tcPr>
          <w:p>
            <w:pPr>
              <w:spacing w:after="0" w:line="118" w:lineRule="exact"/>
              <w:rPr>
                <w:sz w:val="20"/>
                <w:szCs w:val="20"/>
                <w:color w:val="auto"/>
              </w:rPr>
            </w:pPr>
            <w:r>
              <w:rPr>
                <w:rFonts w:ascii="Arial" w:cs="Arial" w:eastAsia="Arial" w:hAnsi="Arial"/>
                <w:sz w:val="13"/>
                <w:szCs w:val="13"/>
                <w:color w:val="0000FF"/>
              </w:rPr>
              <w:t>BONE, Inc. and Silicon Valley Bank</w:t>
            </w:r>
          </w:p>
        </w:tc>
        <w:tc>
          <w:tcPr>
            <w:tcW w:w="284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gridSpan w:val="4"/>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1"/>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1"/>
              </w:rPr>
              <w:t>10.30</w:t>
            </w:r>
          </w:p>
        </w:tc>
        <w:tc>
          <w:tcPr>
            <w:tcW w:w="5440" w:type="dxa"/>
            <w:vAlign w:val="bottom"/>
            <w:gridSpan w:val="33"/>
          </w:tcPr>
          <w:p>
            <w:pPr>
              <w:spacing w:after="0"/>
              <w:rPr>
                <w:rFonts w:ascii="Arial" w:cs="Arial" w:eastAsia="Arial" w:hAnsi="Arial"/>
                <w:sz w:val="14"/>
                <w:szCs w:val="14"/>
                <w:color w:val="0000FF"/>
                <w:w w:val="97"/>
              </w:rPr>
            </w:pPr>
            <w:hyperlink r:id="rId149">
              <w:r>
                <w:rPr>
                  <w:rFonts w:ascii="Arial" w:cs="Arial" w:eastAsia="Arial" w:hAnsi="Arial"/>
                  <w:sz w:val="14"/>
                  <w:szCs w:val="14"/>
                  <w:color w:val="0000FF"/>
                  <w:w w:val="97"/>
                </w:rPr>
                <w:t>Office Lease Agreement, dated February 2, 2018, between the Registrant and Bixby SPE</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1"/>
              </w:rPr>
              <w:t>S-1</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333-227445</w:t>
            </w:r>
          </w:p>
        </w:tc>
        <w:tc>
          <w:tcPr>
            <w:tcW w:w="1200" w:type="dxa"/>
            <w:vAlign w:val="bottom"/>
          </w:tcPr>
          <w:p>
            <w:pPr>
              <w:jc w:val="center"/>
              <w:spacing w:after="0"/>
              <w:rPr>
                <w:sz w:val="20"/>
                <w:szCs w:val="20"/>
                <w:color w:val="auto"/>
              </w:rPr>
            </w:pPr>
            <w:r>
              <w:rPr>
                <w:rFonts w:ascii="Arial" w:cs="Arial" w:eastAsia="Arial" w:hAnsi="Arial"/>
                <w:sz w:val="14"/>
                <w:szCs w:val="14"/>
                <w:color w:val="auto"/>
                <w:w w:val="85"/>
              </w:rPr>
              <w:t>10.21</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89"/>
              </w:rPr>
              <w:t>9/20/2018</w:t>
            </w:r>
          </w:p>
        </w:tc>
      </w:tr>
      <w:tr>
        <w:trPr>
          <w:trHeight w:val="118"/>
        </w:trPr>
        <w:tc>
          <w:tcPr>
            <w:tcW w:w="1280" w:type="dxa"/>
            <w:vAlign w:val="bottom"/>
          </w:tcPr>
          <w:p>
            <w:pPr>
              <w:spacing w:after="0"/>
              <w:rPr>
                <w:sz w:val="10"/>
                <w:szCs w:val="10"/>
                <w:color w:val="auto"/>
              </w:rPr>
            </w:pPr>
          </w:p>
        </w:tc>
        <w:tc>
          <w:tcPr>
            <w:tcW w:w="504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49">
              <w:r>
                <w:rPr>
                  <w:rFonts w:ascii="Arial" w:cs="Arial" w:eastAsia="Arial" w:hAnsi="Arial"/>
                  <w:sz w:val="13"/>
                  <w:szCs w:val="13"/>
                  <w:color w:val="0000FF"/>
                </w:rPr>
                <w:t>Finance 11, LLC, as amended on April 16, 2018.</w:t>
              </w:r>
            </w:hyperlink>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gridSpan w:val="4"/>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1"/>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2"/>
              </w:rPr>
              <w:t>10.31+</w:t>
            </w:r>
          </w:p>
        </w:tc>
        <w:tc>
          <w:tcPr>
            <w:tcW w:w="2800" w:type="dxa"/>
            <w:vAlign w:val="bottom"/>
            <w:tcBorders>
              <w:bottom w:val="single" w:sz="8" w:color="0000FF"/>
            </w:tcBorders>
            <w:gridSpan w:val="11"/>
          </w:tcPr>
          <w:p>
            <w:pPr>
              <w:spacing w:after="0"/>
              <w:rPr>
                <w:rFonts w:ascii="Arial" w:cs="Arial" w:eastAsia="Arial" w:hAnsi="Arial"/>
                <w:sz w:val="14"/>
                <w:szCs w:val="14"/>
                <w:color w:val="0000FF"/>
                <w:w w:val="91"/>
              </w:rPr>
            </w:pPr>
            <w:hyperlink r:id="rId155">
              <w:r>
                <w:rPr>
                  <w:rFonts w:ascii="Arial" w:cs="Arial" w:eastAsia="Arial" w:hAnsi="Arial"/>
                  <w:sz w:val="14"/>
                  <w:szCs w:val="14"/>
                  <w:color w:val="0000FF"/>
                  <w:w w:val="91"/>
                </w:rPr>
                <w:t>Performance Stock Unit Grants to CEO and CFO</w:t>
              </w:r>
            </w:hyperlink>
          </w:p>
        </w:tc>
        <w:tc>
          <w:tcPr>
            <w:tcW w:w="2640" w:type="dxa"/>
            <w:vAlign w:val="bottom"/>
            <w:gridSpan w:val="22"/>
          </w:tcPr>
          <w:p>
            <w:pPr>
              <w:spacing w:after="0"/>
              <w:rPr>
                <w:sz w:val="14"/>
                <w:szCs w:val="14"/>
                <w:color w:val="auto"/>
              </w:rPr>
            </w:pPr>
          </w:p>
        </w:tc>
        <w:tc>
          <w:tcPr>
            <w:tcW w:w="820" w:type="dxa"/>
            <w:vAlign w:val="bottom"/>
          </w:tcPr>
          <w:p>
            <w:pPr>
              <w:jc w:val="center"/>
              <w:ind w:right="49"/>
              <w:spacing w:after="0"/>
              <w:rPr>
                <w:sz w:val="20"/>
                <w:szCs w:val="20"/>
                <w:color w:val="auto"/>
              </w:rPr>
            </w:pPr>
            <w:r>
              <w:rPr>
                <w:rFonts w:ascii="Arial" w:cs="Arial" w:eastAsia="Arial" w:hAnsi="Arial"/>
                <w:sz w:val="14"/>
                <w:szCs w:val="14"/>
                <w:color w:val="auto"/>
              </w:rPr>
              <w:t>8-K</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001-38701</w:t>
            </w:r>
          </w:p>
        </w:tc>
        <w:tc>
          <w:tcPr>
            <w:tcW w:w="1200" w:type="dxa"/>
            <w:vAlign w:val="bottom"/>
          </w:tcPr>
          <w:p>
            <w:pPr>
              <w:ind w:left="340"/>
              <w:spacing w:after="0"/>
              <w:rPr>
                <w:sz w:val="20"/>
                <w:szCs w:val="20"/>
                <w:color w:val="auto"/>
              </w:rPr>
            </w:pPr>
            <w:r>
              <w:rPr>
                <w:rFonts w:ascii="Arial" w:cs="Arial" w:eastAsia="Arial" w:hAnsi="Arial"/>
                <w:sz w:val="14"/>
                <w:szCs w:val="14"/>
                <w:color w:val="auto"/>
              </w:rPr>
              <w:t>Item 5.02</w:t>
            </w:r>
          </w:p>
        </w:tc>
        <w:tc>
          <w:tcPr>
            <w:tcW w:w="1200" w:type="dxa"/>
            <w:vAlign w:val="bottom"/>
          </w:tcPr>
          <w:p>
            <w:pPr>
              <w:jc w:val="center"/>
              <w:ind w:left="9"/>
              <w:spacing w:after="0"/>
              <w:rPr>
                <w:sz w:val="20"/>
                <w:szCs w:val="20"/>
                <w:color w:val="auto"/>
              </w:rPr>
            </w:pPr>
            <w:r>
              <w:rPr>
                <w:rFonts w:ascii="Arial" w:cs="Arial" w:eastAsia="Arial" w:hAnsi="Arial"/>
                <w:sz w:val="14"/>
                <w:szCs w:val="14"/>
                <w:color w:val="auto"/>
                <w:w w:val="89"/>
              </w:rPr>
              <w:t>1/10/2022</w:t>
            </w:r>
          </w:p>
        </w:tc>
      </w:tr>
      <w:tr>
        <w:trPr>
          <w:trHeight w:val="160"/>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7"/>
              </w:rPr>
              <w:t>21.1*</w:t>
            </w:r>
          </w:p>
        </w:tc>
        <w:tc>
          <w:tcPr>
            <w:tcW w:w="188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2"/>
              </w:rPr>
              <w:t>List of Subsidiaries of Registrant</w:t>
            </w:r>
          </w:p>
        </w:tc>
        <w:tc>
          <w:tcPr>
            <w:tcW w:w="3560" w:type="dxa"/>
            <w:vAlign w:val="bottom"/>
            <w:gridSpan w:val="29"/>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7"/>
              </w:rPr>
              <w:t>23.1*</w:t>
            </w:r>
          </w:p>
        </w:tc>
        <w:tc>
          <w:tcPr>
            <w:tcW w:w="4880" w:type="dxa"/>
            <w:vAlign w:val="bottom"/>
            <w:tcBorders>
              <w:bottom w:val="single" w:sz="8" w:color="0000FF"/>
            </w:tcBorders>
            <w:gridSpan w:val="22"/>
          </w:tcPr>
          <w:p>
            <w:pPr>
              <w:spacing w:after="0"/>
              <w:rPr>
                <w:sz w:val="20"/>
                <w:szCs w:val="20"/>
                <w:color w:val="auto"/>
              </w:rPr>
            </w:pPr>
            <w:r>
              <w:rPr>
                <w:rFonts w:ascii="Arial" w:cs="Arial" w:eastAsia="Arial" w:hAnsi="Arial"/>
                <w:sz w:val="14"/>
                <w:szCs w:val="14"/>
                <w:color w:val="0000FF"/>
                <w:w w:val="91"/>
              </w:rPr>
              <w:t>Consent of PricewaterhouseCoopers, Independent Registered Public Accounting Firm</w:t>
            </w:r>
          </w:p>
        </w:tc>
        <w:tc>
          <w:tcPr>
            <w:tcW w:w="560" w:type="dxa"/>
            <w:vAlign w:val="bottom"/>
            <w:gridSpan w:val="11"/>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7"/>
              </w:rPr>
              <w:t>24.1*</w:t>
            </w:r>
          </w:p>
        </w:tc>
        <w:tc>
          <w:tcPr>
            <w:tcW w:w="5440" w:type="dxa"/>
            <w:vAlign w:val="bottom"/>
            <w:gridSpan w:val="33"/>
          </w:tcPr>
          <w:p>
            <w:pPr>
              <w:spacing w:after="0"/>
              <w:rPr>
                <w:sz w:val="20"/>
                <w:szCs w:val="20"/>
                <w:color w:val="auto"/>
              </w:rPr>
            </w:pPr>
            <w:r>
              <w:rPr>
                <w:rFonts w:ascii="Arial" w:cs="Arial" w:eastAsia="Arial" w:hAnsi="Arial"/>
                <w:sz w:val="14"/>
                <w:szCs w:val="14"/>
                <w:color w:val="0000FF"/>
              </w:rPr>
              <w:t>Power of Attorney (contained in the signature page of this report)</w:t>
            </w: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0"/>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7"/>
              </w:rPr>
              <w:t>31.1*</w:t>
            </w:r>
          </w:p>
        </w:tc>
        <w:tc>
          <w:tcPr>
            <w:tcW w:w="5440" w:type="dxa"/>
            <w:vAlign w:val="bottom"/>
            <w:gridSpan w:val="33"/>
          </w:tcPr>
          <w:p>
            <w:pPr>
              <w:spacing w:after="0"/>
              <w:rPr>
                <w:sz w:val="20"/>
                <w:szCs w:val="20"/>
                <w:color w:val="auto"/>
              </w:rPr>
            </w:pPr>
            <w:r>
              <w:rPr>
                <w:rFonts w:ascii="Arial" w:cs="Arial" w:eastAsia="Arial" w:hAnsi="Arial"/>
                <w:sz w:val="14"/>
                <w:szCs w:val="14"/>
                <w:color w:val="0000FF"/>
                <w:w w:val="97"/>
              </w:rPr>
              <w:t>Certification of Principal Executive Officer Pursuant to Section 302 of the Sarbanes-Oxley</w:t>
            </w: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18"/>
        </w:trPr>
        <w:tc>
          <w:tcPr>
            <w:tcW w:w="1280" w:type="dxa"/>
            <w:vAlign w:val="bottom"/>
          </w:tcPr>
          <w:p>
            <w:pPr>
              <w:spacing w:after="0"/>
              <w:rPr>
                <w:sz w:val="10"/>
                <w:szCs w:val="10"/>
                <w:color w:val="auto"/>
              </w:rPr>
            </w:pPr>
          </w:p>
        </w:tc>
        <w:tc>
          <w:tcPr>
            <w:tcW w:w="700" w:type="dxa"/>
            <w:vAlign w:val="bottom"/>
            <w:tcBorders>
              <w:top w:val="single" w:sz="8" w:color="0000FF"/>
              <w:bottom w:val="single" w:sz="8" w:color="0000FF"/>
            </w:tcBorders>
          </w:tcPr>
          <w:p>
            <w:pPr>
              <w:spacing w:after="0" w:line="118" w:lineRule="exact"/>
              <w:rPr>
                <w:sz w:val="20"/>
                <w:szCs w:val="20"/>
                <w:color w:val="auto"/>
              </w:rPr>
            </w:pPr>
            <w:r>
              <w:rPr>
                <w:rFonts w:ascii="Arial" w:cs="Arial" w:eastAsia="Arial" w:hAnsi="Arial"/>
                <w:sz w:val="13"/>
                <w:szCs w:val="13"/>
                <w:color w:val="0000FF"/>
              </w:rPr>
              <w:t>Act of 2002</w:t>
            </w:r>
          </w:p>
        </w:tc>
        <w:tc>
          <w:tcPr>
            <w:tcW w:w="4440" w:type="dxa"/>
            <w:vAlign w:val="bottom"/>
            <w:tcBorders>
              <w:top w:val="single" w:sz="8" w:color="0000FF"/>
            </w:tcBorders>
            <w:gridSpan w:val="28"/>
          </w:tcPr>
          <w:p>
            <w:pPr>
              <w:spacing w:after="0"/>
              <w:rPr>
                <w:sz w:val="10"/>
                <w:szCs w:val="10"/>
                <w:color w:val="auto"/>
              </w:rPr>
            </w:pPr>
          </w:p>
        </w:tc>
        <w:tc>
          <w:tcPr>
            <w:tcW w:w="300" w:type="dxa"/>
            <w:vAlign w:val="bottom"/>
            <w:gridSpan w:val="4"/>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1"/>
        </w:trPr>
        <w:tc>
          <w:tcPr>
            <w:tcW w:w="1280" w:type="dxa"/>
            <w:vAlign w:val="bottom"/>
          </w:tcPr>
          <w:p>
            <w:pPr>
              <w:jc w:val="center"/>
              <w:ind w:right="129"/>
              <w:spacing w:after="0"/>
              <w:rPr>
                <w:sz w:val="20"/>
                <w:szCs w:val="20"/>
                <w:color w:val="auto"/>
              </w:rPr>
            </w:pPr>
            <w:r>
              <w:rPr>
                <w:rFonts w:ascii="Arial" w:cs="Arial" w:eastAsia="Arial" w:hAnsi="Arial"/>
                <w:sz w:val="14"/>
                <w:szCs w:val="14"/>
                <w:color w:val="auto"/>
                <w:w w:val="97"/>
              </w:rPr>
              <w:t>31.2*</w:t>
            </w:r>
          </w:p>
        </w:tc>
        <w:tc>
          <w:tcPr>
            <w:tcW w:w="5440" w:type="dxa"/>
            <w:vAlign w:val="bottom"/>
            <w:gridSpan w:val="33"/>
          </w:tcPr>
          <w:p>
            <w:pPr>
              <w:spacing w:after="0"/>
              <w:rPr>
                <w:sz w:val="20"/>
                <w:szCs w:val="20"/>
                <w:color w:val="auto"/>
              </w:rPr>
            </w:pPr>
            <w:r>
              <w:rPr>
                <w:rFonts w:ascii="Arial" w:cs="Arial" w:eastAsia="Arial" w:hAnsi="Arial"/>
                <w:sz w:val="14"/>
                <w:szCs w:val="14"/>
                <w:color w:val="0000FF"/>
                <w:w w:val="98"/>
              </w:rPr>
              <w:t>Certification of Principal Financial Officer Pursuant to Section 302 of the Sarbanes-Oxley</w:t>
            </w: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18"/>
        </w:trPr>
        <w:tc>
          <w:tcPr>
            <w:tcW w:w="1280" w:type="dxa"/>
            <w:vAlign w:val="bottom"/>
          </w:tcPr>
          <w:p>
            <w:pPr>
              <w:spacing w:after="0"/>
              <w:rPr>
                <w:sz w:val="10"/>
                <w:szCs w:val="10"/>
                <w:color w:val="auto"/>
              </w:rPr>
            </w:pPr>
          </w:p>
        </w:tc>
        <w:tc>
          <w:tcPr>
            <w:tcW w:w="700" w:type="dxa"/>
            <w:vAlign w:val="bottom"/>
            <w:tcBorders>
              <w:top w:val="single" w:sz="8" w:color="0000FF"/>
              <w:bottom w:val="single" w:sz="8" w:color="0000FF"/>
            </w:tcBorders>
          </w:tcPr>
          <w:p>
            <w:pPr>
              <w:spacing w:after="0" w:line="118" w:lineRule="exact"/>
              <w:rPr>
                <w:sz w:val="20"/>
                <w:szCs w:val="20"/>
                <w:color w:val="auto"/>
              </w:rPr>
            </w:pPr>
            <w:r>
              <w:rPr>
                <w:rFonts w:ascii="Arial" w:cs="Arial" w:eastAsia="Arial" w:hAnsi="Arial"/>
                <w:sz w:val="13"/>
                <w:szCs w:val="13"/>
                <w:color w:val="0000FF"/>
              </w:rPr>
              <w:t>Act of 2002</w:t>
            </w:r>
          </w:p>
        </w:tc>
        <w:tc>
          <w:tcPr>
            <w:tcW w:w="4400" w:type="dxa"/>
            <w:vAlign w:val="bottom"/>
            <w:tcBorders>
              <w:top w:val="single" w:sz="8" w:color="0000FF"/>
            </w:tcBorders>
            <w:gridSpan w:val="27"/>
          </w:tcPr>
          <w:p>
            <w:pPr>
              <w:spacing w:after="0"/>
              <w:rPr>
                <w:sz w:val="10"/>
                <w:szCs w:val="10"/>
                <w:color w:val="auto"/>
              </w:rPr>
            </w:pPr>
          </w:p>
        </w:tc>
        <w:tc>
          <w:tcPr>
            <w:tcW w:w="340" w:type="dxa"/>
            <w:vAlign w:val="bottom"/>
            <w:gridSpan w:val="5"/>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1"/>
        </w:trPr>
        <w:tc>
          <w:tcPr>
            <w:tcW w:w="1280" w:type="dxa"/>
            <w:vAlign w:val="bottom"/>
          </w:tcPr>
          <w:p>
            <w:pPr>
              <w:jc w:val="center"/>
              <w:ind w:right="129"/>
              <w:spacing w:after="0"/>
              <w:rPr>
                <w:sz w:val="20"/>
                <w:szCs w:val="20"/>
                <w:color w:val="auto"/>
              </w:rPr>
            </w:pPr>
            <w:r>
              <w:rPr>
                <w:rFonts w:ascii="Arial" w:cs="Arial" w:eastAsia="Arial" w:hAnsi="Arial"/>
                <w:sz w:val="14"/>
                <w:szCs w:val="14"/>
                <w:color w:val="auto"/>
              </w:rPr>
              <w:t>32.1**</w:t>
            </w:r>
          </w:p>
        </w:tc>
        <w:tc>
          <w:tcPr>
            <w:tcW w:w="5440" w:type="dxa"/>
            <w:vAlign w:val="bottom"/>
            <w:gridSpan w:val="33"/>
          </w:tcPr>
          <w:p>
            <w:pPr>
              <w:spacing w:after="0"/>
              <w:rPr>
                <w:sz w:val="20"/>
                <w:szCs w:val="20"/>
                <w:color w:val="auto"/>
              </w:rPr>
            </w:pPr>
            <w:r>
              <w:rPr>
                <w:rFonts w:ascii="Arial" w:cs="Arial" w:eastAsia="Arial" w:hAnsi="Arial"/>
                <w:sz w:val="14"/>
                <w:szCs w:val="14"/>
                <w:color w:val="0000FF"/>
              </w:rPr>
              <w:t>Certification of Principal Executive Officer and Principal Financial Officer Pursuant to</w:t>
            </w: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18"/>
        </w:trPr>
        <w:tc>
          <w:tcPr>
            <w:tcW w:w="1280" w:type="dxa"/>
            <w:vAlign w:val="bottom"/>
          </w:tcPr>
          <w:p>
            <w:pPr>
              <w:spacing w:after="0"/>
              <w:rPr>
                <w:sz w:val="10"/>
                <w:szCs w:val="10"/>
                <w:color w:val="auto"/>
              </w:rPr>
            </w:pPr>
          </w:p>
        </w:tc>
        <w:tc>
          <w:tcPr>
            <w:tcW w:w="4940" w:type="dxa"/>
            <w:vAlign w:val="bottom"/>
            <w:tcBorders>
              <w:top w:val="single" w:sz="8" w:color="0000FF"/>
            </w:tcBorders>
            <w:gridSpan w:val="25"/>
          </w:tcPr>
          <w:p>
            <w:pPr>
              <w:spacing w:after="0" w:line="118" w:lineRule="exact"/>
              <w:rPr>
                <w:sz w:val="20"/>
                <w:szCs w:val="20"/>
                <w:color w:val="auto"/>
              </w:rPr>
            </w:pPr>
            <w:r>
              <w:rPr>
                <w:rFonts w:ascii="Arial" w:cs="Arial" w:eastAsia="Arial" w:hAnsi="Arial"/>
                <w:sz w:val="13"/>
                <w:szCs w:val="13"/>
                <w:color w:val="0000FF"/>
              </w:rPr>
              <w:t>Section 906 of the Sarbanes-Oxley Act of 2002</w:t>
            </w:r>
          </w:p>
        </w:tc>
        <w:tc>
          <w:tcPr>
            <w:tcW w:w="500" w:type="dxa"/>
            <w:vAlign w:val="bottom"/>
            <w:gridSpan w:val="8"/>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595"/>
        </w:trPr>
        <w:tc>
          <w:tcPr>
            <w:tcW w:w="1280" w:type="dxa"/>
            <w:vAlign w:val="bottom"/>
          </w:tcPr>
          <w:p>
            <w:pPr>
              <w:spacing w:after="0"/>
              <w:rPr>
                <w:sz w:val="24"/>
                <w:szCs w:val="24"/>
                <w:color w:val="auto"/>
              </w:rPr>
            </w:pPr>
          </w:p>
        </w:tc>
        <w:tc>
          <w:tcPr>
            <w:tcW w:w="2680" w:type="dxa"/>
            <w:vAlign w:val="bottom"/>
            <w:tcBorders>
              <w:top w:val="single" w:sz="8" w:color="0000FF"/>
            </w:tcBorders>
            <w:gridSpan w:val="9"/>
          </w:tcPr>
          <w:p>
            <w:pPr>
              <w:spacing w:after="0"/>
              <w:rPr>
                <w:sz w:val="24"/>
                <w:szCs w:val="24"/>
                <w:color w:val="auto"/>
              </w:rPr>
            </w:pPr>
          </w:p>
        </w:tc>
        <w:tc>
          <w:tcPr>
            <w:tcW w:w="1840" w:type="dxa"/>
            <w:vAlign w:val="bottom"/>
            <w:gridSpan w:val="9"/>
          </w:tcPr>
          <w:p>
            <w:pPr>
              <w:jc w:val="right"/>
              <w:ind w:right="4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7"/>
        </w:trPr>
        <w:tc>
          <w:tcPr>
            <w:tcW w:w="12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106" w:name="page107"/>
    <w:bookmarkEnd w:id="106"/>
    <w:tbl>
      <w:tblPr>
        <w:tblLayout w:type="fixed"/>
        <w:tblInd w:w="220" w:type="dxa"/>
        <w:tblCellMar>
          <w:top w:w="0" w:type="dxa"/>
          <w:left w:w="0" w:type="dxa"/>
          <w:bottom w:w="0" w:type="dxa"/>
          <w:right w:w="0" w:type="dxa"/>
        </w:tblCellMar>
      </w:tblPr>
      <w:tr>
        <w:trPr>
          <w:trHeight w:val="161"/>
        </w:trPr>
        <w:tc>
          <w:tcPr>
            <w:tcW w:w="840" w:type="dxa"/>
            <w:vAlign w:val="bottom"/>
          </w:tcPr>
          <w:p>
            <w:pPr>
              <w:jc w:val="center"/>
              <w:ind w:right="109"/>
              <w:spacing w:after="0"/>
              <w:rPr>
                <w:sz w:val="20"/>
                <w:szCs w:val="20"/>
                <w:color w:val="auto"/>
              </w:rPr>
            </w:pPr>
            <w:r>
              <w:rPr>
                <w:rFonts w:ascii="Arial" w:cs="Arial" w:eastAsia="Arial" w:hAnsi="Arial"/>
                <w:sz w:val="14"/>
                <w:szCs w:val="14"/>
                <w:color w:val="auto"/>
                <w:w w:val="96"/>
              </w:rPr>
              <w:t>101.INS*</w:t>
            </w:r>
          </w:p>
        </w:tc>
        <w:tc>
          <w:tcPr>
            <w:tcW w:w="5400" w:type="dxa"/>
            <w:vAlign w:val="bottom"/>
          </w:tcPr>
          <w:p>
            <w:pPr>
              <w:ind w:left="240"/>
              <w:spacing w:after="0"/>
              <w:rPr>
                <w:sz w:val="20"/>
                <w:szCs w:val="20"/>
                <w:color w:val="auto"/>
              </w:rPr>
            </w:pPr>
            <w:r>
              <w:rPr>
                <w:rFonts w:ascii="Arial" w:cs="Arial" w:eastAsia="Arial" w:hAnsi="Arial"/>
                <w:sz w:val="14"/>
                <w:szCs w:val="14"/>
                <w:color w:val="auto"/>
                <w:w w:val="91"/>
              </w:rPr>
              <w:t>Inline XBRL Instance Document - the instance document does not appear in the Interactive</w:t>
            </w:r>
          </w:p>
        </w:tc>
      </w:tr>
      <w:tr>
        <w:trPr>
          <w:trHeight w:val="180"/>
        </w:trPr>
        <w:tc>
          <w:tcPr>
            <w:tcW w:w="840" w:type="dxa"/>
            <w:vAlign w:val="bottom"/>
          </w:tcPr>
          <w:p>
            <w:pPr>
              <w:spacing w:after="0"/>
              <w:rPr>
                <w:sz w:val="15"/>
                <w:szCs w:val="15"/>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Data File because its XBRL tags are embedded within the Inline XBRL document</w:t>
            </w:r>
          </w:p>
        </w:tc>
      </w:tr>
      <w:tr>
        <w:trPr>
          <w:trHeight w:val="191"/>
        </w:trPr>
        <w:tc>
          <w:tcPr>
            <w:tcW w:w="840" w:type="dxa"/>
            <w:vAlign w:val="bottom"/>
          </w:tcPr>
          <w:p>
            <w:pPr>
              <w:jc w:val="center"/>
              <w:ind w:right="129"/>
              <w:spacing w:after="0"/>
              <w:rPr>
                <w:sz w:val="20"/>
                <w:szCs w:val="20"/>
                <w:color w:val="auto"/>
              </w:rPr>
            </w:pPr>
            <w:r>
              <w:rPr>
                <w:rFonts w:ascii="Arial" w:cs="Arial" w:eastAsia="Arial" w:hAnsi="Arial"/>
                <w:sz w:val="14"/>
                <w:szCs w:val="14"/>
                <w:color w:val="auto"/>
                <w:w w:val="96"/>
              </w:rPr>
              <w:t>101.SCH*</w:t>
            </w:r>
          </w:p>
        </w:tc>
        <w:tc>
          <w:tcPr>
            <w:tcW w:w="5400" w:type="dxa"/>
            <w:vAlign w:val="bottom"/>
          </w:tcPr>
          <w:p>
            <w:pPr>
              <w:ind w:left="240"/>
              <w:spacing w:after="0"/>
              <w:rPr>
                <w:sz w:val="20"/>
                <w:szCs w:val="20"/>
                <w:color w:val="auto"/>
              </w:rPr>
            </w:pPr>
            <w:r>
              <w:rPr>
                <w:rFonts w:ascii="Arial" w:cs="Arial" w:eastAsia="Arial" w:hAnsi="Arial"/>
                <w:sz w:val="14"/>
                <w:szCs w:val="14"/>
                <w:color w:val="auto"/>
              </w:rPr>
              <w:t>Inline XBRL Taxonomy Extension Schema Document</w:t>
            </w:r>
          </w:p>
        </w:tc>
      </w:tr>
      <w:tr>
        <w:trPr>
          <w:trHeight w:val="180"/>
        </w:trPr>
        <w:tc>
          <w:tcPr>
            <w:tcW w:w="840" w:type="dxa"/>
            <w:vAlign w:val="bottom"/>
          </w:tcPr>
          <w:p>
            <w:pPr>
              <w:jc w:val="center"/>
              <w:ind w:right="129"/>
              <w:spacing w:after="0"/>
              <w:rPr>
                <w:sz w:val="20"/>
                <w:szCs w:val="20"/>
                <w:color w:val="auto"/>
              </w:rPr>
            </w:pPr>
            <w:r>
              <w:rPr>
                <w:rFonts w:ascii="Arial" w:cs="Arial" w:eastAsia="Arial" w:hAnsi="Arial"/>
                <w:sz w:val="14"/>
                <w:szCs w:val="14"/>
                <w:color w:val="auto"/>
              </w:rPr>
              <w:t>101.CAL*</w:t>
            </w:r>
          </w:p>
        </w:tc>
        <w:tc>
          <w:tcPr>
            <w:tcW w:w="5400" w:type="dxa"/>
            <w:vAlign w:val="bottom"/>
          </w:tcPr>
          <w:p>
            <w:pPr>
              <w:ind w:left="24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180"/>
        </w:trPr>
        <w:tc>
          <w:tcPr>
            <w:tcW w:w="840" w:type="dxa"/>
            <w:vAlign w:val="bottom"/>
          </w:tcPr>
          <w:p>
            <w:pPr>
              <w:jc w:val="center"/>
              <w:ind w:right="109"/>
              <w:spacing w:after="0"/>
              <w:rPr>
                <w:sz w:val="20"/>
                <w:szCs w:val="20"/>
                <w:color w:val="auto"/>
              </w:rPr>
            </w:pPr>
            <w:r>
              <w:rPr>
                <w:rFonts w:ascii="Arial" w:cs="Arial" w:eastAsia="Arial" w:hAnsi="Arial"/>
                <w:sz w:val="14"/>
                <w:szCs w:val="14"/>
                <w:color w:val="auto"/>
                <w:w w:val="95"/>
              </w:rPr>
              <w:t>101.DEF*</w:t>
            </w:r>
          </w:p>
        </w:tc>
        <w:tc>
          <w:tcPr>
            <w:tcW w:w="5400" w:type="dxa"/>
            <w:vAlign w:val="bottom"/>
          </w:tcPr>
          <w:p>
            <w:pPr>
              <w:ind w:left="24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101.LAB*</w:t>
            </w:r>
          </w:p>
        </w:tc>
        <w:tc>
          <w:tcPr>
            <w:tcW w:w="5400" w:type="dxa"/>
            <w:vAlign w:val="bottom"/>
          </w:tcPr>
          <w:p>
            <w:pPr>
              <w:ind w:left="24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101.PRE*</w:t>
            </w:r>
          </w:p>
        </w:tc>
        <w:tc>
          <w:tcPr>
            <w:tcW w:w="5400" w:type="dxa"/>
            <w:vAlign w:val="bottom"/>
          </w:tcPr>
          <w:p>
            <w:pPr>
              <w:ind w:left="240"/>
              <w:spacing w:after="0"/>
              <w:rPr>
                <w:sz w:val="20"/>
                <w:szCs w:val="20"/>
                <w:color w:val="auto"/>
              </w:rPr>
            </w:pPr>
            <w:r>
              <w:rPr>
                <w:rFonts w:ascii="Arial" w:cs="Arial" w:eastAsia="Arial" w:hAnsi="Arial"/>
                <w:sz w:val="14"/>
                <w:szCs w:val="14"/>
                <w:color w:val="auto"/>
              </w:rPr>
              <w:t>Inline XBRL Taxonomy Extension Presentation Linkbase Document</w:t>
            </w:r>
          </w:p>
        </w:tc>
      </w:tr>
    </w:tbl>
    <w:p>
      <w:pPr>
        <w:ind w:left="1300" w:hanging="860"/>
        <w:spacing w:after="0"/>
        <w:tabs>
          <w:tab w:leader="none" w:pos="1300" w:val="left"/>
        </w:tabs>
        <w:numPr>
          <w:ilvl w:val="1"/>
          <w:numId w:val="47"/>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9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78" w:lineRule="exact"/>
        <w:rPr>
          <w:rFonts w:ascii="Arial" w:cs="Arial" w:eastAsia="Arial" w:hAnsi="Arial"/>
          <w:sz w:val="14"/>
          <w:szCs w:val="14"/>
          <w:color w:val="auto"/>
        </w:rPr>
      </w:pPr>
    </w:p>
    <w:p>
      <w:pPr>
        <w:jc w:val="both"/>
        <w:ind w:left="260" w:hanging="255"/>
        <w:spacing w:after="0" w:line="267" w:lineRule="auto"/>
        <w:tabs>
          <w:tab w:leader="none" w:pos="303" w:val="left"/>
        </w:tabs>
        <w:numPr>
          <w:ilvl w:val="0"/>
          <w:numId w:val="48"/>
        </w:numPr>
        <w:rPr>
          <w:rFonts w:ascii="Arial" w:cs="Arial" w:eastAsia="Arial" w:hAnsi="Arial"/>
          <w:sz w:val="14"/>
          <w:szCs w:val="14"/>
          <w:color w:val="auto"/>
        </w:rPr>
      </w:pPr>
      <w:r>
        <w:rPr>
          <w:rFonts w:ascii="Arial" w:cs="Arial" w:eastAsia="Arial" w:hAnsi="Arial"/>
          <w:sz w:val="14"/>
          <w:szCs w:val="14"/>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42"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a management contract or compensatory plan.</w:t>
      </w:r>
    </w:p>
    <w:p>
      <w:pPr>
        <w:spacing w:after="0" w:line="179" w:lineRule="exact"/>
        <w:rPr>
          <w:sz w:val="20"/>
          <w:szCs w:val="20"/>
          <w:color w:val="auto"/>
        </w:rPr>
      </w:pPr>
    </w:p>
    <w:p>
      <w:pPr>
        <w:ind w:left="220" w:hanging="215"/>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Confidential treatment has been granted with respect to certain portions of this exhibit. Omitted portions have been filed separately with the Securities and Exchange Commission.</w:t>
      </w:r>
    </w:p>
    <w:p>
      <w:pPr>
        <w:spacing w:after="0" w:line="189" w:lineRule="exact"/>
        <w:rPr>
          <w:rFonts w:ascii="Arial" w:cs="Arial" w:eastAsia="Arial" w:hAnsi="Arial"/>
          <w:sz w:val="14"/>
          <w:szCs w:val="14"/>
          <w:color w:val="auto"/>
        </w:rPr>
      </w:pPr>
    </w:p>
    <w:p>
      <w:pPr>
        <w:spacing w:after="0" w:line="161" w:lineRule="exact"/>
        <w:rPr>
          <w:rFonts w:ascii="Arial" w:cs="Arial" w:eastAsia="Arial" w:hAnsi="Arial"/>
          <w:sz w:val="14"/>
          <w:szCs w:val="14"/>
          <w:color w:val="auto"/>
        </w:rPr>
      </w:pPr>
      <w:r>
        <w:rPr>
          <w:rFonts w:ascii="Arial" w:cs="Arial" w:eastAsia="Arial" w:hAnsi="Arial"/>
          <w:sz w:val="14"/>
          <w:szCs w:val="14"/>
          <w:color w:val="auto"/>
        </w:rPr>
        <w:t>(b) We have filed, or incorporated into this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by reference, the exhibits listed on the Exhibit Index immediately above.</w:t>
      </w:r>
    </w:p>
    <w:p>
      <w:pPr>
        <w:spacing w:after="0" w:line="19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(c) See Item 15(a)2 above.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3"/>
          <w:szCs w:val="13"/>
          <w:b w:val="1"/>
          <w:bCs w:val="1"/>
          <w:color w:val="auto"/>
        </w:rPr>
        <w:t>Form 10-K Summary.</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 provided.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1" w:right="3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4"/>
          <w:szCs w:val="14"/>
          <w:b w:val="1"/>
          <w:bCs w:val="1"/>
          <w:color w:val="auto"/>
        </w:rPr>
        <w:t>SIGNATURES</w:t>
      </w:r>
    </w:p>
    <w:p>
      <w:pPr>
        <w:spacing w:after="0" w:line="204" w:lineRule="exact"/>
        <w:rPr>
          <w:sz w:val="20"/>
          <w:szCs w:val="20"/>
          <w:color w:val="auto"/>
        </w:rPr>
      </w:pPr>
    </w:p>
    <w:p>
      <w:pPr>
        <w:ind w:firstLine="148"/>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40" w:type="dxa"/>
            <w:vAlign w:val="bottom"/>
          </w:tcPr>
          <w:p>
            <w:pPr>
              <w:spacing w:after="0"/>
              <w:rPr>
                <w:sz w:val="15"/>
                <w:szCs w:val="15"/>
                <w:color w:val="auto"/>
              </w:rPr>
            </w:pPr>
          </w:p>
        </w:tc>
        <w:tc>
          <w:tcPr>
            <w:tcW w:w="7640" w:type="dxa"/>
            <w:vAlign w:val="bottom"/>
            <w:gridSpan w:val="2"/>
          </w:tcPr>
          <w:p>
            <w:pPr>
              <w:ind w:left="2440"/>
              <w:spacing w:after="0"/>
              <w:rPr>
                <w:sz w:val="20"/>
                <w:szCs w:val="20"/>
                <w:color w:val="auto"/>
              </w:rPr>
            </w:pPr>
            <w:r>
              <w:rPr>
                <w:rFonts w:ascii="Arial" w:cs="Arial" w:eastAsia="Arial" w:hAnsi="Arial"/>
                <w:sz w:val="14"/>
                <w:szCs w:val="14"/>
                <w:color w:val="auto"/>
              </w:rPr>
              <w:t>SI-BONE, Inc.</w:t>
            </w:r>
          </w:p>
        </w:tc>
      </w:tr>
      <w:tr>
        <w:trPr>
          <w:trHeight w:val="308"/>
        </w:trPr>
        <w:tc>
          <w:tcPr>
            <w:tcW w:w="3640" w:type="dxa"/>
            <w:vAlign w:val="bottom"/>
          </w:tcPr>
          <w:p>
            <w:pPr>
              <w:ind w:left="20"/>
              <w:spacing w:after="0"/>
              <w:rPr>
                <w:sz w:val="20"/>
                <w:szCs w:val="20"/>
                <w:color w:val="auto"/>
              </w:rPr>
            </w:pPr>
            <w:r>
              <w:rPr>
                <w:rFonts w:ascii="Arial" w:cs="Arial" w:eastAsia="Arial" w:hAnsi="Arial"/>
                <w:sz w:val="14"/>
                <w:szCs w:val="14"/>
                <w:color w:val="auto"/>
              </w:rPr>
              <w:t>Date: March 2, 2023</w:t>
            </w:r>
          </w:p>
        </w:tc>
        <w:tc>
          <w:tcPr>
            <w:tcW w:w="3180" w:type="dxa"/>
            <w:vAlign w:val="bottom"/>
          </w:tcPr>
          <w:p>
            <w:pPr>
              <w:ind w:left="2440"/>
              <w:spacing w:after="0"/>
              <w:rPr>
                <w:sz w:val="20"/>
                <w:szCs w:val="20"/>
                <w:color w:val="auto"/>
              </w:rPr>
            </w:pPr>
            <w:r>
              <w:rPr>
                <w:rFonts w:ascii="Arial" w:cs="Arial" w:eastAsia="Arial" w:hAnsi="Arial"/>
                <w:sz w:val="14"/>
                <w:szCs w:val="14"/>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Laura A. Francis</w:t>
            </w:r>
          </w:p>
        </w:tc>
      </w:tr>
      <w:tr>
        <w:trPr>
          <w:trHeight w:val="171"/>
        </w:trPr>
        <w:tc>
          <w:tcPr>
            <w:tcW w:w="3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Laura A. Francis</w:t>
            </w:r>
          </w:p>
        </w:tc>
      </w:tr>
      <w:tr>
        <w:trPr>
          <w:trHeight w:val="180"/>
        </w:trPr>
        <w:tc>
          <w:tcPr>
            <w:tcW w:w="3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180"/>
        </w:trPr>
        <w:tc>
          <w:tcPr>
            <w:tcW w:w="3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(Duly Authorized Officer and Principal Executive Officer</w:t>
            </w:r>
            <w:r>
              <w:rPr>
                <w:rFonts w:ascii="Arial" w:cs="Arial" w:eastAsia="Arial" w:hAnsi="Arial"/>
                <w:sz w:val="11"/>
                <w:szCs w:val="11"/>
                <w:color w:val="auto"/>
              </w:rPr>
              <w:t>)</w:t>
            </w:r>
          </w:p>
        </w:tc>
      </w:tr>
      <w:tr>
        <w:trPr>
          <w:trHeight w:val="530"/>
        </w:trPr>
        <w:tc>
          <w:tcPr>
            <w:tcW w:w="3640" w:type="dxa"/>
            <w:vAlign w:val="bottom"/>
          </w:tcPr>
          <w:p>
            <w:pPr>
              <w:spacing w:after="0"/>
              <w:rPr>
                <w:sz w:val="24"/>
                <w:szCs w:val="24"/>
                <w:color w:val="auto"/>
              </w:rPr>
            </w:pPr>
          </w:p>
        </w:tc>
        <w:tc>
          <w:tcPr>
            <w:tcW w:w="7640" w:type="dxa"/>
            <w:vAlign w:val="bottom"/>
            <w:gridSpan w:val="2"/>
          </w:tcPr>
          <w:p>
            <w:pPr>
              <w:ind w:left="2440"/>
              <w:spacing w:after="0"/>
              <w:rPr>
                <w:sz w:val="20"/>
                <w:szCs w:val="20"/>
                <w:color w:val="auto"/>
              </w:rPr>
            </w:pPr>
            <w:r>
              <w:rPr>
                <w:rFonts w:ascii="Arial" w:cs="Arial" w:eastAsia="Arial" w:hAnsi="Arial"/>
                <w:sz w:val="14"/>
                <w:szCs w:val="14"/>
                <w:color w:val="auto"/>
              </w:rPr>
              <w:t>SI-BONE, Inc.</w:t>
            </w:r>
          </w:p>
        </w:tc>
      </w:tr>
      <w:tr>
        <w:trPr>
          <w:trHeight w:val="297"/>
        </w:trPr>
        <w:tc>
          <w:tcPr>
            <w:tcW w:w="3640" w:type="dxa"/>
            <w:vAlign w:val="bottom"/>
          </w:tcPr>
          <w:p>
            <w:pPr>
              <w:ind w:left="20"/>
              <w:spacing w:after="0"/>
              <w:rPr>
                <w:sz w:val="20"/>
                <w:szCs w:val="20"/>
                <w:color w:val="auto"/>
              </w:rPr>
            </w:pPr>
            <w:r>
              <w:rPr>
                <w:rFonts w:ascii="Arial" w:cs="Arial" w:eastAsia="Arial" w:hAnsi="Arial"/>
                <w:sz w:val="14"/>
                <w:szCs w:val="14"/>
                <w:color w:val="auto"/>
              </w:rPr>
              <w:t>Date: March 2, 2023</w:t>
            </w:r>
          </w:p>
        </w:tc>
        <w:tc>
          <w:tcPr>
            <w:tcW w:w="3180" w:type="dxa"/>
            <w:vAlign w:val="bottom"/>
          </w:tcPr>
          <w:p>
            <w:pPr>
              <w:ind w:left="2440"/>
              <w:spacing w:after="0"/>
              <w:rPr>
                <w:sz w:val="20"/>
                <w:szCs w:val="20"/>
                <w:color w:val="auto"/>
              </w:rPr>
            </w:pPr>
            <w:r>
              <w:rPr>
                <w:rFonts w:ascii="Arial" w:cs="Arial" w:eastAsia="Arial" w:hAnsi="Arial"/>
                <w:sz w:val="14"/>
                <w:szCs w:val="14"/>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Anshul Maheshwari</w:t>
            </w:r>
          </w:p>
        </w:tc>
      </w:tr>
      <w:tr>
        <w:trPr>
          <w:trHeight w:val="171"/>
        </w:trPr>
        <w:tc>
          <w:tcPr>
            <w:tcW w:w="3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Anshul Maheshwari</w:t>
            </w:r>
          </w:p>
        </w:tc>
      </w:tr>
      <w:tr>
        <w:trPr>
          <w:trHeight w:val="180"/>
        </w:trPr>
        <w:tc>
          <w:tcPr>
            <w:tcW w:w="3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180"/>
        </w:trPr>
        <w:tc>
          <w:tcPr>
            <w:tcW w:w="3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(Principal Financial and Accounting Officer)</w:t>
            </w:r>
          </w:p>
        </w:tc>
      </w:tr>
      <w:tr>
        <w:trPr>
          <w:trHeight w:val="861"/>
        </w:trPr>
        <w:tc>
          <w:tcPr>
            <w:tcW w:w="36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8" w:name="page109"/>
    <w:bookmarkEnd w:id="108"/>
    <w:p>
      <w:pPr>
        <w:jc w:val="both"/>
        <w:ind w:firstLine="318"/>
        <w:spacing w:after="0" w:line="172" w:lineRule="exact"/>
        <w:rPr>
          <w:sz w:val="20"/>
          <w:szCs w:val="20"/>
          <w:color w:val="auto"/>
        </w:rPr>
      </w:pPr>
      <w:r>
        <w:rPr>
          <w:rFonts w:ascii="Arial" w:cs="Arial" w:eastAsia="Arial" w:hAnsi="Arial"/>
          <w:sz w:val="14"/>
          <w:szCs w:val="14"/>
          <w:color w:val="auto"/>
        </w:rPr>
        <w:t>KNOW ALL PERSONS BY THESE PRESENTS, that each person whose signature appears below constitutes and appoints Laura A. Francis, and Michael A. Pisetsky,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their or his substitute or substitutes, may lawfully do or cause to be done by virtue hereof.</w:t>
      </w:r>
    </w:p>
    <w:p>
      <w:pPr>
        <w:spacing w:after="0" w:line="162"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in the capacities and on the dates indicated.</w:t>
      </w:r>
    </w:p>
    <w:p>
      <w:pPr>
        <w:spacing w:after="0" w:line="158" w:lineRule="exact"/>
        <w:rPr>
          <w:sz w:val="20"/>
          <w:szCs w:val="20"/>
          <w:color w:val="auto"/>
        </w:rPr>
      </w:pPr>
    </w:p>
    <w:p>
      <w:pPr>
        <w:ind w:left="1480"/>
        <w:spacing w:after="0"/>
        <w:tabs>
          <w:tab w:leader="none" w:pos="5640" w:val="left"/>
          <w:tab w:leader="none" w:pos="954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24765</wp:posOffset>
            </wp:positionV>
            <wp:extent cx="644080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6440805" cy="698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p>
      <w:pPr>
        <w:spacing w:after="0" w:line="273"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12065</wp:posOffset>
            </wp:positionV>
            <wp:extent cx="146177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1461770" cy="6985"/>
                    </a:xfrm>
                    <a:prstGeom prst="rect">
                      <a:avLst/>
                    </a:prstGeom>
                    <a:noFill/>
                  </pic:spPr>
                </pic:pic>
              </a:graphicData>
            </a:graphic>
          </wp:anchor>
        </w:drawing>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Laura A. Francis</w:t>
      </w:r>
    </w:p>
    <w:p>
      <w:pPr>
        <w:spacing w:after="0" w:line="242"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12065</wp:posOffset>
            </wp:positionV>
            <wp:extent cx="146177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1461770" cy="6985"/>
                    </a:xfrm>
                    <a:prstGeom prst="rect">
                      <a:avLst/>
                    </a:prstGeom>
                    <a:noFill/>
                  </pic:spPr>
                </pic:pic>
              </a:graphicData>
            </a:graphic>
          </wp:anchor>
        </w:drawing>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Anshul Maheshwari</w:t>
      </w:r>
    </w:p>
    <w:p>
      <w:pPr>
        <w:spacing w:after="0" w:line="253" w:lineRule="exact"/>
        <w:rPr>
          <w:sz w:val="20"/>
          <w:szCs w:val="20"/>
          <w:color w:val="auto"/>
        </w:rPr>
      </w:pPr>
    </w:p>
    <w:p>
      <w:pPr>
        <w:jc w:val="center"/>
        <w:ind w:left="40"/>
        <w:spacing w:after="0"/>
        <w:rPr>
          <w:sz w:val="20"/>
          <w:szCs w:val="20"/>
          <w:color w:val="auto"/>
        </w:rPr>
      </w:pPr>
      <w:r>
        <w:rPr>
          <w:rFonts w:ascii="Arial" w:cs="Arial" w:eastAsia="Arial" w:hAnsi="Arial"/>
          <w:sz w:val="13"/>
          <w:szCs w:val="13"/>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19685</wp:posOffset>
            </wp:positionV>
            <wp:extent cx="146177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1461770" cy="6985"/>
                    </a:xfrm>
                    <a:prstGeom prst="rect">
                      <a:avLst/>
                    </a:prstGeom>
                    <a:noFill/>
                  </pic:spPr>
                </pic:pic>
              </a:graphicData>
            </a:graphic>
          </wp:anchor>
        </w:drawing>
      </w:r>
    </w:p>
    <w:p>
      <w:pPr>
        <w:spacing w:after="0" w:line="32"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Timothy E. Davis, Jr.</w:t>
      </w:r>
    </w:p>
    <w:p>
      <w:pPr>
        <w:spacing w:after="0" w:line="253"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12065</wp:posOffset>
            </wp:positionV>
            <wp:extent cx="146177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1461770" cy="6985"/>
                    </a:xfrm>
                    <a:prstGeom prst="rect">
                      <a:avLst/>
                    </a:prstGeom>
                    <a:noFill/>
                  </pic:spPr>
                </pic:pic>
              </a:graphicData>
            </a:graphic>
          </wp:anchor>
        </w:drawing>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Jeffrey W. Dunn</w:t>
      </w:r>
    </w:p>
    <w:p>
      <w:pPr>
        <w:spacing w:after="0" w:line="242" w:lineRule="exact"/>
        <w:rPr>
          <w:sz w:val="20"/>
          <w:szCs w:val="20"/>
          <w:color w:val="auto"/>
        </w:rPr>
      </w:pPr>
    </w:p>
    <w:p>
      <w:pPr>
        <w:jc w:val="center"/>
        <w:ind w:left="40"/>
        <w:spacing w:after="0"/>
        <w:rPr>
          <w:sz w:val="20"/>
          <w:szCs w:val="20"/>
          <w:color w:val="auto"/>
        </w:rPr>
      </w:pPr>
      <w:r>
        <w:rPr>
          <w:rFonts w:ascii="Arial" w:cs="Arial" w:eastAsia="Arial" w:hAnsi="Arial"/>
          <w:sz w:val="12"/>
          <w:szCs w:val="12"/>
          <w:color w:val="auto"/>
        </w:rPr>
        <w:t>/s/ John G. Freund,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26670</wp:posOffset>
            </wp:positionV>
            <wp:extent cx="146177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1461770" cy="6985"/>
                    </a:xfrm>
                    <a:prstGeom prst="rect">
                      <a:avLst/>
                    </a:prstGeom>
                    <a:noFill/>
                  </pic:spPr>
                </pic:pic>
              </a:graphicData>
            </a:graphic>
          </wp:anchor>
        </w:drawing>
      </w:r>
    </w:p>
    <w:p>
      <w:pPr>
        <w:spacing w:after="0" w:line="44"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John G. Freund, M.D.</w:t>
      </w:r>
    </w:p>
    <w:p>
      <w:pPr>
        <w:spacing w:after="0" w:line="263"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/s/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12065</wp:posOffset>
            </wp:positionV>
            <wp:extent cx="146177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1461770" cy="6985"/>
                    </a:xfrm>
                    <a:prstGeom prst="rect">
                      <a:avLst/>
                    </a:prstGeom>
                    <a:noFill/>
                  </pic:spPr>
                </pic:pic>
              </a:graphicData>
            </a:graphic>
          </wp:anchor>
        </w:drawing>
      </w:r>
    </w:p>
    <w:p>
      <w:pPr>
        <w:spacing w:after="0" w:line="31"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Jeryl L. Hilleman</w:t>
      </w:r>
    </w:p>
    <w:p>
      <w:pPr>
        <w:spacing w:after="0" w:line="253" w:lineRule="exact"/>
        <w:rPr>
          <w:sz w:val="20"/>
          <w:szCs w:val="20"/>
          <w:color w:val="auto"/>
        </w:rPr>
      </w:pPr>
    </w:p>
    <w:p>
      <w:pPr>
        <w:jc w:val="center"/>
        <w:ind w:left="40"/>
        <w:spacing w:after="0"/>
        <w:rPr>
          <w:sz w:val="20"/>
          <w:szCs w:val="20"/>
          <w:color w:val="auto"/>
        </w:rPr>
      </w:pPr>
      <w:r>
        <w:rPr>
          <w:rFonts w:ascii="Arial" w:cs="Arial" w:eastAsia="Arial" w:hAnsi="Arial"/>
          <w:sz w:val="13"/>
          <w:szCs w:val="13"/>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19685</wp:posOffset>
            </wp:positionV>
            <wp:extent cx="146177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1461770" cy="6985"/>
                    </a:xfrm>
                    <a:prstGeom prst="rect">
                      <a:avLst/>
                    </a:prstGeom>
                    <a:noFill/>
                  </pic:spPr>
                </pic:pic>
              </a:graphicData>
            </a:graphic>
          </wp:anchor>
        </w:drawing>
      </w:r>
    </w:p>
    <w:p>
      <w:pPr>
        <w:spacing w:after="0" w:line="32"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Gregory K. Hinckley</w:t>
      </w:r>
    </w:p>
    <w:p>
      <w:pPr>
        <w:spacing w:after="0" w:line="253"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/s/ Helen 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12065</wp:posOffset>
            </wp:positionV>
            <wp:extent cx="146177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1461770" cy="6985"/>
                    </a:xfrm>
                    <a:prstGeom prst="rect">
                      <a:avLst/>
                    </a:prstGeom>
                    <a:noFill/>
                  </pic:spPr>
                </pic:pic>
              </a:graphicData>
            </a:graphic>
          </wp:anchor>
        </w:drawing>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Helen Loh</w:t>
      </w:r>
    </w:p>
    <w:p>
      <w:pPr>
        <w:spacing w:after="0" w:line="253"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/s/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12065</wp:posOffset>
            </wp:positionV>
            <wp:extent cx="146177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1461770" cy="6985"/>
                    </a:xfrm>
                    <a:prstGeom prst="rect">
                      <a:avLst/>
                    </a:prstGeom>
                    <a:noFill/>
                  </pic:spPr>
                </pic:pic>
              </a:graphicData>
            </a:graphic>
          </wp:anchor>
        </w:drawing>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Mika Nishimura</w:t>
      </w:r>
    </w:p>
    <w:p>
      <w:pPr>
        <w:spacing w:after="0" w:line="242"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/s/ Keith C.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12065</wp:posOffset>
            </wp:positionV>
            <wp:extent cx="146177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1461770" cy="6985"/>
                    </a:xfrm>
                    <a:prstGeom prst="rect">
                      <a:avLst/>
                    </a:prstGeom>
                    <a:noFill/>
                  </pic:spPr>
                </pic:pic>
              </a:graphicData>
            </a:graphic>
          </wp:anchor>
        </w:drawing>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Keith C. Valentine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Chief Executive Officer and Director</w:t>
      </w:r>
    </w:p>
    <w:p>
      <w:pPr>
        <w:jc w:val="center"/>
        <w:ind w:right="11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Duly Authorized Officer and Principal Executive Officer</w:t>
      </w:r>
      <w:r>
        <w:rPr>
          <w:rFonts w:ascii="Arial" w:cs="Arial" w:eastAsia="Arial" w:hAnsi="Arial"/>
          <w:sz w:val="10"/>
          <w:szCs w:val="10"/>
          <w:color w:val="auto"/>
        </w:rPr>
        <w:t>)</w:t>
      </w:r>
    </w:p>
    <w:p>
      <w:pPr>
        <w:spacing w:after="0" w:line="294"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Chief Financial Officer</w:t>
      </w:r>
    </w:p>
    <w:p>
      <w:pPr>
        <w:jc w:val="center"/>
        <w:ind w:right="1120"/>
        <w:spacing w:after="0"/>
        <w:rPr>
          <w:sz w:val="20"/>
          <w:szCs w:val="20"/>
          <w:color w:val="auto"/>
        </w:rPr>
      </w:pPr>
      <w:r>
        <w:rPr>
          <w:rFonts w:ascii="Arial" w:cs="Arial" w:eastAsia="Arial" w:hAnsi="Arial"/>
          <w:sz w:val="14"/>
          <w:szCs w:val="14"/>
          <w:i w:val="1"/>
          <w:iCs w:val="1"/>
          <w:color w:val="auto"/>
        </w:rPr>
        <w:t>(Principal Financial and Accounting Officer)</w:t>
      </w:r>
    </w:p>
    <w:p>
      <w:pPr>
        <w:spacing w:after="0" w:line="304"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Lead Independent Director, Director</w:t>
      </w:r>
    </w:p>
    <w:p>
      <w:pPr>
        <w:spacing w:after="0" w:line="200" w:lineRule="exact"/>
        <w:rPr>
          <w:sz w:val="20"/>
          <w:szCs w:val="20"/>
          <w:color w:val="auto"/>
        </w:rPr>
      </w:pPr>
    </w:p>
    <w:p>
      <w:pPr>
        <w:spacing w:after="0" w:line="254"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Executive Chairman, Director</w:t>
      </w:r>
    </w:p>
    <w:p>
      <w:pPr>
        <w:spacing w:after="0" w:line="200" w:lineRule="exact"/>
        <w:rPr>
          <w:sz w:val="20"/>
          <w:szCs w:val="20"/>
          <w:color w:val="auto"/>
        </w:rPr>
      </w:pP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54"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54"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54"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Director</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March 2,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March 2,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March 2,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March 2,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March 2, 2023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March 2, 2023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March 2,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March 2,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March 2,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March 2, 2023</w:t>
      </w:r>
    </w:p>
    <w:p>
      <w:pPr>
        <w:sectPr>
          <w:pgSz w:w="11900" w:h="16838" w:orient="portrait"/>
          <w:cols w:equalWidth="0" w:num="3">
            <w:col w:w="3420" w:space="720"/>
            <w:col w:w="4400" w:space="720"/>
            <w:col w:w="2020"/>
          </w:cols>
          <w:pgMar w:left="300" w:top="638" w:right="31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7"/>
          <w:szCs w:val="17"/>
          <w:b w:val="1"/>
          <w:bCs w:val="1"/>
          <w:color w:val="auto"/>
        </w:rPr>
        <w:t>Exhibit 10.18</w:t>
      </w:r>
    </w:p>
    <w:p>
      <w:pPr>
        <w:spacing w:after="0" w:line="160"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SI-BONE, Inc.</w:t>
      </w:r>
    </w:p>
    <w:p>
      <w:pPr>
        <w:ind w:left="3900"/>
        <w:spacing w:after="0" w:line="193" w:lineRule="auto"/>
        <w:rPr>
          <w:sz w:val="20"/>
          <w:szCs w:val="20"/>
          <w:color w:val="auto"/>
        </w:rPr>
      </w:pPr>
      <w:r>
        <w:rPr>
          <w:rFonts w:ascii="Arial" w:cs="Arial" w:eastAsia="Arial" w:hAnsi="Arial"/>
          <w:sz w:val="16"/>
          <w:szCs w:val="16"/>
          <w:b w:val="1"/>
          <w:bCs w:val="1"/>
          <w:color w:val="auto"/>
        </w:rPr>
        <w:t>2022 Non-Employee Directors’ Compensation Policy</w:t>
      </w:r>
    </w:p>
    <w:p>
      <w:pPr>
        <w:jc w:val="center"/>
        <w:spacing w:after="0" w:line="208" w:lineRule="auto"/>
        <w:rPr>
          <w:sz w:val="20"/>
          <w:szCs w:val="20"/>
          <w:color w:val="auto"/>
        </w:rPr>
      </w:pPr>
      <w:r>
        <w:rPr>
          <w:rFonts w:ascii="Arial" w:cs="Arial" w:eastAsia="Arial" w:hAnsi="Arial"/>
          <w:sz w:val="16"/>
          <w:szCs w:val="16"/>
          <w:b w:val="1"/>
          <w:bCs w:val="1"/>
          <w:color w:val="auto"/>
        </w:rPr>
        <w:t>Approved by the Board of Directors</w:t>
      </w:r>
    </w:p>
    <w:p>
      <w:pPr>
        <w:jc w:val="center"/>
        <w:spacing w:after="0"/>
        <w:rPr>
          <w:sz w:val="20"/>
          <w:szCs w:val="20"/>
          <w:color w:val="auto"/>
        </w:rPr>
      </w:pPr>
      <w:r>
        <w:rPr>
          <w:rFonts w:ascii="Arial" w:cs="Arial" w:eastAsia="Arial" w:hAnsi="Arial"/>
          <w:sz w:val="16"/>
          <w:szCs w:val="16"/>
          <w:i w:val="1"/>
          <w:iCs w:val="1"/>
          <w:color w:val="auto"/>
        </w:rPr>
        <w:t>December 1, 2022</w:t>
      </w:r>
    </w:p>
    <w:p>
      <w:pPr>
        <w:spacing w:after="0" w:line="154" w:lineRule="exact"/>
        <w:rPr>
          <w:sz w:val="20"/>
          <w:szCs w:val="20"/>
          <w:color w:val="auto"/>
        </w:rPr>
      </w:pPr>
    </w:p>
    <w:p>
      <w:pPr>
        <w:ind w:firstLine="156"/>
        <w:spacing w:after="0" w:line="238" w:lineRule="auto"/>
        <w:rPr>
          <w:sz w:val="20"/>
          <w:szCs w:val="20"/>
          <w:color w:val="auto"/>
        </w:rPr>
      </w:pPr>
      <w:r>
        <w:rPr>
          <w:rFonts w:ascii="Arial" w:cs="Arial" w:eastAsia="Arial" w:hAnsi="Arial"/>
          <w:sz w:val="14"/>
          <w:szCs w:val="14"/>
          <w:color w:val="auto"/>
        </w:rPr>
        <w:t>Each member of the Board of Directors (the “</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who is not also serving as an employee of SI-BONE,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or any of its subsidiaries (each such member, an “</w:t>
      </w:r>
      <w:r>
        <w:rPr>
          <w:rFonts w:ascii="Arial" w:cs="Arial" w:eastAsia="Arial" w:hAnsi="Arial"/>
          <w:sz w:val="14"/>
          <w:szCs w:val="14"/>
          <w:b w:val="1"/>
          <w:bCs w:val="1"/>
          <w:i w:val="1"/>
          <w:iCs w:val="1"/>
          <w:color w:val="auto"/>
        </w:rPr>
        <w:t>Eligible Director</w:t>
      </w:r>
      <w:r>
        <w:rPr>
          <w:rFonts w:ascii="Arial" w:cs="Arial" w:eastAsia="Arial" w:hAnsi="Arial"/>
          <w:sz w:val="14"/>
          <w:szCs w:val="14"/>
          <w:color w:val="auto"/>
        </w:rPr>
        <w:t>”) will receive the compensation described in this Non-Employee Directors’ Compensation Policy (the “</w:t>
      </w:r>
      <w:r>
        <w:rPr>
          <w:rFonts w:ascii="Arial" w:cs="Arial" w:eastAsia="Arial" w:hAnsi="Arial"/>
          <w:sz w:val="14"/>
          <w:szCs w:val="14"/>
          <w:b w:val="1"/>
          <w:bCs w:val="1"/>
          <w:i w:val="1"/>
          <w:iCs w:val="1"/>
          <w:color w:val="auto"/>
        </w:rPr>
        <w:t>Director Compensation Policy</w:t>
      </w:r>
      <w:r>
        <w:rPr>
          <w:rFonts w:ascii="Arial" w:cs="Arial" w:eastAsia="Arial" w:hAnsi="Arial"/>
          <w:sz w:val="14"/>
          <w:szCs w:val="14"/>
          <w:color w:val="auto"/>
        </w:rPr>
        <w:t>”) for his or her Board</w:t>
      </w:r>
    </w:p>
    <w:p>
      <w:pPr>
        <w:spacing w:after="0"/>
        <w:rPr>
          <w:sz w:val="20"/>
          <w:szCs w:val="20"/>
          <w:color w:val="auto"/>
        </w:rPr>
      </w:pPr>
      <w:r>
        <w:rPr>
          <w:rFonts w:ascii="Arial" w:cs="Arial" w:eastAsia="Arial" w:hAnsi="Arial"/>
          <w:sz w:val="16"/>
          <w:szCs w:val="16"/>
          <w:color w:val="auto"/>
        </w:rPr>
        <w:t>service. The Director Compensation Policy may be amended at any time in the sole discretion of the Board or the Compensation Committee of the Board.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Cash Compensation</w:t>
      </w:r>
    </w:p>
    <w:p>
      <w:pPr>
        <w:spacing w:after="0" w:line="162" w:lineRule="exact"/>
        <w:rPr>
          <w:sz w:val="20"/>
          <w:szCs w:val="20"/>
          <w:color w:val="auto"/>
        </w:rPr>
      </w:pPr>
    </w:p>
    <w:p>
      <w:pPr>
        <w:ind w:firstLine="201"/>
        <w:spacing w:after="0" w:line="246" w:lineRule="auto"/>
        <w:rPr>
          <w:sz w:val="20"/>
          <w:szCs w:val="20"/>
          <w:color w:val="auto"/>
        </w:rPr>
      </w:pPr>
      <w:r>
        <w:rPr>
          <w:rFonts w:ascii="Arial" w:cs="Arial" w:eastAsia="Arial" w:hAnsi="Arial"/>
          <w:sz w:val="14"/>
          <w:szCs w:val="14"/>
          <w:color w:val="auto"/>
        </w:rPr>
        <w:t>Each Eligible Director shall receive the cash compensation described below. The annual cash compensation amount set forth below is payable in equal quarterly installments, payable in arrears on the last day of each fiscal quarter in which the service occurred. If an Eligible Director joins the Board or a committee of the Board (“</w:t>
      </w:r>
      <w:r>
        <w:rPr>
          <w:rFonts w:ascii="Arial" w:cs="Arial" w:eastAsia="Arial" w:hAnsi="Arial"/>
          <w:sz w:val="14"/>
          <w:szCs w:val="14"/>
          <w:b w:val="1"/>
          <w:bCs w:val="1"/>
          <w:i w:val="1"/>
          <w:iCs w:val="1"/>
          <w:color w:val="auto"/>
        </w:rPr>
        <w:t>Committee</w:t>
      </w:r>
      <w:r>
        <w:rPr>
          <w:rFonts w:ascii="Arial" w:cs="Arial" w:eastAsia="Arial" w:hAnsi="Arial"/>
          <w:sz w:val="14"/>
          <w:szCs w:val="14"/>
          <w:color w:val="auto"/>
        </w:rPr>
        <w:t>”) at a time</w:t>
      </w:r>
    </w:p>
    <w:p>
      <w:pPr>
        <w:spacing w:after="0" w:line="229" w:lineRule="auto"/>
        <w:rPr>
          <w:sz w:val="20"/>
          <w:szCs w:val="20"/>
          <w:color w:val="auto"/>
        </w:rPr>
      </w:pPr>
      <w:r>
        <w:rPr>
          <w:rFonts w:ascii="Arial" w:cs="Arial" w:eastAsia="Arial" w:hAnsi="Arial"/>
          <w:sz w:val="14"/>
          <w:szCs w:val="14"/>
          <w:color w:val="auto"/>
        </w:rPr>
        <w:t>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retainer fees are vested</w:t>
      </w:r>
    </w:p>
    <w:p>
      <w:pPr>
        <w:spacing w:after="0"/>
        <w:rPr>
          <w:sz w:val="20"/>
          <w:szCs w:val="20"/>
          <w:color w:val="auto"/>
        </w:rPr>
      </w:pPr>
      <w:r>
        <w:rPr>
          <w:rFonts w:ascii="Arial" w:cs="Arial" w:eastAsia="Arial" w:hAnsi="Arial"/>
          <w:sz w:val="16"/>
          <w:szCs w:val="16"/>
          <w:color w:val="auto"/>
        </w:rPr>
        <w:t>upon payment.</w:t>
      </w:r>
    </w:p>
    <w:p>
      <w:pPr>
        <w:spacing w:after="0" w:line="165" w:lineRule="exact"/>
        <w:rPr>
          <w:sz w:val="20"/>
          <w:szCs w:val="20"/>
          <w:color w:val="auto"/>
        </w:rPr>
      </w:pPr>
    </w:p>
    <w:p>
      <w:pPr>
        <w:ind w:left="300" w:hanging="295"/>
        <w:spacing w:after="0"/>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Annual Board Service Retainer</w:t>
      </w:r>
      <w:r>
        <w:rPr>
          <w:rFonts w:ascii="Arial" w:cs="Arial" w:eastAsia="Arial" w:hAnsi="Arial"/>
          <w:sz w:val="16"/>
          <w:szCs w:val="16"/>
          <w:color w:val="auto"/>
        </w:rPr>
        <w:t>: $45,000 payable in cash (“</w:t>
      </w:r>
      <w:r>
        <w:rPr>
          <w:rFonts w:ascii="Arial" w:cs="Arial" w:eastAsia="Arial" w:hAnsi="Arial"/>
          <w:sz w:val="16"/>
          <w:szCs w:val="16"/>
          <w:b w:val="1"/>
          <w:bCs w:val="1"/>
          <w:i w:val="1"/>
          <w:iCs w:val="1"/>
          <w:color w:val="auto"/>
        </w:rPr>
        <w:t>Annual Retainer</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left="280" w:hanging="275"/>
        <w:spacing w:after="0"/>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Annual Committee Member / Chair Service Retainer</w:t>
      </w:r>
      <w:r>
        <w:rPr>
          <w:rFonts w:ascii="Arial" w:cs="Arial" w:eastAsia="Arial" w:hAnsi="Arial"/>
          <w:sz w:val="16"/>
          <w:szCs w:val="16"/>
          <w:color w:val="auto"/>
        </w:rPr>
        <w:t>:</w:t>
      </w:r>
    </w:p>
    <w:p>
      <w:pPr>
        <w:ind w:left="780" w:hanging="266"/>
        <w:spacing w:after="0" w:line="207" w:lineRule="auto"/>
        <w:tabs>
          <w:tab w:leader="none" w:pos="7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Member / Chairperson of the Audit Committee: $10,000 / $20,000</w:t>
      </w:r>
    </w:p>
    <w:p>
      <w:pPr>
        <w:ind w:left="780" w:hanging="266"/>
        <w:spacing w:after="0" w:line="207" w:lineRule="auto"/>
        <w:tabs>
          <w:tab w:leader="none" w:pos="7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Member / Chairperson of the Compensation Committee: $7,000 / $15,000</w:t>
      </w:r>
    </w:p>
    <w:p>
      <w:pPr>
        <w:ind w:left="780" w:hanging="266"/>
        <w:spacing w:after="0" w:line="193" w:lineRule="auto"/>
        <w:tabs>
          <w:tab w:leader="none" w:pos="7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Member / Chairperson of the N&amp;CG Committee: $5,000 / $10,000</w:t>
      </w:r>
    </w:p>
    <w:p>
      <w:pPr>
        <w:ind w:left="780" w:hanging="266"/>
        <w:spacing w:after="0"/>
        <w:tabs>
          <w:tab w:leader="none" w:pos="7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Chair of the Board: $45,000</w:t>
      </w:r>
    </w:p>
    <w:p>
      <w:pPr>
        <w:spacing w:after="0" w:line="130" w:lineRule="exact"/>
        <w:rPr>
          <w:rFonts w:ascii="Arial" w:cs="Arial" w:eastAsia="Arial" w:hAnsi="Arial"/>
          <w:sz w:val="16"/>
          <w:szCs w:val="16"/>
          <w:color w:val="auto"/>
        </w:rPr>
      </w:pPr>
    </w:p>
    <w:p>
      <w:pPr>
        <w:ind w:left="280" w:hanging="275"/>
        <w:spacing w:after="0"/>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Annual Lead Independent Director Service Retainer</w:t>
      </w:r>
      <w:r>
        <w:rPr>
          <w:rFonts w:ascii="Arial" w:cs="Arial" w:eastAsia="Arial" w:hAnsi="Arial"/>
          <w:sz w:val="16"/>
          <w:szCs w:val="16"/>
          <w:color w:val="auto"/>
        </w:rPr>
        <w:t>:</w:t>
      </w:r>
    </w:p>
    <w:p>
      <w:pPr>
        <w:ind w:left="780" w:hanging="266"/>
        <w:spacing w:after="0"/>
        <w:tabs>
          <w:tab w:leader="none" w:pos="7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Lead Independent Director: $5,000</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w:t>
      </w:r>
    </w:p>
    <w:p>
      <w:pPr>
        <w:spacing w:after="0" w:line="172" w:lineRule="exact"/>
        <w:rPr>
          <w:sz w:val="20"/>
          <w:szCs w:val="20"/>
          <w:color w:val="auto"/>
        </w:rPr>
      </w:pPr>
    </w:p>
    <w:p>
      <w:pPr>
        <w:ind w:firstLine="189"/>
        <w:spacing w:after="0" w:line="238" w:lineRule="auto"/>
        <w:rPr>
          <w:sz w:val="20"/>
          <w:szCs w:val="20"/>
          <w:color w:val="auto"/>
        </w:rPr>
      </w:pPr>
      <w:r>
        <w:rPr>
          <w:rFonts w:ascii="Arial" w:cs="Arial" w:eastAsia="Arial" w:hAnsi="Arial"/>
          <w:sz w:val="14"/>
          <w:szCs w:val="14"/>
          <w:color w:val="auto"/>
        </w:rPr>
        <w:t>The equity compensation set forth below will be granted under the SI-BONE, Inc. 2018 Equity Incentive Plan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and will be documented on the applicable form of equity award agreement most recently approved for use by the Board (or a duly authorized committee thereof) for Eligible Directors. Any stock options granted under the Director</w:t>
      </w:r>
    </w:p>
    <w:p>
      <w:pPr>
        <w:spacing w:after="0" w:line="237" w:lineRule="auto"/>
        <w:rPr>
          <w:sz w:val="20"/>
          <w:szCs w:val="20"/>
          <w:color w:val="auto"/>
        </w:rPr>
      </w:pPr>
      <w:r>
        <w:rPr>
          <w:rFonts w:ascii="Arial" w:cs="Arial" w:eastAsia="Arial" w:hAnsi="Arial"/>
          <w:sz w:val="14"/>
          <w:szCs w:val="14"/>
          <w:color w:val="auto"/>
        </w:rPr>
        <w:t>Compensation Policy will be nonstatutory stock options, with an exercise price per share equal to 100% of the Fair Market Value (as defined in the Plan) of the underlying Common</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Stock on the date of grant, and a term of ten years from the date of grant (subject to earlier termination in connection with a termination of service as provided in the Plan). Any RSU grant provided for by this Director Compensation Policy that vests quarterly shall have quarterly vesting dates of March 15, June 15, September 15 and December 15 (the</w:t>
      </w:r>
    </w:p>
    <w:p>
      <w:pPr>
        <w:spacing w:after="0" w:line="22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Quarterly Vesting Dates</w:t>
      </w:r>
      <w:r>
        <w:rPr>
          <w:rFonts w:ascii="Arial" w:cs="Arial" w:eastAsia="Arial" w:hAnsi="Arial"/>
          <w:sz w:val="16"/>
          <w:szCs w:val="16"/>
          <w:color w:val="auto"/>
        </w:rPr>
        <w:t>”), and any RSU Grant that vests annually shall vest on the earlier to occur of the one-year anniversary of the date of grant or the Company’s next Annual General Meeting of its stockholders.</w:t>
      </w:r>
    </w:p>
    <w:p>
      <w:pPr>
        <w:spacing w:after="0" w:line="143" w:lineRule="exact"/>
        <w:rPr>
          <w:sz w:val="20"/>
          <w:szCs w:val="20"/>
          <w:color w:val="auto"/>
        </w:rPr>
      </w:pPr>
    </w:p>
    <w:p>
      <w:pPr>
        <w:jc w:val="both"/>
        <w:ind w:firstLine="5"/>
        <w:spacing w:after="0" w:line="246" w:lineRule="auto"/>
        <w:tabs>
          <w:tab w:leader="none" w:pos="304"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Initial Share Grant</w:t>
      </w:r>
      <w:r>
        <w:rPr>
          <w:rFonts w:ascii="Arial" w:cs="Arial" w:eastAsia="Arial" w:hAnsi="Arial"/>
          <w:sz w:val="14"/>
          <w:szCs w:val="14"/>
          <w:color w:val="auto"/>
        </w:rPr>
        <w:t>: Upon first election to the Board, each Eligible Director will be granted, upon approval by the Board or Compensation Committee of the Board, restricted stock units having a value of $200,000 based on the 30-day trailing average of the Company’s closing stock price (the “</w:t>
      </w:r>
      <w:r>
        <w:rPr>
          <w:rFonts w:ascii="Arial" w:cs="Arial" w:eastAsia="Arial" w:hAnsi="Arial"/>
          <w:sz w:val="14"/>
          <w:szCs w:val="14"/>
          <w:b w:val="1"/>
          <w:bCs w:val="1"/>
          <w:i w:val="1"/>
          <w:iCs w:val="1"/>
          <w:color w:val="auto"/>
        </w:rPr>
        <w:t>Initial RSU Grant</w:t>
      </w:r>
      <w:r>
        <w:rPr>
          <w:rFonts w:ascii="Arial" w:cs="Arial" w:eastAsia="Arial" w:hAnsi="Arial"/>
          <w:sz w:val="14"/>
          <w:szCs w:val="14"/>
          <w:color w:val="auto"/>
        </w:rPr>
        <w:t>”). The Initial RSU Grant will vest quarterly over three years beginning on the Quarterly Vesting Date that follows the date of grant, such that the Initial RSU Grant will be fully vested on the next Quarterly Vesting Date that follows the third anniversary of the Eligible Director’s first election to the Board, subject to the Eligible Director’s Continuous Service on each applicable vesting date. In addition, in the event of a Change in Control or a Corporate Transaction, any unvested portion of the Initial RSU</w:t>
      </w:r>
    </w:p>
    <w:p>
      <w:pPr>
        <w:sectPr>
          <w:pgSz w:w="11900" w:h="16838" w:orient="portrait"/>
          <w:cols w:equalWidth="0" w:num="1">
            <w:col w:w="11280"/>
          </w:cols>
          <w:pgMar w:left="300" w:top="1127" w:right="319" w:bottom="1440" w:gutter="0" w:footer="0" w:header="0"/>
        </w:sectPr>
      </w:pPr>
    </w:p>
    <w:bookmarkStart w:id="110" w:name="page111"/>
    <w:bookmarkEnd w:id="110"/>
    <w:p>
      <w:pPr>
        <w:spacing w:after="0" w:line="232" w:lineRule="auto"/>
        <w:rPr>
          <w:sz w:val="20"/>
          <w:szCs w:val="20"/>
          <w:color w:val="auto"/>
        </w:rPr>
      </w:pPr>
      <w:r>
        <w:rPr>
          <w:rFonts w:ascii="Arial" w:cs="Arial" w:eastAsia="Arial" w:hAnsi="Arial"/>
          <w:sz w:val="16"/>
          <w:szCs w:val="16"/>
          <w:color w:val="auto"/>
        </w:rPr>
        <w:t>Grant will fully vest and become exercisable as of immediately prior to the effective time of such Change in Control or Corporate Transaction, subject to the Eligible Director’s Continuous Service on the effective date of such transaction.</w:t>
      </w:r>
    </w:p>
    <w:p>
      <w:pPr>
        <w:spacing w:after="0" w:line="154" w:lineRule="exact"/>
        <w:rPr>
          <w:sz w:val="20"/>
          <w:szCs w:val="20"/>
          <w:color w:val="auto"/>
        </w:rPr>
      </w:pPr>
    </w:p>
    <w:p>
      <w:pPr>
        <w:jc w:val="both"/>
        <w:ind w:firstLine="5"/>
        <w:spacing w:after="0"/>
        <w:tabs>
          <w:tab w:leader="none" w:pos="308"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Additional RSU Grants</w:t>
      </w:r>
      <w:r>
        <w:rPr>
          <w:rFonts w:ascii="Arial" w:cs="Arial" w:eastAsia="Arial" w:hAnsi="Arial"/>
          <w:sz w:val="14"/>
          <w:szCs w:val="14"/>
          <w:color w:val="auto"/>
        </w:rPr>
        <w:t>: The Compensation Committee may review and approve additional equity grants to Eligible Directors on the date of each subsequent annual meeting. At the first Board meeting held following the Company’s annual stockholder meeting, each incumbent Eligible Director shall receive an annual RSU grant having an approximate value of $120,000 based on the 30-day trailing average of the Company’s closing stock price, which will vest approximately one year from the grant date (the “</w:t>
      </w:r>
      <w:r>
        <w:rPr>
          <w:rFonts w:ascii="Arial" w:cs="Arial" w:eastAsia="Arial" w:hAnsi="Arial"/>
          <w:sz w:val="14"/>
          <w:szCs w:val="14"/>
          <w:b w:val="1"/>
          <w:bCs w:val="1"/>
          <w:i w:val="1"/>
          <w:iCs w:val="1"/>
          <w:color w:val="auto"/>
        </w:rPr>
        <w:t>Additional Annual</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RSU Grant</w:t>
      </w:r>
      <w:r>
        <w:rPr>
          <w:rFonts w:ascii="Arial" w:cs="Arial" w:eastAsia="Arial" w:hAnsi="Arial"/>
          <w:sz w:val="14"/>
          <w:szCs w:val="14"/>
          <w:color w:val="auto"/>
        </w:rPr>
        <w:t>”), subject to the Eligible Director’s Continuous Service on each applicable vesting date. In addition, in the event of a Change in Control or a Corporate Transaction,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unvested portion of the Additional Annual RSU Grant will fully vest and become exercisable as of immediately prior to the effective time of such Change in Control or Corporate Transaction, subject to the Eligible Director’s Continuous Service on the effective date of such transaction. With respect to any person who first becomes an Eligible Director after the annual stockholder meeting of the preceding year, the Additional Annual RSU Grant shall be prorated based on the portion of the 12-month period prior to the annual stockholder meeting that such person served as an Eligible Director. By way of example, if an Eligible Director joins the Board on March 15 and the annual stockholder meeting is held June 15, s/he would receive an Additional Annual RSU Grant having an approximate value of $30,000 based on the 30-day trailing average of the Company’s closing stock price.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Pay Limit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The aggregate value of all compensation granted or paid, as applicable, to any individual for service as an Eligible Director with respect to any calendar year, including equity</w:t>
      </w:r>
    </w:p>
    <w:p>
      <w:pPr>
        <w:spacing w:after="0" w:line="10"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compensation awards granted and cash fees paid by the Company to such Eligible Director, will not exceed (i) $750,000 in total value or (ii) in the event such Eligible Director is first appointed or elected to the Board during such calendar year, $1,000,000 in total value, in each case calculating the value of any equity awards based on the grant date fair value</w:t>
      </w:r>
    </w:p>
    <w:p>
      <w:pPr>
        <w:spacing w:after="0"/>
        <w:rPr>
          <w:sz w:val="20"/>
          <w:szCs w:val="20"/>
          <w:color w:val="auto"/>
        </w:rPr>
      </w:pPr>
      <w:r>
        <w:rPr>
          <w:rFonts w:ascii="Arial" w:cs="Arial" w:eastAsia="Arial" w:hAnsi="Arial"/>
          <w:sz w:val="16"/>
          <w:szCs w:val="16"/>
          <w:color w:val="auto"/>
        </w:rPr>
        <w:t>of such equity awards for financial reporting purposes.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Philosophy</w:t>
      </w:r>
    </w:p>
    <w:p>
      <w:pPr>
        <w:spacing w:after="0" w:line="108" w:lineRule="exact"/>
        <w:rPr>
          <w:sz w:val="20"/>
          <w:szCs w:val="20"/>
          <w:color w:val="auto"/>
        </w:rPr>
      </w:pPr>
    </w:p>
    <w:p>
      <w:pPr>
        <w:ind w:firstLine="222"/>
        <w:spacing w:after="0" w:line="246" w:lineRule="auto"/>
        <w:rPr>
          <w:sz w:val="20"/>
          <w:szCs w:val="20"/>
          <w:color w:val="auto"/>
        </w:rPr>
      </w:pPr>
      <w:r>
        <w:rPr>
          <w:rFonts w:ascii="Arial" w:cs="Arial" w:eastAsia="Arial" w:hAnsi="Arial"/>
          <w:sz w:val="14"/>
          <w:szCs w:val="14"/>
          <w:color w:val="auto"/>
        </w:rPr>
        <w:t>The Director Compensation Policy is designed to attract and retain experienced, talented individuals to serve on the Board. The Board anticipates that the Board, or a duly authorized committee thereof, will generally review Eligible Director compensation on an annual basis on or about the date of the Company’s Annual General Meeting of its</w:t>
      </w:r>
    </w:p>
    <w:p>
      <w:pPr>
        <w:spacing w:after="0" w:line="229" w:lineRule="auto"/>
        <w:rPr>
          <w:sz w:val="20"/>
          <w:szCs w:val="20"/>
          <w:color w:val="auto"/>
        </w:rPr>
      </w:pPr>
      <w:r>
        <w:rPr>
          <w:rFonts w:ascii="Arial" w:cs="Arial" w:eastAsia="Arial" w:hAnsi="Arial"/>
          <w:sz w:val="14"/>
          <w:szCs w:val="14"/>
          <w:color w:val="auto"/>
        </w:rPr>
        <w:t>stockholders. The Director Compensation Policy, as amended from time to time, may take into account the time commitment expected of Eligible Directors, best practices and market rates in director compensation, the economic position of the Company, broader economic conditions, historical compensation structure, the advice of the compensation</w:t>
      </w:r>
    </w:p>
    <w:p>
      <w:pPr>
        <w:spacing w:after="0"/>
        <w:rPr>
          <w:sz w:val="20"/>
          <w:szCs w:val="20"/>
          <w:color w:val="auto"/>
        </w:rPr>
      </w:pPr>
      <w:r>
        <w:rPr>
          <w:rFonts w:ascii="Arial" w:cs="Arial" w:eastAsia="Arial" w:hAnsi="Arial"/>
          <w:sz w:val="16"/>
          <w:szCs w:val="16"/>
          <w:color w:val="auto"/>
        </w:rPr>
        <w:t>consultant that the Compensation Committee or the Board may retain from time to time, and the potential dilutive effect of equity awards on our stockholders.</w:t>
      </w:r>
    </w:p>
    <w:p>
      <w:pPr>
        <w:spacing w:after="0" w:line="101" w:lineRule="exact"/>
        <w:rPr>
          <w:sz w:val="20"/>
          <w:szCs w:val="20"/>
          <w:color w:val="auto"/>
        </w:rPr>
      </w:pPr>
    </w:p>
    <w:p>
      <w:pPr>
        <w:ind w:firstLine="180"/>
        <w:spacing w:after="0" w:line="238" w:lineRule="auto"/>
        <w:rPr>
          <w:sz w:val="20"/>
          <w:szCs w:val="20"/>
          <w:color w:val="auto"/>
        </w:rPr>
      </w:pPr>
      <w:r>
        <w:rPr>
          <w:rFonts w:ascii="Arial" w:cs="Arial" w:eastAsia="Arial" w:hAnsi="Arial"/>
          <w:sz w:val="14"/>
          <w:szCs w:val="14"/>
          <w:color w:val="auto"/>
        </w:rPr>
        <w:t>Under the Director Compensation Policy, Eligible Directors receive cash compensation in the form of retainers to recognize their level of responsibility as well as the necessary time commitment involved in serving in a leadership role and/or on Committees. Eligible Directors also receive equity compensation because we believe that stock ownership</w:t>
      </w:r>
    </w:p>
    <w:p>
      <w:pPr>
        <w:spacing w:after="0" w:line="237" w:lineRule="auto"/>
        <w:rPr>
          <w:sz w:val="20"/>
          <w:szCs w:val="20"/>
          <w:color w:val="auto"/>
        </w:rPr>
      </w:pPr>
      <w:r>
        <w:rPr>
          <w:rFonts w:ascii="Arial" w:cs="Arial" w:eastAsia="Arial" w:hAnsi="Arial"/>
          <w:sz w:val="14"/>
          <w:szCs w:val="14"/>
          <w:color w:val="auto"/>
        </w:rPr>
        <w:t>provides an incentive to act in ways that maximize long-term stockholder value. Further, we believe that stock-based awards are essential to attracting and retaining talented Board</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members. When stock options are granted, these stock options will have an exercise price at least equal to the Fair Market Value of Common Stock on the date of grant, so that stock options provide a return only if the Fair Market Value appreciates over the period in which the stock option vests and remains exercisable. We believe that the vesting acceleration</w:t>
      </w:r>
    </w:p>
    <w:p>
      <w:pPr>
        <w:spacing w:after="0"/>
        <w:rPr>
          <w:sz w:val="20"/>
          <w:szCs w:val="20"/>
          <w:color w:val="auto"/>
        </w:rPr>
      </w:pPr>
      <w:r>
        <w:rPr>
          <w:rFonts w:ascii="Arial" w:cs="Arial" w:eastAsia="Arial" w:hAnsi="Arial"/>
          <w:sz w:val="14"/>
          <w:szCs w:val="14"/>
          <w:color w:val="auto"/>
        </w:rPr>
        <w:t>provided in the case of a Change in Control or other Corporate Transaction is consistent with market practices and is critical to attracting and retaining high quality directors.</w:t>
      </w:r>
    </w:p>
    <w:p>
      <w:pPr>
        <w:sectPr>
          <w:pgSz w:w="11900" w:h="16838" w:orient="portrait"/>
          <w:cols w:equalWidth="0" w:num="1">
            <w:col w:w="11280"/>
          </w:cols>
          <w:pgMar w:left="300" w:top="1135" w:right="319" w:bottom="1440"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9" w:name="page240"/>
    <w:bookmarkEnd w:id="239"/>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4620" w:type="dxa"/>
            <w:vAlign w:val="bottom"/>
            <w:gridSpan w:val="3"/>
          </w:tcPr>
          <w:p>
            <w:pPr>
              <w:ind w:left="180"/>
              <w:spacing w:after="0"/>
              <w:rPr>
                <w:sz w:val="20"/>
                <w:szCs w:val="20"/>
                <w:color w:val="auto"/>
              </w:rPr>
            </w:pPr>
            <w:r>
              <w:rPr>
                <w:rFonts w:ascii="Arial" w:cs="Arial" w:eastAsia="Arial" w:hAnsi="Arial"/>
                <w:sz w:val="14"/>
                <w:szCs w:val="14"/>
                <w:b w:val="1"/>
                <w:bCs w:val="1"/>
                <w:color w:val="auto"/>
              </w:rPr>
              <w:t>List of subsidiaries of the Registrant</w:t>
            </w:r>
          </w:p>
        </w:tc>
      </w:tr>
      <w:tr>
        <w:trPr>
          <w:trHeight w:val="234"/>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1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w:t>
            </w:r>
          </w:p>
        </w:tc>
      </w:tr>
      <w:tr>
        <w:trPr>
          <w:trHeight w:val="192"/>
        </w:trPr>
        <w:tc>
          <w:tcPr>
            <w:tcW w:w="2080" w:type="dxa"/>
            <w:vAlign w:val="bottom"/>
          </w:tcPr>
          <w:p>
            <w:pPr>
              <w:ind w:left="20"/>
              <w:spacing w:after="0"/>
              <w:rPr>
                <w:sz w:val="20"/>
                <w:szCs w:val="20"/>
                <w:color w:val="auto"/>
              </w:rPr>
            </w:pPr>
            <w:r>
              <w:rPr>
                <w:rFonts w:ascii="Arial" w:cs="Arial" w:eastAsia="Arial" w:hAnsi="Arial"/>
                <w:sz w:val="16"/>
                <w:szCs w:val="16"/>
                <w:color w:val="auto"/>
              </w:rPr>
              <w:t>SI-BONE S.R.L.</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Arial" w:cs="Arial" w:eastAsia="Arial" w:hAnsi="Arial"/>
                <w:sz w:val="14"/>
                <w:szCs w:val="14"/>
                <w:color w:val="auto"/>
              </w:rPr>
              <w:t>Italy</w:t>
            </w:r>
          </w:p>
        </w:tc>
      </w:tr>
      <w:tr>
        <w:trPr>
          <w:trHeight w:val="212"/>
        </w:trPr>
        <w:tc>
          <w:tcPr>
            <w:tcW w:w="2080" w:type="dxa"/>
            <w:vAlign w:val="bottom"/>
          </w:tcPr>
          <w:p>
            <w:pPr>
              <w:ind w:left="20"/>
              <w:spacing w:after="0"/>
              <w:rPr>
                <w:sz w:val="20"/>
                <w:szCs w:val="20"/>
                <w:color w:val="auto"/>
              </w:rPr>
            </w:pPr>
            <w:r>
              <w:rPr>
                <w:rFonts w:ascii="Arial" w:cs="Arial" w:eastAsia="Arial" w:hAnsi="Arial"/>
                <w:sz w:val="16"/>
                <w:szCs w:val="16"/>
                <w:color w:val="auto"/>
                <w:w w:val="97"/>
              </w:rPr>
              <w:t>SI-BONE Deutschland GmbH</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212"/>
        </w:trPr>
        <w:tc>
          <w:tcPr>
            <w:tcW w:w="2080" w:type="dxa"/>
            <w:vAlign w:val="bottom"/>
          </w:tcPr>
          <w:p>
            <w:pPr>
              <w:ind w:left="20"/>
              <w:spacing w:after="0"/>
              <w:rPr>
                <w:sz w:val="20"/>
                <w:szCs w:val="20"/>
                <w:color w:val="auto"/>
              </w:rPr>
            </w:pPr>
            <w:r>
              <w:rPr>
                <w:rFonts w:ascii="Arial" w:cs="Arial" w:eastAsia="Arial" w:hAnsi="Arial"/>
                <w:sz w:val="16"/>
                <w:szCs w:val="16"/>
                <w:color w:val="auto"/>
              </w:rPr>
              <w:t>SI-BONE UK LTD</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Arial" w:cs="Arial" w:eastAsia="Arial" w:hAnsi="Arial"/>
                <w:sz w:val="14"/>
                <w:szCs w:val="14"/>
                <w:color w:val="auto"/>
              </w:rPr>
              <w:t>United Kingdom</w:t>
            </w:r>
          </w:p>
        </w:tc>
      </w:tr>
    </w:tbl>
    <w:p>
      <w:pPr>
        <w:sectPr>
          <w:pgSz w:w="11900" w:h="16838" w:orient="portrait"/>
          <w:cols w:equalWidth="0" w:num="1">
            <w:col w:w="10140"/>
          </w:cols>
          <w:pgMar w:left="1440" w:top="634" w:right="3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93"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hereby consent to the incorporation by reference in the Registration Statements on Form S-8 (Nos. 333-227907, 333-230473, 333-237091, 333-254086 and 333-263189) of SI-BONE, Inc. of our report dated March 2, 2023 relating to the financial statements, which appears in this Form 10-K.</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March 2, 2023</w:t>
      </w:r>
    </w:p>
    <w:p>
      <w:pPr>
        <w:sectPr>
          <w:pgSz w:w="11900" w:h="16838" w:orient="portrait"/>
          <w:cols w:equalWidth="0" w:num="1">
            <w:col w:w="11280"/>
          </w:cols>
          <w:pgMar w:left="300" w:top="634" w:right="3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4"/>
          <w:szCs w:val="14"/>
          <w:b w:val="1"/>
          <w:bCs w:val="1"/>
          <w:color w:val="auto"/>
        </w:rPr>
        <w:t>Exhibit 31.1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Laura A. Francis, certify that:</w:t>
      </w:r>
    </w:p>
    <w:p>
      <w:pPr>
        <w:spacing w:after="0" w:line="179" w:lineRule="exact"/>
        <w:rPr>
          <w:sz w:val="20"/>
          <w:szCs w:val="20"/>
          <w:color w:val="auto"/>
        </w:rPr>
      </w:pPr>
    </w:p>
    <w:p>
      <w:pPr>
        <w:ind w:left="260" w:hanging="255"/>
        <w:spacing w:after="0"/>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 have reviewed this Form 10-K of SI-BONE, Inc.;</w:t>
      </w:r>
    </w:p>
    <w:p>
      <w:pPr>
        <w:spacing w:after="0" w:line="199"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580" w:hanging="320"/>
        <w:spacing w:after="0" w:line="321" w:lineRule="auto"/>
        <w:tabs>
          <w:tab w:leader="none" w:pos="570" w:val="left"/>
        </w:tabs>
        <w:numPr>
          <w:ilvl w:val="1"/>
          <w:numId w:val="5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left="580" w:hanging="320"/>
        <w:spacing w:after="0" w:line="321" w:lineRule="auto"/>
        <w:tabs>
          <w:tab w:leader="none" w:pos="570" w:val="left"/>
        </w:tabs>
        <w:numPr>
          <w:ilvl w:val="1"/>
          <w:numId w:val="5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3"/>
          <w:szCs w:val="13"/>
          <w:color w:val="auto"/>
        </w:rPr>
      </w:pPr>
    </w:p>
    <w:p>
      <w:pPr>
        <w:ind w:left="580" w:hanging="320"/>
        <w:spacing w:after="0" w:line="281" w:lineRule="auto"/>
        <w:tabs>
          <w:tab w:leader="none" w:pos="570" w:val="left"/>
        </w:tabs>
        <w:numPr>
          <w:ilvl w:val="1"/>
          <w:numId w:val="5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580" w:hanging="320"/>
        <w:spacing w:after="0" w:line="281" w:lineRule="auto"/>
        <w:tabs>
          <w:tab w:leader="none" w:pos="570" w:val="left"/>
        </w:tabs>
        <w:numPr>
          <w:ilvl w:val="1"/>
          <w:numId w:val="5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3" w:lineRule="exact"/>
        <w:rPr>
          <w:sz w:val="20"/>
          <w:szCs w:val="20"/>
          <w:color w:val="auto"/>
        </w:rPr>
      </w:pPr>
    </w:p>
    <w:p>
      <w:pPr>
        <w:ind w:left="260" w:hanging="255"/>
        <w:spacing w:after="0" w:line="281" w:lineRule="auto"/>
        <w:tabs>
          <w:tab w:leader="none" w:pos="25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580" w:hanging="320"/>
        <w:spacing w:after="0" w:line="281" w:lineRule="auto"/>
        <w:tabs>
          <w:tab w:leader="none" w:pos="570" w:val="left"/>
        </w:tabs>
        <w:numPr>
          <w:ilvl w:val="1"/>
          <w:numId w:val="5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560" w:hanging="300"/>
        <w:spacing w:after="0"/>
        <w:tabs>
          <w:tab w:leader="none" w:pos="560" w:val="left"/>
        </w:tabs>
        <w:numPr>
          <w:ilvl w:val="1"/>
          <w:numId w:val="5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tbl>
      <w:tblPr>
        <w:tblLayout w:type="fixed"/>
        <w:tblInd w:w="780" w:type="dxa"/>
        <w:tblCellMar>
          <w:top w:w="0" w:type="dxa"/>
          <w:left w:w="0" w:type="dxa"/>
          <w:bottom w:w="0" w:type="dxa"/>
          <w:right w:w="0" w:type="dxa"/>
        </w:tblCellMar>
      </w:tblPr>
      <w:tr>
        <w:trPr>
          <w:trHeight w:val="180"/>
        </w:trPr>
        <w:tc>
          <w:tcPr>
            <w:tcW w:w="5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 Laura A. Francis</w:t>
            </w:r>
          </w:p>
        </w:tc>
      </w:tr>
      <w:tr>
        <w:trPr>
          <w:trHeight w:val="171"/>
        </w:trPr>
        <w:tc>
          <w:tcPr>
            <w:tcW w:w="520" w:type="dxa"/>
            <w:vAlign w:val="bottom"/>
          </w:tcPr>
          <w:p>
            <w:pPr>
              <w:spacing w:after="0"/>
              <w:rPr>
                <w:sz w:val="20"/>
                <w:szCs w:val="20"/>
                <w:color w:val="auto"/>
              </w:rPr>
            </w:pPr>
            <w:r>
              <w:rPr>
                <w:rFonts w:ascii="Arial" w:cs="Arial" w:eastAsia="Arial" w:hAnsi="Arial"/>
                <w:sz w:val="14"/>
                <w:szCs w:val="14"/>
                <w:color w:val="auto"/>
              </w:rPr>
              <w:t>Date:</w:t>
            </w:r>
          </w:p>
        </w:tc>
        <w:tc>
          <w:tcPr>
            <w:tcW w:w="4380" w:type="dxa"/>
            <w:vAlign w:val="bottom"/>
          </w:tcPr>
          <w:p>
            <w:pPr>
              <w:ind w:left="220"/>
              <w:spacing w:after="0"/>
              <w:rPr>
                <w:sz w:val="20"/>
                <w:szCs w:val="20"/>
                <w:color w:val="auto"/>
              </w:rPr>
            </w:pPr>
            <w:r>
              <w:rPr>
                <w:rFonts w:ascii="Arial" w:cs="Arial" w:eastAsia="Arial" w:hAnsi="Arial"/>
                <w:sz w:val="14"/>
                <w:szCs w:val="14"/>
                <w:color w:val="auto"/>
              </w:rPr>
              <w:t>March 2, 2023</w:t>
            </w:r>
          </w:p>
        </w:tc>
        <w:tc>
          <w:tcPr>
            <w:tcW w:w="4840" w:type="dxa"/>
            <w:vAlign w:val="bottom"/>
          </w:tcPr>
          <w:p>
            <w:pPr>
              <w:jc w:val="center"/>
              <w:spacing w:after="0"/>
              <w:rPr>
                <w:sz w:val="20"/>
                <w:szCs w:val="20"/>
                <w:color w:val="auto"/>
              </w:rPr>
            </w:pPr>
            <w:r>
              <w:rPr>
                <w:rFonts w:ascii="Arial" w:cs="Arial" w:eastAsia="Arial" w:hAnsi="Arial"/>
                <w:sz w:val="14"/>
                <w:szCs w:val="14"/>
                <w:color w:val="auto"/>
                <w:w w:val="93"/>
              </w:rPr>
              <w:t>Laura A. Francis</w:t>
            </w:r>
          </w:p>
        </w:tc>
      </w:tr>
      <w:tr>
        <w:trPr>
          <w:trHeight w:val="180"/>
        </w:trPr>
        <w:tc>
          <w:tcPr>
            <w:tcW w:w="5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4840" w:type="dxa"/>
            <w:vAlign w:val="bottom"/>
          </w:tcPr>
          <w:p>
            <w:pPr>
              <w:jc w:val="center"/>
              <w:spacing w:after="0"/>
              <w:rPr>
                <w:sz w:val="20"/>
                <w:szCs w:val="20"/>
                <w:color w:val="auto"/>
              </w:rPr>
            </w:pPr>
            <w:r>
              <w:rPr>
                <w:rFonts w:ascii="Arial" w:cs="Arial" w:eastAsia="Arial" w:hAnsi="Arial"/>
                <w:sz w:val="14"/>
                <w:szCs w:val="14"/>
                <w:color w:val="auto"/>
                <w:w w:val="95"/>
              </w:rPr>
              <w:t>Chief Executive Officer</w:t>
            </w:r>
          </w:p>
        </w:tc>
      </w:tr>
      <w:tr>
        <w:trPr>
          <w:trHeight w:val="180"/>
        </w:trPr>
        <w:tc>
          <w:tcPr>
            <w:tcW w:w="5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4840" w:type="dxa"/>
            <w:vAlign w:val="bottom"/>
          </w:tcPr>
          <w:p>
            <w:pPr>
              <w:jc w:val="center"/>
              <w:spacing w:after="0"/>
              <w:rPr>
                <w:sz w:val="20"/>
                <w:szCs w:val="20"/>
                <w:color w:val="auto"/>
              </w:rPr>
            </w:pPr>
            <w:r>
              <w:rPr>
                <w:rFonts w:ascii="Arial" w:cs="Arial" w:eastAsia="Arial" w:hAnsi="Arial"/>
                <w:sz w:val="14"/>
                <w:szCs w:val="14"/>
                <w:color w:val="auto"/>
                <w:w w:val="94"/>
              </w:rPr>
              <w:t>(Principal Executive Officer)</w:t>
            </w:r>
          </w:p>
        </w:tc>
      </w:tr>
    </w:tbl>
    <w:p>
      <w:pPr>
        <w:sectPr>
          <w:pgSz w:w="11900" w:h="16838" w:orient="portrait"/>
          <w:cols w:equalWidth="0" w:num="1">
            <w:col w:w="11280"/>
          </w:cols>
          <w:pgMar w:left="300" w:top="634" w:right="319" w:bottom="1440" w:gutter="0" w:footer="0" w:header="0"/>
        </w:sectPr>
      </w:pPr>
    </w:p>
    <w:bookmarkStart w:id="242" w:name="page243"/>
    <w:bookmarkEnd w:id="242"/>
    <w:p>
      <w:pPr>
        <w:jc w:val="right"/>
        <w:spacing w:after="0"/>
        <w:rPr>
          <w:sz w:val="20"/>
          <w:szCs w:val="20"/>
          <w:color w:val="auto"/>
        </w:rPr>
      </w:pPr>
      <w:r>
        <w:rPr>
          <w:rFonts w:ascii="Arial" w:cs="Arial" w:eastAsia="Arial" w:hAnsi="Arial"/>
          <w:sz w:val="14"/>
          <w:szCs w:val="14"/>
          <w:b w:val="1"/>
          <w:bCs w:val="1"/>
          <w:color w:val="auto"/>
        </w:rPr>
        <w:t>Exhibit 31.2</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Anshul Maheshwari, certify that:</w:t>
      </w:r>
    </w:p>
    <w:p>
      <w:pPr>
        <w:spacing w:after="0" w:line="285" w:lineRule="exact"/>
        <w:rPr>
          <w:sz w:val="20"/>
          <w:szCs w:val="20"/>
          <w:color w:val="auto"/>
        </w:rPr>
      </w:pPr>
    </w:p>
    <w:p>
      <w:pPr>
        <w:ind w:left="260" w:hanging="255"/>
        <w:spacing w:after="0"/>
        <w:tabs>
          <w:tab w:leader="none" w:pos="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 have reviewed this Form 10-K of SI-BONE, Inc.;</w:t>
      </w:r>
    </w:p>
    <w:p>
      <w:pPr>
        <w:spacing w:after="0" w:line="199"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260" w:hanging="255"/>
        <w:spacing w:after="0" w:line="281" w:lineRule="auto"/>
        <w:tabs>
          <w:tab w:leader="none" w:pos="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580" w:hanging="320"/>
        <w:spacing w:after="0" w:line="321" w:lineRule="auto"/>
        <w:tabs>
          <w:tab w:leader="none" w:pos="570" w:val="left"/>
        </w:tabs>
        <w:numPr>
          <w:ilvl w:val="1"/>
          <w:numId w:val="5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left="580" w:hanging="320"/>
        <w:spacing w:after="0" w:line="321" w:lineRule="auto"/>
        <w:tabs>
          <w:tab w:leader="none" w:pos="570" w:val="left"/>
        </w:tabs>
        <w:numPr>
          <w:ilvl w:val="1"/>
          <w:numId w:val="5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3"/>
          <w:szCs w:val="13"/>
          <w:color w:val="auto"/>
        </w:rPr>
      </w:pPr>
    </w:p>
    <w:p>
      <w:pPr>
        <w:ind w:left="580" w:hanging="320"/>
        <w:spacing w:after="0" w:line="281" w:lineRule="auto"/>
        <w:tabs>
          <w:tab w:leader="none" w:pos="570" w:val="left"/>
        </w:tabs>
        <w:numPr>
          <w:ilvl w:val="1"/>
          <w:numId w:val="5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580" w:hanging="320"/>
        <w:spacing w:after="0" w:line="321" w:lineRule="auto"/>
        <w:tabs>
          <w:tab w:leader="none" w:pos="570" w:val="left"/>
        </w:tabs>
        <w:numPr>
          <w:ilvl w:val="1"/>
          <w:numId w:val="5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sz w:val="20"/>
          <w:szCs w:val="20"/>
          <w:color w:val="auto"/>
        </w:rPr>
      </w:pPr>
    </w:p>
    <w:p>
      <w:pPr>
        <w:ind w:left="260" w:hanging="255"/>
        <w:spacing w:after="0" w:line="281" w:lineRule="auto"/>
        <w:tabs>
          <w:tab w:leader="none" w:pos="25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580" w:hanging="320"/>
        <w:spacing w:after="0" w:line="281" w:lineRule="auto"/>
        <w:tabs>
          <w:tab w:leader="none" w:pos="570" w:val="left"/>
        </w:tabs>
        <w:numPr>
          <w:ilvl w:val="1"/>
          <w:numId w:val="5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560" w:hanging="300"/>
        <w:spacing w:after="0"/>
        <w:tabs>
          <w:tab w:leader="none" w:pos="560" w:val="left"/>
        </w:tabs>
        <w:numPr>
          <w:ilvl w:val="1"/>
          <w:numId w:val="5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7" w:lineRule="exact"/>
        <w:rPr>
          <w:sz w:val="20"/>
          <w:szCs w:val="20"/>
          <w:color w:val="auto"/>
        </w:rPr>
      </w:pPr>
    </w:p>
    <w:tbl>
      <w:tblPr>
        <w:tblLayout w:type="fixed"/>
        <w:tblInd w:w="760" w:type="dxa"/>
        <w:tblCellMar>
          <w:top w:w="0" w:type="dxa"/>
          <w:left w:w="0" w:type="dxa"/>
          <w:bottom w:w="0" w:type="dxa"/>
          <w:right w:w="0" w:type="dxa"/>
        </w:tblCellMar>
      </w:tblPr>
      <w:tr>
        <w:trPr>
          <w:trHeight w:val="180"/>
        </w:trPr>
        <w:tc>
          <w:tcPr>
            <w:tcW w:w="5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 Anshul Maheshwari</w:t>
            </w:r>
          </w:p>
        </w:tc>
      </w:tr>
      <w:tr>
        <w:trPr>
          <w:trHeight w:val="171"/>
        </w:trPr>
        <w:tc>
          <w:tcPr>
            <w:tcW w:w="500" w:type="dxa"/>
            <w:vAlign w:val="bottom"/>
          </w:tcPr>
          <w:p>
            <w:pPr>
              <w:spacing w:after="0"/>
              <w:rPr>
                <w:sz w:val="20"/>
                <w:szCs w:val="20"/>
                <w:color w:val="auto"/>
              </w:rPr>
            </w:pPr>
            <w:r>
              <w:rPr>
                <w:rFonts w:ascii="Arial" w:cs="Arial" w:eastAsia="Arial" w:hAnsi="Arial"/>
                <w:sz w:val="14"/>
                <w:szCs w:val="14"/>
                <w:color w:val="auto"/>
              </w:rPr>
              <w:t>Date:</w:t>
            </w:r>
          </w:p>
        </w:tc>
        <w:tc>
          <w:tcPr>
            <w:tcW w:w="4460" w:type="dxa"/>
            <w:vAlign w:val="bottom"/>
          </w:tcPr>
          <w:p>
            <w:pPr>
              <w:ind w:left="200"/>
              <w:spacing w:after="0"/>
              <w:rPr>
                <w:sz w:val="20"/>
                <w:szCs w:val="20"/>
                <w:color w:val="auto"/>
              </w:rPr>
            </w:pPr>
            <w:r>
              <w:rPr>
                <w:rFonts w:ascii="Arial" w:cs="Arial" w:eastAsia="Arial" w:hAnsi="Arial"/>
                <w:sz w:val="14"/>
                <w:szCs w:val="14"/>
                <w:color w:val="auto"/>
              </w:rPr>
              <w:t>March 2, 2023</w:t>
            </w:r>
          </w:p>
        </w:tc>
        <w:tc>
          <w:tcPr>
            <w:tcW w:w="4840" w:type="dxa"/>
            <w:vAlign w:val="bottom"/>
          </w:tcPr>
          <w:p>
            <w:pPr>
              <w:jc w:val="center"/>
              <w:spacing w:after="0"/>
              <w:rPr>
                <w:sz w:val="20"/>
                <w:szCs w:val="20"/>
                <w:color w:val="auto"/>
              </w:rPr>
            </w:pPr>
            <w:r>
              <w:rPr>
                <w:rFonts w:ascii="Arial" w:cs="Arial" w:eastAsia="Arial" w:hAnsi="Arial"/>
                <w:sz w:val="14"/>
                <w:szCs w:val="14"/>
                <w:color w:val="auto"/>
                <w:w w:val="93"/>
              </w:rPr>
              <w:t>Anshul Maheshwari</w:t>
            </w:r>
          </w:p>
        </w:tc>
      </w:tr>
      <w:tr>
        <w:trPr>
          <w:trHeight w:val="180"/>
        </w:trPr>
        <w:tc>
          <w:tcPr>
            <w:tcW w:w="5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4840" w:type="dxa"/>
            <w:vAlign w:val="bottom"/>
          </w:tcPr>
          <w:p>
            <w:pPr>
              <w:jc w:val="center"/>
              <w:spacing w:after="0"/>
              <w:rPr>
                <w:sz w:val="20"/>
                <w:szCs w:val="20"/>
                <w:color w:val="auto"/>
              </w:rPr>
            </w:pPr>
            <w:r>
              <w:rPr>
                <w:rFonts w:ascii="Arial" w:cs="Arial" w:eastAsia="Arial" w:hAnsi="Arial"/>
                <w:sz w:val="14"/>
                <w:szCs w:val="14"/>
                <w:color w:val="auto"/>
                <w:w w:val="95"/>
              </w:rPr>
              <w:t>Chief Financial Officer</w:t>
            </w:r>
          </w:p>
        </w:tc>
      </w:tr>
      <w:tr>
        <w:trPr>
          <w:trHeight w:val="180"/>
        </w:trPr>
        <w:tc>
          <w:tcPr>
            <w:tcW w:w="5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4840" w:type="dxa"/>
            <w:vAlign w:val="bottom"/>
          </w:tcPr>
          <w:p>
            <w:pPr>
              <w:jc w:val="center"/>
              <w:spacing w:after="0"/>
              <w:rPr>
                <w:sz w:val="20"/>
                <w:szCs w:val="20"/>
                <w:color w:val="auto"/>
              </w:rPr>
            </w:pPr>
            <w:r>
              <w:rPr>
                <w:rFonts w:ascii="Arial" w:cs="Arial" w:eastAsia="Arial" w:hAnsi="Arial"/>
                <w:sz w:val="14"/>
                <w:szCs w:val="14"/>
                <w:color w:val="auto"/>
                <w:w w:val="94"/>
              </w:rPr>
              <w:t>(Principal Financial and Accounting Officer)</w:t>
            </w:r>
          </w:p>
        </w:tc>
      </w:tr>
    </w:tbl>
    <w:p>
      <w:pPr>
        <w:sectPr>
          <w:pgSz w:w="11900" w:h="16838" w:orient="portrait"/>
          <w:cols w:equalWidth="0" w:num="1">
            <w:col w:w="11280"/>
          </w:cols>
          <w:pgMar w:left="300" w:top="634" w:right="3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certify that, to the best of his or her knowledge:</w:t>
      </w:r>
    </w:p>
    <w:p>
      <w:pPr>
        <w:spacing w:after="0" w:line="142" w:lineRule="exact"/>
        <w:rPr>
          <w:sz w:val="20"/>
          <w:szCs w:val="20"/>
          <w:color w:val="auto"/>
        </w:rPr>
      </w:pPr>
    </w:p>
    <w:p>
      <w:pPr>
        <w:ind w:left="260" w:hanging="255"/>
        <w:spacing w:after="0" w:line="281" w:lineRule="auto"/>
        <w:tabs>
          <w:tab w:leader="none" w:pos="321"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Company’s Annual Report on Form 10-K for the period ended December 31, 2022, to which this Certification is attached as Exhibit 32.1 (the “Periodic Report”), fully complies with the requirements Section 13(a) or 15(d) of the Securities Exchange Act of 1934; and</w:t>
      </w:r>
    </w:p>
    <w:p>
      <w:pPr>
        <w:spacing w:after="0" w:line="132" w:lineRule="exact"/>
        <w:rPr>
          <w:rFonts w:ascii="Arial" w:cs="Arial" w:eastAsia="Arial" w:hAnsi="Arial"/>
          <w:sz w:val="14"/>
          <w:szCs w:val="14"/>
          <w:color w:val="auto"/>
        </w:rPr>
      </w:pPr>
    </w:p>
    <w:p>
      <w:pPr>
        <w:ind w:left="280" w:hanging="275"/>
        <w:spacing w:after="0"/>
        <w:tabs>
          <w:tab w:leader="none" w:pos="2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information contained in the Periodic Report fairly presents, in all material respects, the financial condition and results of operations of the Company.</w:t>
      </w:r>
    </w:p>
    <w:p>
      <w:pPr>
        <w:spacing w:after="0" w:line="115" w:lineRule="exact"/>
        <w:rPr>
          <w:sz w:val="20"/>
          <w:szCs w:val="20"/>
          <w:color w:val="auto"/>
        </w:rPr>
      </w:pPr>
    </w:p>
    <w:tbl>
      <w:tblPr>
        <w:tblLayout w:type="fixed"/>
        <w:tblInd w:w="620" w:type="dxa"/>
        <w:tblCellMar>
          <w:top w:w="0" w:type="dxa"/>
          <w:left w:w="0" w:type="dxa"/>
          <w:bottom w:w="0" w:type="dxa"/>
          <w:right w:w="0" w:type="dxa"/>
        </w:tblCellMar>
      </w:tblPr>
      <w:tr>
        <w:trPr>
          <w:trHeight w:val="180"/>
        </w:trPr>
        <w:tc>
          <w:tcPr>
            <w:tcW w:w="50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 Laura A. Francis</w:t>
            </w:r>
          </w:p>
        </w:tc>
      </w:tr>
      <w:tr>
        <w:trPr>
          <w:trHeight w:val="171"/>
        </w:trPr>
        <w:tc>
          <w:tcPr>
            <w:tcW w:w="500" w:type="dxa"/>
            <w:vAlign w:val="bottom"/>
          </w:tcPr>
          <w:p>
            <w:pPr>
              <w:spacing w:after="0"/>
              <w:rPr>
                <w:sz w:val="20"/>
                <w:szCs w:val="20"/>
                <w:color w:val="auto"/>
              </w:rPr>
            </w:pPr>
            <w:r>
              <w:rPr>
                <w:rFonts w:ascii="Arial" w:cs="Arial" w:eastAsia="Arial" w:hAnsi="Arial"/>
                <w:sz w:val="14"/>
                <w:szCs w:val="14"/>
                <w:color w:val="auto"/>
              </w:rPr>
              <w:t>Date:</w:t>
            </w:r>
          </w:p>
        </w:tc>
        <w:tc>
          <w:tcPr>
            <w:tcW w:w="5120" w:type="dxa"/>
            <w:vAlign w:val="bottom"/>
          </w:tcPr>
          <w:p>
            <w:pPr>
              <w:ind w:left="180"/>
              <w:spacing w:after="0"/>
              <w:rPr>
                <w:sz w:val="20"/>
                <w:szCs w:val="20"/>
                <w:color w:val="auto"/>
              </w:rPr>
            </w:pPr>
            <w:r>
              <w:rPr>
                <w:rFonts w:ascii="Arial" w:cs="Arial" w:eastAsia="Arial" w:hAnsi="Arial"/>
                <w:sz w:val="14"/>
                <w:szCs w:val="14"/>
                <w:color w:val="auto"/>
              </w:rPr>
              <w:t>March 2, 2023</w:t>
            </w:r>
          </w:p>
        </w:tc>
        <w:tc>
          <w:tcPr>
            <w:tcW w:w="4440" w:type="dxa"/>
            <w:vAlign w:val="bottom"/>
          </w:tcPr>
          <w:p>
            <w:pPr>
              <w:jc w:val="center"/>
              <w:spacing w:after="0"/>
              <w:rPr>
                <w:sz w:val="20"/>
                <w:szCs w:val="20"/>
                <w:color w:val="auto"/>
              </w:rPr>
            </w:pPr>
            <w:r>
              <w:rPr>
                <w:rFonts w:ascii="Arial" w:cs="Arial" w:eastAsia="Arial" w:hAnsi="Arial"/>
                <w:sz w:val="14"/>
                <w:szCs w:val="14"/>
                <w:color w:val="auto"/>
                <w:w w:val="93"/>
              </w:rPr>
              <w:t>Laura A. Francis</w:t>
            </w:r>
          </w:p>
        </w:tc>
      </w:tr>
      <w:tr>
        <w:trPr>
          <w:trHeight w:val="180"/>
        </w:trPr>
        <w:tc>
          <w:tcPr>
            <w:tcW w:w="50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Arial" w:cs="Arial" w:eastAsia="Arial" w:hAnsi="Arial"/>
                <w:sz w:val="14"/>
                <w:szCs w:val="14"/>
                <w:color w:val="auto"/>
                <w:w w:val="95"/>
              </w:rPr>
              <w:t>Chief Executive Officer</w:t>
            </w:r>
          </w:p>
        </w:tc>
      </w:tr>
      <w:tr>
        <w:trPr>
          <w:trHeight w:val="180"/>
        </w:trPr>
        <w:tc>
          <w:tcPr>
            <w:tcW w:w="50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Arial" w:cs="Arial" w:eastAsia="Arial" w:hAnsi="Arial"/>
                <w:sz w:val="14"/>
                <w:szCs w:val="14"/>
                <w:color w:val="auto"/>
                <w:w w:val="94"/>
              </w:rPr>
              <w:t>(Principal Executive Officer)</w:t>
            </w:r>
          </w:p>
        </w:tc>
      </w:tr>
      <w:tr>
        <w:trPr>
          <w:trHeight w:val="350"/>
        </w:trPr>
        <w:tc>
          <w:tcPr>
            <w:tcW w:w="5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Anshul Maheshwari</w:t>
            </w:r>
          </w:p>
        </w:tc>
      </w:tr>
      <w:tr>
        <w:trPr>
          <w:trHeight w:val="171"/>
        </w:trPr>
        <w:tc>
          <w:tcPr>
            <w:tcW w:w="500" w:type="dxa"/>
            <w:vAlign w:val="bottom"/>
          </w:tcPr>
          <w:p>
            <w:pPr>
              <w:spacing w:after="0"/>
              <w:rPr>
                <w:sz w:val="20"/>
                <w:szCs w:val="20"/>
                <w:color w:val="auto"/>
              </w:rPr>
            </w:pPr>
            <w:r>
              <w:rPr>
                <w:rFonts w:ascii="Arial" w:cs="Arial" w:eastAsia="Arial" w:hAnsi="Arial"/>
                <w:sz w:val="14"/>
                <w:szCs w:val="14"/>
                <w:color w:val="auto"/>
              </w:rPr>
              <w:t>Date:</w:t>
            </w:r>
          </w:p>
        </w:tc>
        <w:tc>
          <w:tcPr>
            <w:tcW w:w="5120" w:type="dxa"/>
            <w:vAlign w:val="bottom"/>
          </w:tcPr>
          <w:p>
            <w:pPr>
              <w:ind w:left="180"/>
              <w:spacing w:after="0"/>
              <w:rPr>
                <w:sz w:val="20"/>
                <w:szCs w:val="20"/>
                <w:color w:val="auto"/>
              </w:rPr>
            </w:pPr>
            <w:r>
              <w:rPr>
                <w:rFonts w:ascii="Arial" w:cs="Arial" w:eastAsia="Arial" w:hAnsi="Arial"/>
                <w:sz w:val="14"/>
                <w:szCs w:val="14"/>
                <w:color w:val="auto"/>
              </w:rPr>
              <w:t>March 2, 2023</w:t>
            </w:r>
          </w:p>
        </w:tc>
        <w:tc>
          <w:tcPr>
            <w:tcW w:w="4440" w:type="dxa"/>
            <w:vAlign w:val="bottom"/>
          </w:tcPr>
          <w:p>
            <w:pPr>
              <w:jc w:val="center"/>
              <w:spacing w:after="0"/>
              <w:rPr>
                <w:sz w:val="20"/>
                <w:szCs w:val="20"/>
                <w:color w:val="auto"/>
              </w:rPr>
            </w:pPr>
            <w:r>
              <w:rPr>
                <w:rFonts w:ascii="Arial" w:cs="Arial" w:eastAsia="Arial" w:hAnsi="Arial"/>
                <w:sz w:val="14"/>
                <w:szCs w:val="14"/>
                <w:color w:val="auto"/>
                <w:w w:val="93"/>
              </w:rPr>
              <w:t>Anshul Maheshwari</w:t>
            </w:r>
          </w:p>
        </w:tc>
      </w:tr>
      <w:tr>
        <w:trPr>
          <w:trHeight w:val="180"/>
        </w:trPr>
        <w:tc>
          <w:tcPr>
            <w:tcW w:w="50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Arial" w:cs="Arial" w:eastAsia="Arial" w:hAnsi="Arial"/>
                <w:sz w:val="14"/>
                <w:szCs w:val="14"/>
                <w:color w:val="auto"/>
                <w:w w:val="95"/>
              </w:rPr>
              <w:t>Chief Financial Officer</w:t>
            </w:r>
          </w:p>
        </w:tc>
      </w:tr>
      <w:tr>
        <w:trPr>
          <w:trHeight w:val="180"/>
        </w:trPr>
        <w:tc>
          <w:tcPr>
            <w:tcW w:w="50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Arial" w:cs="Arial" w:eastAsia="Arial" w:hAnsi="Arial"/>
                <w:sz w:val="14"/>
                <w:szCs w:val="14"/>
                <w:color w:val="auto"/>
                <w:w w:val="94"/>
              </w:rPr>
              <w:t>(Principal Financial and Accounting Officer)</w:t>
            </w:r>
          </w:p>
        </w:tc>
      </w:tr>
    </w:tbl>
    <w:p>
      <w:pPr>
        <w:spacing w:after="0" w:line="24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This certification is being furnished to the Securities and Exchange Commission as an exhibit to the Annual Report and shall not be deemed filed by the Company for purposes of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lowerRoman"/>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decimal"/>
      <w:start w:val="408"/>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decimal"/>
      <w:start w:val="5"/>
    </w:lvl>
  </w:abstractNum>
  <w:abstractNum w:abstractNumId="43">
    <w:nsid w:val="3DC240FB"/>
    <w:multiLevelType w:val="hybridMultilevel"/>
    <w:lvl w:ilvl="0">
      <w:lvlJc w:val="left"/>
      <w:lvlText w:val="%1."/>
      <w:numFmt w:val="decimal"/>
      <w:start w:val="7"/>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
      <w:numFmt w:val="bullet"/>
      <w:start w:val="1"/>
    </w:lvl>
    <w:lvl w:ilvl="1">
      <w:lvlJc w:val="left"/>
      <w:lvlText w:val="%2"/>
      <w:numFmt w:val="decimal"/>
      <w:start w:val="104"/>
    </w:lvl>
  </w:abstractNum>
  <w:abstractNum w:abstractNumId="47">
    <w:nsid w:val="12E685FB"/>
    <w:multiLevelType w:val="hybridMultilevel"/>
    <w:lvl w:ilvl="0">
      <w:lvlJc w:val="left"/>
      <w:lvlText w:val="**"/>
      <w:numFmt w:val="bullet"/>
      <w:start w:val="1"/>
    </w:lvl>
    <w:lvl w:ilvl="1">
      <w:lvlJc w:val="left"/>
      <w:lvlText w:val="%2"/>
      <w:numFmt w:val="decimal"/>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decimal"/>
      <w:start w:val="1"/>
    </w:lvl>
    <w:lvl w:ilvl="1">
      <w:lvlJc w:val="left"/>
      <w:lvlText w:val="%2."/>
      <w:numFmt w:val="lowerLetter"/>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2"/>
    </w:lvl>
  </w:abstractNum>
  <w:abstractNum w:abstractNumId="52">
    <w:nsid w:val="23F9C13C"/>
    <w:multiLevelType w:val="hybridMultilevel"/>
    <w:lvl w:ilvl="0">
      <w:lvlJc w:val="left"/>
      <w:lvlText w:val="%1."/>
      <w:numFmt w:val="decimal"/>
      <w:start w:val="1"/>
    </w:lvl>
    <w:lvl w:ilvl="1">
      <w:lvlJc w:val="left"/>
      <w:lvlText w:val="%2)"/>
      <w:numFmt w:val="decimal"/>
      <w:start w:val="1"/>
    </w:lvl>
  </w:abstractNum>
  <w:abstractNum w:abstractNumId="53">
    <w:nsid w:val="649BB77C"/>
    <w:multiLevelType w:val="hybridMultilevel"/>
    <w:lvl w:ilvl="0">
      <w:lvlJc w:val="left"/>
      <w:lvlText w:val="%1)"/>
      <w:numFmt w:val="decimal"/>
      <w:start w:val="5"/>
    </w:lvl>
    <w:lvl w:ilvl="1">
      <w:lvlJc w:val="left"/>
      <w:lvlText w:val="%2)"/>
      <w:numFmt w:val="decimal"/>
      <w:start w:val="1"/>
    </w:lvl>
  </w:abstractNum>
  <w:abstractNum w:abstractNumId="54">
    <w:nsid w:val="275AC794"/>
    <w:multiLevelType w:val="hybridMultilevel"/>
    <w:lvl w:ilvl="0">
      <w:lvlJc w:val="left"/>
      <w:lvlText w:val="%1."/>
      <w:numFmt w:val="decimal"/>
      <w:start w:val="1"/>
    </w:lvl>
    <w:lvl w:ilvl="1">
      <w:lvlJc w:val="left"/>
      <w:lvlText w:val="%2)"/>
      <w:numFmt w:val="decimal"/>
      <w:start w:val="1"/>
    </w:lvl>
  </w:abstractNum>
  <w:abstractNum w:abstractNumId="55">
    <w:nsid w:val="39386575"/>
    <w:multiLevelType w:val="hybridMultilevel"/>
    <w:lvl w:ilvl="0">
      <w:lvlJc w:val="left"/>
      <w:lvlText w:val="%1)"/>
      <w:numFmt w:val="decimal"/>
      <w:start w:val="5"/>
    </w:lvl>
    <w:lvl w:ilvl="1">
      <w:lvlJc w:val="left"/>
      <w:lvlText w:val="%2)"/>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6"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121" Type="http://schemas.openxmlformats.org/officeDocument/2006/relationships/hyperlink" Target="http://www.sec.gov/Archives/edgar/data/1459839/000119312518303020/d641574dex31.htm" TargetMode="External"/><Relationship Id="rId122" Type="http://schemas.openxmlformats.org/officeDocument/2006/relationships/hyperlink" Target="http://www.sec.gov/Archives/edgar/data/1459839/000119312518293978/d452987dex34.htm" TargetMode="External"/><Relationship Id="rId123" Type="http://schemas.openxmlformats.org/officeDocument/2006/relationships/hyperlink" Target="http://www.sec.gov/Archives/edgar/data/1459839/000119312518293978/d452987dex41.htm" TargetMode="External"/><Relationship Id="rId124" Type="http://schemas.openxmlformats.org/officeDocument/2006/relationships/hyperlink" Target="http://www.sec.gov/Archives/edgar/data/1459839/000145983920000047/exhibit43descriptionof.htm" TargetMode="External"/><Relationship Id="rId125" Type="http://schemas.openxmlformats.org/officeDocument/2006/relationships/hyperlink" Target="http://www.sec.gov/Archives/edgar/data/1459839/000119312518278797/d452987dex101.htm" TargetMode="External"/><Relationship Id="rId127" Type="http://schemas.openxmlformats.org/officeDocument/2006/relationships/hyperlink" Target="http://www.sec.gov/Archives/edgar/data/1459839/000119312518293978/d452987dex102.htm" TargetMode="External"/><Relationship Id="rId128" Type="http://schemas.openxmlformats.org/officeDocument/2006/relationships/hyperlink" Target="http://www.sec.gov/Archives/edgar/data/1459839/000119312518293978/d452987dex103.htm" TargetMode="External"/><Relationship Id="rId129" Type="http://schemas.openxmlformats.org/officeDocument/2006/relationships/hyperlink" Target="http://www.sec.gov/Archives/edgar/data/1459839/000119312518293978/d452987dex104.htm" TargetMode="External"/><Relationship Id="rId130" Type="http://schemas.openxmlformats.org/officeDocument/2006/relationships/hyperlink" Target="http://www.sec.gov/Archives/edgar/data/1459839/000119312518293978/d452987dex105.htm" TargetMode="External"/><Relationship Id="rId131" Type="http://schemas.openxmlformats.org/officeDocument/2006/relationships/hyperlink" Target="http://www.sec.gov/Archives/edgar/data/1459839/000119312518293978/d452987dex106.htm" TargetMode="External"/><Relationship Id="rId132" Type="http://schemas.openxmlformats.org/officeDocument/2006/relationships/hyperlink" Target="http://www.sec.gov/Archives/edgar/data/1459839/000119312518278797/d452987dex106.htm" TargetMode="External"/><Relationship Id="rId133" Type="http://schemas.openxmlformats.org/officeDocument/2006/relationships/hyperlink" Target="http://www.sec.gov/Archives/edgar/data/1459839/000119312518278797/d452987dex107.htm" TargetMode="External"/><Relationship Id="rId134" Type="http://schemas.openxmlformats.org/officeDocument/2006/relationships/hyperlink" Target="http://www.sec.gov/Archives/edgar/data/1459839/000119312518278797/d452987dex108.htm" TargetMode="External"/><Relationship Id="rId135" Type="http://schemas.openxmlformats.org/officeDocument/2006/relationships/hyperlink" Target="http://www.sec.gov/Archives/edgar/data/1459839/000119312518278797/d452987dex109.htm" TargetMode="External"/><Relationship Id="rId136" Type="http://schemas.openxmlformats.org/officeDocument/2006/relationships/hyperlink" Target="http://www.sec.gov/Archives/edgar/data/1459839/000119312518278797/d452987dex1018.htm" TargetMode="External"/><Relationship Id="rId137" Type="http://schemas.openxmlformats.org/officeDocument/2006/relationships/hyperlink" Target="http://www.sec.gov/Archives/edgar/data/1459839/000119312518293978/d452987dex1021.htm" TargetMode="External"/><Relationship Id="rId140" Type="http://schemas.openxmlformats.org/officeDocument/2006/relationships/hyperlink" Target="https://www.sec.gov/Archives/edgar/data/1459839/000145983921000012/exh1016rmscompany-addendum.htm" TargetMode="External"/><Relationship Id="rId141" Type="http://schemas.openxmlformats.org/officeDocument/2006/relationships/hyperlink" Target="https://www.sec.gov/Archives/edgar/data/0001459839/000145983921000054/rms_sibonexarmqsax61121xre.htm" TargetMode="External"/><Relationship Id="rId142" Type="http://schemas.openxmlformats.org/officeDocument/2006/relationships/hyperlink" Target="http://www.sec.gov/Archives/edgar/data/1459839/000119312518278797/d452987dex1030.htm" TargetMode="External"/><Relationship Id="rId143" Type="http://schemas.openxmlformats.org/officeDocument/2006/relationships/hyperlink" Target="http://www.sec.gov/Archives/edgar/data/1459839/000145983919000044/exhibit102amendmenttores.htm" TargetMode="External"/><Relationship Id="rId144" Type="http://schemas.openxmlformats.org/officeDocument/2006/relationships/hyperlink" Target="http://www.sec.gov/Archives/edgar/data/1459839/000145983921000003/exh101_amendmenttoceooffer.htm" TargetMode="External"/><Relationship Id="rId145" Type="http://schemas.openxmlformats.org/officeDocument/2006/relationships/hyperlink" Target="http://www.sec.gov/Archives/edgar/data/1459839/000145983920000074/sibn-ex101loanandsecur.htm" TargetMode="External"/><Relationship Id="rId146" Type="http://schemas.openxmlformats.org/officeDocument/2006/relationships/hyperlink" Target="https://www.sec.gov/Archives/edgar/data/0001459839/000145983921000012/exhibit1024severancebenefi.htm" TargetMode="External"/><Relationship Id="rId147" Type="http://schemas.openxmlformats.org/officeDocument/2006/relationships/hyperlink" Target="https://www.sec.gov/Archives/edgar/data/0001459839/000145983921000045/lohhelen-sibnboardofferlet.htm" TargetMode="External"/><Relationship Id="rId148" Type="http://schemas.openxmlformats.org/officeDocument/2006/relationships/hyperlink" Target="https://www.sec.gov/Archives/edgar/data/0001459839/000145983921000045/nishimuram-sibnboardofferl.htm" TargetMode="External"/><Relationship Id="rId149" Type="http://schemas.openxmlformats.org/officeDocument/2006/relationships/hyperlink" Target="http://www.sec.gov/Archives/edgar/data/1459839/000119312518278797/d452987dex1021.htm" TargetMode="External"/><Relationship Id="rId150" Type="http://schemas.openxmlformats.org/officeDocument/2006/relationships/hyperlink" Target="https://www.sec.gov/Archives/edgar/data/0001459839/000145983921000061/sibn-ex101loanandsecuritya.htm" TargetMode="External"/><Relationship Id="rId151" Type="http://schemas.openxmlformats.org/officeDocument/2006/relationships/hyperlink" Target="https://www.sec.gov/Archives/edgar/data/0001459839/000145983921000061/sibn-ex102secondamendmentt.htm" TargetMode="External"/><Relationship Id="rId152" Type="http://schemas.openxmlformats.org/officeDocument/2006/relationships/hyperlink" Target="https://www.sec.gov/Archives/edgar/data/1459839/000145983921000035/maheshwarianshulcfo4122021.htm" TargetMode="External"/><Relationship Id="rId153" Type="http://schemas.openxmlformats.org/officeDocument/2006/relationships/hyperlink" Target="https://www.sec.gov/Archives/edgar/data/1459839/000145983921000035/amendedandrestatedparticip.htm" TargetMode="External"/><Relationship Id="rId154" Type="http://schemas.openxmlformats.org/officeDocument/2006/relationships/hyperlink" Target="https://www.sec.gov/Archives/edgar/data/1459839/000145983922000006/si-bonexformofprsugrantp.htm" TargetMode="External"/><Relationship Id="rId155" Type="http://schemas.openxmlformats.org/officeDocument/2006/relationships/hyperlink" Target="https://www.sec.gov/ix?doc=/Archives/edgar/data/1459839/000145983922000006/sibn-20220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2023-03-02T16:16:51Z</dcterms:created>
  <dcterms:modified xsi:type="dcterms:W3CDTF">2023-03-02T16:16:51Z</dcterms:modified>
</cp:coreProperties>
</file>