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91.png" ContentType="image/png"/>
  <Override PartName="/word/media/image290.png" ContentType="image/png"/>
  <Override PartName="/word/media/image281.png" ContentType="image/png"/>
  <Override PartName="/word/media/image280.png" ContentType="image/png"/>
  <Override PartName="/word/media/image271.png" ContentType="image/png"/>
  <Override PartName="/word/media/image270.png" ContentType="image/png"/>
  <Override PartName="/word/media/image269.png" ContentType="image/png"/>
  <Override PartName="/word/media/image268.png" ContentType="image/png"/>
  <Override PartName="/word/media/image267.png" ContentType="image/png"/>
  <Override PartName="/word/media/image266.png" ContentType="image/png"/>
  <Override PartName="/word/media/image265.png" ContentType="image/png"/>
  <Override PartName="/word/media/image264.png" ContentType="image/png"/>
  <Override PartName="/word/media/image263.png" ContentType="image/png"/>
  <Override PartName="/word/media/image262.png" ContentType="image/png"/>
  <Override PartName="/word/media/image261.png" ContentType="image/png"/>
  <Override PartName="/word/media/image260.png" ContentType="image/png"/>
  <Override PartName="/word/media/image96.png" ContentType="image/png"/>
  <Override PartName="/word/media/image273.png" ContentType="image/png"/>
  <Override PartName="/word/media/image101.png" ContentType="image/png"/>
  <Override PartName="/word/media/image95.png" ContentType="image/png"/>
  <Override PartName="/word/media/image272.png" ContentType="image/png"/>
  <Override PartName="/word/media/image100.png" ContentType="image/png"/>
  <Override PartName="/word/media/image88.png" ContentType="image/png"/>
  <Override PartName="/word/media/image87.png" ContentType="image/png"/>
  <Override PartName="/word/media/image86.png" ContentType="image/png"/>
  <Override PartName="/word/media/image85.png" ContentType="image/png"/>
  <Override PartName="/word/media/image84.png" ContentType="image/png"/>
  <Override PartName="/word/media/image83.png" ContentType="image/png"/>
  <Override PartName="/word/media/image82.png" ContentType="image/png"/>
  <Override PartName="/word/media/image81.png" ContentType="image/png"/>
  <Override PartName="/word/media/image80.png" ContentType="image/png"/>
  <Override PartName="/word/media/image209.png" ContentType="image/png"/>
  <Override PartName="/word/media/image149.png" ContentType="image/png"/>
  <Override PartName="/word/media/image78.png" ContentType="image/png"/>
  <Override PartName="/word/media/image77.png" ContentType="image/png"/>
  <Override PartName="/word/media/image76.png" ContentType="image/png"/>
  <Override PartName="/word/media/image75.png" ContentType="image/png"/>
  <Override PartName="/word/media/image314.png" ContentType="image/png"/>
  <Override PartName="/word/media/image74.png" ContentType="image/png"/>
  <Override PartName="/word/media/image313.png" ContentType="image/png"/>
  <Override PartName="/word/media/image73.png" ContentType="image/png"/>
  <Override PartName="/word/media/image312.png" ContentType="image/png"/>
  <Override PartName="/word/media/image72.png" ContentType="image/png"/>
  <Override PartName="/word/media/image311.png" ContentType="image/png"/>
  <Override PartName="/word/media/image71.png" ContentType="image/png"/>
  <Override PartName="/word/media/image310.png" ContentType="image/png"/>
  <Override PartName="/word/media/image70.png" ContentType="image/png"/>
  <Override PartName="/word/media/image139.png" ContentType="image/png"/>
  <Override PartName="/word/media/image308.png" ContentType="image/png"/>
  <Override PartName="/word/media/image68.png" ContentType="image/png"/>
  <Override PartName="/word/media/image307.png" ContentType="image/png"/>
  <Override PartName="/word/media/image67.png" ContentType="image/png"/>
  <Override PartName="/word/media/image306.png" ContentType="image/png"/>
  <Override PartName="/word/media/image66.png" ContentType="image/png"/>
  <Override PartName="/word/media/image305.png" ContentType="image/png"/>
  <Override PartName="/word/media/image65.png" ContentType="image/png"/>
  <Override PartName="/word/media/image304.png" ContentType="image/png"/>
  <Override PartName="/word/media/image64.png" ContentType="image/png"/>
  <Override PartName="/word/media/image303.png" ContentType="image/png"/>
  <Override PartName="/word/media/image63.png" ContentType="image/png"/>
  <Override PartName="/word/media/image302.png" ContentType="image/png"/>
  <Override PartName="/word/media/image62.png" ContentType="image/png"/>
  <Override PartName="/word/media/image301.png" ContentType="image/png"/>
  <Override PartName="/word/media/image61.png" ContentType="image/png"/>
  <Override PartName="/word/media/image300.png" ContentType="image/png"/>
  <Override PartName="/word/media/image60.png" ContentType="image/png"/>
  <Override PartName="/word/media/image129.png" ContentType="image/png"/>
  <Override PartName="/word/media/image50.png" ContentType="image/png"/>
  <Override PartName="/word/media/image119.png" ContentType="image/png"/>
  <Override PartName="/word/media/image49.png" ContentType="image/png"/>
  <Override PartName="/word/media/image48.png" ContentType="image/png"/>
  <Override PartName="/word/media/image47.png" ContentType="image/png"/>
  <Override PartName="/word/media/image79.png" ContentType="image/png"/>
  <Override PartName="/word/media/image20.png" ContentType="image/png"/>
  <Override PartName="/word/media/image250.png" ContentType="image/png"/>
  <Override PartName="/word/media/image190.png" ContentType="image/png"/>
  <Override PartName="/word/media/image55.png" ContentType="image/png"/>
  <Override PartName="/word/media/image5.png" ContentType="image/png"/>
  <Override PartName="/word/media/image90.png" ContentType="image/png"/>
  <Override PartName="/word/media/image219.png" ContentType="image/png"/>
  <Override PartName="/word/media/image159.png" ContentType="image/png"/>
  <Override PartName="/word/media/image94.png" ContentType="image/png"/>
  <Override PartName="/word/media/image9.png" ContentType="image/png"/>
  <Override PartName="/word/media/image19.png" ContentType="image/png"/>
  <Override PartName="/word/media/image249.png" ContentType="image/png"/>
  <Override PartName="/word/media/image189.png" ContentType="image/png"/>
  <Override PartName="/word/media/image93.png" ContentType="image/png"/>
  <Override PartName="/word/media/image8.png" ContentType="image/png"/>
  <Override PartName="/word/media/image18.png" ContentType="image/png"/>
  <Override PartName="/word/media/image248.png" ContentType="image/png"/>
  <Override PartName="/word/media/image188.png" ContentType="image/png"/>
  <Override PartName="/word/media/image92.png" ContentType="image/png"/>
  <Override PartName="/word/media/image7.png" ContentType="image/png"/>
  <Override PartName="/word/media/image17.png" ContentType="image/png"/>
  <Override PartName="/word/media/image247.png" ContentType="image/png"/>
  <Override PartName="/word/media/image187.png" ContentType="image/png"/>
  <Override PartName="/word/media/image91.png" ContentType="image/png"/>
  <Override PartName="/word/media/image6.png" ContentType="image/png"/>
  <Override PartName="/word/media/image16.png" ContentType="image/png"/>
  <Override PartName="/word/media/image246.png" ContentType="image/png"/>
  <Override PartName="/word/media/image186.png" ContentType="image/png"/>
  <Override PartName="/word/media/image15.png" ContentType="image/png"/>
  <Override PartName="/word/media/image245.png" ContentType="image/png"/>
  <Override PartName="/word/media/image185.png" ContentType="image/png"/>
  <Override PartName="/word/media/image14.png" ContentType="image/png"/>
  <Override PartName="/word/media/image244.png" ContentType="image/png"/>
  <Override PartName="/word/media/image184.png" ContentType="image/png"/>
  <Override PartName="/word/media/image13.png" ContentType="image/png"/>
  <Override PartName="/word/media/image243.png" ContentType="image/png"/>
  <Override PartName="/word/media/image183.png" ContentType="image/png"/>
  <Override PartName="/word/media/image12.png" ContentType="image/png"/>
  <Override PartName="/word/media/image242.png" ContentType="image/png"/>
  <Override PartName="/word/media/image182.png" ContentType="image/png"/>
  <Override PartName="/word/media/image11.png" ContentType="image/png"/>
  <Override PartName="/word/media/image241.png" ContentType="image/png"/>
  <Override PartName="/word/media/image181.png" ContentType="image/png"/>
  <Override PartName="/word/media/image54.png" ContentType="image/png"/>
  <Override PartName="/word/media/image259.png" ContentType="image/png"/>
  <Override PartName="/word/media/image199.png" ContentType="image/png"/>
  <Override PartName="/word/media/image4.png" ContentType="image/png"/>
  <Override PartName="/word/media/image218.png" ContentType="image/png"/>
  <Override PartName="/word/media/image158.png" ContentType="image/png"/>
  <Override PartName="/word/media/image39.png" ContentType="image/png"/>
  <Override PartName="/word/media/image53.png" ContentType="image/png"/>
  <Override PartName="/word/media/image217.png" ContentType="image/png"/>
  <Override PartName="/word/media/image157.png" ContentType="image/png"/>
  <Override PartName="/word/media/image38.png" ContentType="image/png"/>
  <Override PartName="/word/media/image22.png" ContentType="image/png"/>
  <Override PartName="/word/media/image252.png" ContentType="image/png"/>
  <Override PartName="/word/media/image192.png" ContentType="image/png"/>
  <Override PartName="/word/media/image57.png" ContentType="image/png"/>
  <Override PartName="/word/media/image52.png" ContentType="image/png"/>
  <Override PartName="/word/media/image216.png" ContentType="image/png"/>
  <Override PartName="/word/media/image156.png" ContentType="image/png"/>
  <Override PartName="/word/media/image37.png" ContentType="image/png"/>
  <Override PartName="/word/media/image21.png" ContentType="image/png"/>
  <Override PartName="/word/media/image251.png" ContentType="image/png"/>
  <Override PartName="/word/media/image191.png" ContentType="image/png"/>
  <Override PartName="/word/media/image56.png" ContentType="image/png"/>
  <Override PartName="/word/media/image51.png" ContentType="image/png"/>
  <Override PartName="/word/media/image215.png" ContentType="image/png"/>
  <Override PartName="/word/media/image155.png" ContentType="image/png"/>
  <Override PartName="/word/media/image36.png" ContentType="image/png"/>
  <Override PartName="/word/media/image58.png" ContentType="image/png"/>
  <Override PartName="/word/media/image23.png" ContentType="image/png"/>
  <Override PartName="/word/media/image253.png" ContentType="image/png"/>
  <Override PartName="/word/media/image193.png" ContentType="image/png"/>
  <Override PartName="/word/media/image309.png" ContentType="image/png"/>
  <Override PartName="/word/media/image69.png" ContentType="image/png"/>
  <Override PartName="/word/media/image10.png" ContentType="image/png"/>
  <Override PartName="/word/media/image240.png" ContentType="image/png"/>
  <Override PartName="/word/media/image180.png" ContentType="image/png"/>
  <Override PartName="/word/media/image59.png" ContentType="image/png"/>
  <Override PartName="/word/media/image24.png" ContentType="image/png"/>
  <Override PartName="/word/media/image254.png" ContentType="image/png"/>
  <Override PartName="/word/media/image194.png" ContentType="image/png"/>
  <Override PartName="/word/media/image25.png" ContentType="image/png"/>
  <Override PartName="/word/media/image255.png" ContentType="image/png"/>
  <Override PartName="/word/media/image195.png" ContentType="image/png"/>
  <Override PartName="/word/media/image26.png" ContentType="image/png"/>
  <Override PartName="/word/media/image256.png" ContentType="image/png"/>
  <Override PartName="/word/media/image1.png" ContentType="image/png"/>
  <Override PartName="/word/media/image196.png" ContentType="image/png"/>
  <Override PartName="/word/media/image27.png" ContentType="image/png"/>
  <Override PartName="/word/media/image257.png" ContentType="image/png"/>
  <Override PartName="/word/media/image2.png" ContentType="image/png"/>
  <Override PartName="/word/media/image197.png" ContentType="image/png"/>
  <Override PartName="/word/media/image28.png" ContentType="image/png"/>
  <Override PartName="/word/media/image258.png" ContentType="image/png"/>
  <Override PartName="/word/media/image3.png" ContentType="image/png"/>
  <Override PartName="/word/media/image198.png" ContentType="image/png"/>
  <Override PartName="/word/media/image29.png" ContentType="image/png"/>
  <Override PartName="/word/media/image8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40.png" ContentType="image/png"/>
  <Override PartName="/word/media/image109.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media/image97.png" ContentType="image/png"/>
  <Override PartName="/word/media/image274.png" ContentType="image/png"/>
  <Override PartName="/word/media/image102.png" ContentType="image/png"/>
  <Override PartName="/word/media/image98.png" ContentType="image/png"/>
  <Override PartName="/word/media/image275.png" ContentType="image/png"/>
  <Override PartName="/word/media/image103.png" ContentType="image/png"/>
  <Override PartName="/word/media/image99.png" ContentType="image/png"/>
  <Override PartName="/word/media/image276.png" ContentType="image/png"/>
  <Override PartName="/word/media/image104.png" ContentType="image/png"/>
  <Override PartName="/word/media/image277.png" ContentType="image/png"/>
  <Override PartName="/word/media/image105.png" ContentType="image/png"/>
  <Override PartName="/word/media/image278.png" ContentType="image/png"/>
  <Override PartName="/word/media/image106.png" ContentType="image/png"/>
  <Override PartName="/word/media/image279.png" ContentType="image/png"/>
  <Override PartName="/word/media/image107.png" ContentType="image/png"/>
  <Override PartName="/word/media/image108.png" ContentType="image/png"/>
  <Override PartName="/word/media/image282.png" ContentType="image/png"/>
  <Override PartName="/word/media/image110.png" ContentType="image/png"/>
  <Override PartName="/word/media/image283.png" ContentType="image/png"/>
  <Override PartName="/word/media/image111.png" ContentType="image/png"/>
  <Override PartName="/word/media/image284.png" ContentType="image/png"/>
  <Override PartName="/word/media/image112.png" ContentType="image/png"/>
  <Override PartName="/word/media/image285.png" ContentType="image/png"/>
  <Override PartName="/word/media/image113.png" ContentType="image/png"/>
  <Override PartName="/word/media/image286.png" ContentType="image/png"/>
  <Override PartName="/word/media/image114.png" ContentType="image/png"/>
  <Override PartName="/word/media/image287.png" ContentType="image/png"/>
  <Override PartName="/word/media/image115.png" ContentType="image/png"/>
  <Override PartName="/word/media/image288.png" ContentType="image/png"/>
  <Override PartName="/word/media/image116.png" ContentType="image/png"/>
  <Override PartName="/word/media/image289.png" ContentType="image/png"/>
  <Override PartName="/word/media/image117.png" ContentType="image/png"/>
  <Override PartName="/word/media/image118.png" ContentType="image/png"/>
  <Override PartName="/word/media/image292.png" ContentType="image/png"/>
  <Override PartName="/word/media/image120.png" ContentType="image/png"/>
  <Override PartName="/word/media/image293.png" ContentType="image/png"/>
  <Override PartName="/word/media/image121.png" ContentType="image/png"/>
  <Override PartName="/word/media/image294.png" ContentType="image/png"/>
  <Override PartName="/word/media/image122.png" ContentType="image/png"/>
  <Override PartName="/word/media/image295.png" ContentType="image/png"/>
  <Override PartName="/word/media/image123.png" ContentType="image/png"/>
  <Override PartName="/word/media/image296.png" ContentType="image/png"/>
  <Override PartName="/word/media/image124.png" ContentType="image/png"/>
  <Override PartName="/word/media/image297.png" ContentType="image/png"/>
  <Override PartName="/word/media/image125.png" ContentType="image/png"/>
  <Override PartName="/word/media/image298.png" ContentType="image/png"/>
  <Override PartName="/word/media/image126.png" ContentType="image/png"/>
  <Override PartName="/word/media/image299.png" ContentType="image/png"/>
  <Override PartName="/word/media/image127.png" ContentType="image/png"/>
  <Override PartName="/word/media/image128.png" ContentType="image/png"/>
  <Override PartName="/word/media/image130.png" ContentType="image/png"/>
  <Override PartName="/word/media/image131.png" ContentType="image/png"/>
  <Override PartName="/word/media/image132.png" ContentType="image/png"/>
  <Override PartName="/word/media/image133.png" ContentType="image/png"/>
  <Override PartName="/word/media/image134.png" ContentType="image/png"/>
  <Override PartName="/word/media/image135.png" ContentType="image/png"/>
  <Override PartName="/word/media/image136.png" ContentType="image/png"/>
  <Override PartName="/word/media/image137.png" ContentType="image/png"/>
  <Override PartName="/word/media/image138.png" ContentType="image/png"/>
  <Override PartName="/word/media/image200.png" ContentType="image/png"/>
  <Override PartName="/word/media/image140.png" ContentType="image/png"/>
  <Override PartName="/word/media/image201.png" ContentType="image/png"/>
  <Override PartName="/word/media/image141.png" ContentType="image/png"/>
  <Override PartName="/word/media/image202.png" ContentType="image/png"/>
  <Override PartName="/word/media/image142.png" ContentType="image/png"/>
  <Override PartName="/word/media/image203.png" ContentType="image/png"/>
  <Override PartName="/word/media/image143.png" ContentType="image/png"/>
  <Override PartName="/word/media/image204.png" ContentType="image/png"/>
  <Override PartName="/word/media/image144.png" ContentType="image/png"/>
  <Override PartName="/word/media/image205.png" ContentType="image/png"/>
  <Override PartName="/word/media/image145.png" ContentType="image/png"/>
  <Override PartName="/word/media/image206.png" ContentType="image/png"/>
  <Override PartName="/word/media/image146.png" ContentType="image/png"/>
  <Override PartName="/word/media/image207.png" ContentType="image/png"/>
  <Override PartName="/word/media/image147.png" ContentType="image/png"/>
  <Override PartName="/word/media/image208.png" ContentType="image/png"/>
  <Override PartName="/word/media/image148.png" ContentType="image/png"/>
  <Override PartName="/word/media/image210.png" ContentType="image/png"/>
  <Override PartName="/word/media/image150.png" ContentType="image/png"/>
  <Override PartName="/word/media/image211.png" ContentType="image/png"/>
  <Override PartName="/word/media/image151.png" ContentType="image/png"/>
  <Override PartName="/word/media/image212.png" ContentType="image/png"/>
  <Override PartName="/word/media/image152.png" ContentType="image/png"/>
  <Override PartName="/word/media/image213.png" ContentType="image/png"/>
  <Override PartName="/word/media/image153.png" ContentType="image/png"/>
  <Override PartName="/word/media/image214.png" ContentType="image/png"/>
  <Override PartName="/word/media/image154.png" ContentType="image/png"/>
  <Override PartName="/word/media/image220.png" ContentType="image/png"/>
  <Override PartName="/word/media/image160.png" ContentType="image/png"/>
  <Override PartName="/word/media/image221.png" ContentType="image/png"/>
  <Override PartName="/word/media/image161.png" ContentType="image/png"/>
  <Override PartName="/word/media/image222.png" ContentType="image/png"/>
  <Override PartName="/word/media/image162.png" ContentType="image/png"/>
  <Override PartName="/word/media/image223.png" ContentType="image/png"/>
  <Override PartName="/word/media/image163.png" ContentType="image/png"/>
  <Override PartName="/word/media/image224.png" ContentType="image/png"/>
  <Override PartName="/word/media/image164.png" ContentType="image/png"/>
  <Override PartName="/word/media/image225.png" ContentType="image/png"/>
  <Override PartName="/word/media/image165.png" ContentType="image/png"/>
  <Override PartName="/word/media/image226.png" ContentType="image/png"/>
  <Override PartName="/word/media/image166.png" ContentType="image/png"/>
  <Override PartName="/word/media/image227.png" ContentType="image/png"/>
  <Override PartName="/word/media/image167.png" ContentType="image/png"/>
  <Override PartName="/word/media/image228.png" ContentType="image/png"/>
  <Override PartName="/word/media/image168.png" ContentType="image/png"/>
  <Override PartName="/word/media/image229.png" ContentType="image/png"/>
  <Override PartName="/word/media/image169.png" ContentType="image/png"/>
  <Override PartName="/word/media/image230.png" ContentType="image/png"/>
  <Override PartName="/word/media/image170.png" ContentType="image/png"/>
  <Override PartName="/word/media/image231.png" ContentType="image/png"/>
  <Override PartName="/word/media/image171.png" ContentType="image/png"/>
  <Override PartName="/word/media/image232.png" ContentType="image/png"/>
  <Override PartName="/word/media/image172.png" ContentType="image/png"/>
  <Override PartName="/word/media/image233.png" ContentType="image/png"/>
  <Override PartName="/word/media/image173.png" ContentType="image/png"/>
  <Override PartName="/word/media/image234.png" ContentType="image/png"/>
  <Override PartName="/word/media/image174.png" ContentType="image/png"/>
  <Override PartName="/word/media/image235.png" ContentType="image/png"/>
  <Override PartName="/word/media/image175.png" ContentType="image/png"/>
  <Override PartName="/word/media/image236.png" ContentType="image/png"/>
  <Override PartName="/word/media/image176.png" ContentType="image/png"/>
  <Override PartName="/word/media/image237.png" ContentType="image/png"/>
  <Override PartName="/word/media/image177.png" ContentType="image/png"/>
  <Override PartName="/word/media/image238.png" ContentType="image/png"/>
  <Override PartName="/word/media/image178.png" ContentType="image/png"/>
  <Override PartName="/word/media/image239.png" ContentType="image/png"/>
  <Override PartName="/word/media/image179.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p>
      <w:pPr>
        <w:pStyle w:val="TextBody"/>
        <w:spacing w:lineRule="auto" w:line="288"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For the quarterly period ended March 31, 2023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spacing w:before="0" w:after="0"/>
        <w:jc w:val="center"/>
        <w:rPr/>
      </w:pPr>
      <w:r>
        <w:rPr/>
      </w:r>
    </w:p>
    <w:p>
      <w:pPr>
        <w:pStyle w:val="TextBody"/>
        <w:spacing w:lineRule="auto" w:line="288"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__________ to __________</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Commission File Number: 001-38701</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SI-BONE, INC. </w:t>
      </w:r>
    </w:p>
    <w:p>
      <w:pPr>
        <w:pStyle w:val="TextBody"/>
        <w:spacing w:lineRule="auto" w:line="288" w:before="0" w:after="60"/>
        <w:jc w:val="center"/>
        <w:rPr>
          <w:rFonts w:ascii="Times New Roman;sans-serif" w:hAnsi="Times New Roman;sans-serif"/>
          <w:b/>
          <w:color w:val="000000"/>
          <w:sz w:val="14"/>
        </w:rPr>
      </w:pPr>
      <w:r>
        <w:rPr>
          <w:rFonts w:ascii="Times New Roman;sans-serif" w:hAnsi="Times New Roman;sans-serif"/>
          <w:b/>
          <w:color w:val="000000"/>
          <w:sz w:val="14"/>
        </w:rPr>
        <w:t xml:space="preserve">(Exact Name of Registrant as Specified in its Charter) </w:t>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4570" w:type="dxa"/>
        <w:jc w:val="center"/>
        <w:tblInd w:w="0" w:type="dxa"/>
        <w:tblCellMar>
          <w:top w:w="28" w:type="dxa"/>
          <w:left w:w="28" w:type="dxa"/>
          <w:bottom w:w="28" w:type="dxa"/>
          <w:right w:w="28" w:type="dxa"/>
        </w:tblCellMar>
      </w:tblPr>
      <w:tblGrid>
        <w:gridCol w:w="878"/>
        <w:gridCol w:w="774"/>
        <w:gridCol w:w="777"/>
        <w:gridCol w:w="109"/>
        <w:gridCol w:w="109"/>
        <w:gridCol w:w="109"/>
        <w:gridCol w:w="528"/>
        <w:gridCol w:w="528"/>
        <w:gridCol w:w="758"/>
      </w:tblGrid>
      <w:tr>
        <w:trPr/>
        <w:tc>
          <w:tcPr>
            <w:tcW w:w="87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26-2216351</w:t>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tbl>
      <w:tblPr>
        <w:tblW w:w="5591" w:type="dxa"/>
        <w:jc w:val="center"/>
        <w:tblInd w:w="0" w:type="dxa"/>
        <w:tblCellMar>
          <w:top w:w="28" w:type="dxa"/>
          <w:left w:w="28" w:type="dxa"/>
          <w:bottom w:w="28" w:type="dxa"/>
          <w:right w:w="28" w:type="dxa"/>
        </w:tblCellMar>
      </w:tblPr>
      <w:tblGrid>
        <w:gridCol w:w="1567"/>
        <w:gridCol w:w="1378"/>
        <w:gridCol w:w="1390"/>
        <w:gridCol w:w="109"/>
        <w:gridCol w:w="109"/>
        <w:gridCol w:w="109"/>
        <w:gridCol w:w="272"/>
        <w:gridCol w:w="272"/>
        <w:gridCol w:w="385"/>
      </w:tblGrid>
      <w:tr>
        <w:trPr/>
        <w:tc>
          <w:tcPr>
            <w:tcW w:w="1567"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471 El Camino Real, Suite 101, Santa Clara,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95050</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40" w:before="60" w:after="283"/>
        <w:jc w:val="center"/>
        <w:rPr/>
      </w:pPr>
      <w:r>
        <w:rPr>
          <w:color w:val="000000"/>
        </w:rPr>
        <w:t> </w:t>
      </w:r>
      <w:r>
        <w:rPr>
          <w:rFonts w:ascii="Times New Roman;sans-serif" w:hAnsi="Times New Roman;sans-serif"/>
          <w:b/>
          <w:color w:val="000000"/>
          <w:sz w:val="16"/>
        </w:rPr>
        <w:t>Registrant's telephone number, including area code</w:t>
      </w:r>
      <w:r>
        <w:rPr>
          <w:rFonts w:ascii="Times New Roman;sans-serif" w:hAnsi="Times New Roman;sans-serif"/>
          <w:b w:val="false"/>
          <w:color w:val="000000"/>
          <w:sz w:val="16"/>
        </w:rPr>
        <w:t xml:space="preserve">: </w:t>
      </w:r>
      <w:r>
        <w:rPr>
          <w:rFonts w:ascii="Times New Roman;sans-serif" w:hAnsi="Times New Roman;sans-serif"/>
          <w:b/>
          <w:color w:val="000000"/>
          <w:sz w:val="16"/>
        </w:rPr>
        <w:t>(408) 207-0700</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Securities registered pursuant to Section 12(b) of the Act: </w:t>
      </w:r>
    </w:p>
    <w:tbl>
      <w:tblPr>
        <w:tblW w:w="8098" w:type="dxa"/>
        <w:jc w:val="center"/>
        <w:tblInd w:w="0" w:type="dxa"/>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Title of each class </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Trading Symbol(s) </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 xml:space="preserve">Name of each exchange on which registered </w:t>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SIBN</w:t>
            </w:r>
          </w:p>
        </w:tc>
        <w:tc>
          <w:tcPr>
            <w:tcW w:w="33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spacing w:before="0" w:after="0"/>
        <w:jc w:val="center"/>
        <w:rPr/>
      </w:pPr>
      <w:r>
        <w:rPr/>
      </w:r>
    </w:p>
    <w:p>
      <w:pPr>
        <w:pStyle w:val="TextBody"/>
        <w:spacing w:lineRule="auto" w:line="288" w:before="120" w:after="120"/>
        <w:jc w:val="center"/>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spacing w:lineRule="auto" w:line="288" w:before="120" w:after="120"/>
        <w:jc w:val="center"/>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r>
        <w:rPr>
          <w:color w:val="000000"/>
        </w:rPr>
        <w:t xml:space="preserve"> </w:t>
      </w:r>
    </w:p>
    <w:p>
      <w:pPr>
        <w:pStyle w:val="TextBody"/>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120" w:after="120"/>
        <w:jc w:val="center"/>
        <w:rPr>
          <w:color w:val="000000"/>
        </w:rPr>
      </w:pPr>
      <w:r>
        <w:rPr>
          <w:color w:val="000000"/>
        </w:rPr>
        <w:t> </w:t>
      </w:r>
    </w:p>
    <w:tbl>
      <w:tblPr>
        <w:tblW w:w="7290" w:type="dxa"/>
        <w:jc w:val="center"/>
        <w:tblInd w:w="0" w:type="dxa"/>
        <w:tblCellMar>
          <w:top w:w="28" w:type="dxa"/>
          <w:left w:w="28" w:type="dxa"/>
          <w:bottom w:w="28" w:type="dxa"/>
          <w:right w:w="28" w:type="dxa"/>
        </w:tblCellMar>
      </w:tblPr>
      <w:tblGrid>
        <w:gridCol w:w="734"/>
        <w:gridCol w:w="644"/>
        <w:gridCol w:w="648"/>
        <w:gridCol w:w="109"/>
        <w:gridCol w:w="109"/>
        <w:gridCol w:w="109"/>
        <w:gridCol w:w="109"/>
        <w:gridCol w:w="109"/>
        <w:gridCol w:w="109"/>
        <w:gridCol w:w="674"/>
        <w:gridCol w:w="674"/>
        <w:gridCol w:w="677"/>
        <w:gridCol w:w="109"/>
        <w:gridCol w:w="109"/>
        <w:gridCol w:w="109"/>
        <w:gridCol w:w="109"/>
        <w:gridCol w:w="109"/>
        <w:gridCol w:w="109"/>
        <w:gridCol w:w="519"/>
        <w:gridCol w:w="519"/>
        <w:gridCol w:w="521"/>
        <w:gridCol w:w="109"/>
        <w:gridCol w:w="109"/>
        <w:gridCol w:w="154"/>
      </w:tblGrid>
      <w:tr>
        <w:trPr/>
        <w:tc>
          <w:tcPr>
            <w:tcW w:w="73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lineRule="auto" w:line="288" w:before="120" w:after="120"/>
        <w:jc w:val="center"/>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spacing w:lineRule="auto" w:line="288" w:before="18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number of shares outstanding of the registrant’s Common Stock was 35,184,049 as of April 26,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358" w:type="dxa"/>
        <w:jc w:val="center"/>
        <w:tblInd w:w="0" w:type="dxa"/>
        <w:tblCellMar>
          <w:top w:w="28" w:type="dxa"/>
          <w:left w:w="28" w:type="dxa"/>
          <w:bottom w:w="28" w:type="dxa"/>
          <w:right w:w="28" w:type="dxa"/>
        </w:tblCellMar>
      </w:tblPr>
      <w:tblGrid>
        <w:gridCol w:w="293"/>
        <w:gridCol w:w="257"/>
        <w:gridCol w:w="261"/>
        <w:gridCol w:w="109"/>
        <w:gridCol w:w="109"/>
        <w:gridCol w:w="109"/>
        <w:gridCol w:w="2568"/>
        <w:gridCol w:w="2568"/>
        <w:gridCol w:w="2573"/>
        <w:gridCol w:w="149"/>
        <w:gridCol w:w="149"/>
        <w:gridCol w:w="213"/>
      </w:tblGrid>
      <w:tr>
        <w:trPr/>
        <w:tc>
          <w:tcPr>
            <w:tcW w:w="293"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2568" w:type="dxa"/>
            <w:tcBorders/>
            <w:shd w:fill="auto" w:val="clear"/>
            <w:vAlign w:val="center"/>
          </w:tcPr>
          <w:p>
            <w:pPr>
              <w:pStyle w:val="TableContents"/>
              <w:spacing w:before="0" w:after="283"/>
              <w:rPr>
                <w:sz w:val="4"/>
                <w:szCs w:val="4"/>
              </w:rPr>
            </w:pPr>
            <w:r>
              <w:rPr>
                <w:sz w:val="4"/>
                <w:szCs w:val="4"/>
              </w:rPr>
            </w:r>
          </w:p>
        </w:tc>
        <w:tc>
          <w:tcPr>
            <w:tcW w:w="257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3">
              <w:r>
                <w:rPr>
                  <w:rStyle w:val="InternetLink"/>
                  <w:rFonts w:ascii="Times New Roman;sans-serif" w:hAnsi="Times New Roman;sans-serif"/>
                  <w:b w:val="false"/>
                  <w:color w:val="0000FF"/>
                  <w:sz w:val="20"/>
                  <w:u w:val="single"/>
                </w:rPr>
                <w:t>Item 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3">
              <w:r>
                <w:rPr>
                  <w:rStyle w:val="InternetLink"/>
                  <w:rFonts w:ascii="Times New Roman;sans-serif" w:hAnsi="Times New Roman;sans-serif"/>
                  <w:b w:val="false"/>
                  <w:color w:val="0000FF"/>
                  <w:sz w:val="20"/>
                  <w:u w:val="single"/>
                </w:rPr>
                <w:t xml:space="preserve">Financial Statements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3">
              <w:r>
                <w:rPr>
                  <w:rStyle w:val="InternetLink"/>
                  <w:rFonts w:ascii="Times New Roman;sans-serif" w:hAnsi="Times New Roman;sans-serif"/>
                  <w:b w:val="false"/>
                  <w:color w:val="0000FF"/>
                  <w:sz w:val="20"/>
                  <w:u w:val="single"/>
                </w:rPr>
                <w:t>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6">
              <w:r>
                <w:rPr>
                  <w:rStyle w:val="InternetLink"/>
                  <w:rFonts w:ascii="Times New Roman;sans-serif" w:hAnsi="Times New Roman;sans-serif"/>
                  <w:b w:val="false"/>
                  <w:color w:val="0000FF"/>
                  <w:sz w:val="20"/>
                  <w:u w:val="single"/>
                </w:rPr>
                <w:t>Condensed Consolidated Balance Sheets</w:t>
              </w:r>
            </w:hyperlink>
            <w:r>
              <w:rPr>
                <w:color w:val="000000"/>
              </w:rPr>
              <w:t xml:space="preserve"> </w:t>
            </w:r>
            <w:hyperlink w:anchor="i928aa505a2ea46079da4e5082002267b_13">
              <w:r>
                <w:rPr>
                  <w:rStyle w:val="InternetLink"/>
                  <w:rFonts w:ascii="Times New Roman;sans-serif" w:hAnsi="Times New Roman;sans-serif"/>
                  <w:b w:val="false"/>
                  <w:color w:val="0000FF"/>
                  <w:sz w:val="20"/>
                  <w:u w:val="single"/>
                </w:rPr>
                <w:t>(Unaudited)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6">
              <w:r>
                <w:rPr>
                  <w:rStyle w:val="InternetLink"/>
                  <w:rFonts w:ascii="Times New Roman;sans-serif" w:hAnsi="Times New Roman;sans-serif"/>
                  <w:b w:val="false"/>
                  <w:color w:val="0000FF"/>
                  <w:sz w:val="20"/>
                  <w:u w:val="single"/>
                </w:rPr>
                <w:t>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360"/>
              <w:jc w:val="left"/>
              <w:rPr/>
            </w:pPr>
            <w:hyperlink w:anchor="i928aa505a2ea46079da4e5082002267b_19">
              <w:r>
                <w:rPr>
                  <w:rStyle w:val="InternetLink"/>
                  <w:rFonts w:ascii="Times New Roman;sans-serif" w:hAnsi="Times New Roman;sans-serif"/>
                  <w:b w:val="false"/>
                  <w:color w:val="0000FF"/>
                  <w:sz w:val="20"/>
                  <w:u w:val="single"/>
                </w:rPr>
                <w:t>Condensed Consolidated Statements of Operations and Comprehensive Loss</w:t>
              </w:r>
            </w:hyperlink>
            <w:r>
              <w:rPr>
                <w:color w:val="000000"/>
              </w:rPr>
              <w:t xml:space="preserve"> </w:t>
            </w:r>
            <w:hyperlink w:anchor="i928aa505a2ea46079da4e5082002267b_13">
              <w:r>
                <w:rPr>
                  <w:rStyle w:val="InternetLink"/>
                  <w:rFonts w:ascii="Times New Roman;sans-serif" w:hAnsi="Times New Roman;sans-serif"/>
                  <w:b w:val="false"/>
                  <w:color w:val="0000FF"/>
                  <w:sz w:val="20"/>
                  <w:u w:val="single"/>
                </w:rPr>
                <w:t>(Unaudited)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9">
              <w:r>
                <w:rPr>
                  <w:rStyle w:val="InternetLink"/>
                  <w:rFonts w:ascii="Times New Roman;sans-serif" w:hAnsi="Times New Roman;sans-serif"/>
                  <w:b w:val="false"/>
                  <w:color w:val="0000FF"/>
                  <w:sz w:val="20"/>
                  <w:u w:val="single"/>
                </w:rPr>
                <w:t>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22">
              <w:r>
                <w:rPr>
                  <w:rStyle w:val="InternetLink"/>
                  <w:rFonts w:ascii="Times New Roman;sans-serif" w:hAnsi="Times New Roman;sans-serif"/>
                  <w:b w:val="false"/>
                  <w:color w:val="0000FF"/>
                  <w:sz w:val="20"/>
                  <w:u w:val="single"/>
                </w:rPr>
                <w:t>Condensed Consolidated Statements of Changes in Stockholders' Equity</w:t>
              </w:r>
            </w:hyperlink>
            <w:r>
              <w:rPr>
                <w:color w:val="000000"/>
              </w:rPr>
              <w:t xml:space="preserve"> </w:t>
            </w:r>
            <w:hyperlink w:anchor="i928aa505a2ea46079da4e5082002267b_13">
              <w:r>
                <w:rPr>
                  <w:rStyle w:val="InternetLink"/>
                  <w:rFonts w:ascii="Times New Roman;sans-serif" w:hAnsi="Times New Roman;sans-serif"/>
                  <w:b w:val="false"/>
                  <w:color w:val="0000FF"/>
                  <w:sz w:val="20"/>
                  <w:u w:val="single"/>
                </w:rPr>
                <w:t>(Unaudited)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22">
              <w:r>
                <w:rPr>
                  <w:rStyle w:val="InternetLink"/>
                  <w:rFonts w:ascii="Times New Roman;sans-serif" w:hAnsi="Times New Roman;sans-serif"/>
                  <w:b w:val="false"/>
                  <w:color w:val="0000FF"/>
                  <w:sz w:val="20"/>
                  <w:u w:val="single"/>
                </w:rPr>
                <w:t>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25">
              <w:r>
                <w:rPr>
                  <w:rStyle w:val="InternetLink"/>
                  <w:rFonts w:ascii="Times New Roman;sans-serif" w:hAnsi="Times New Roman;sans-serif"/>
                  <w:b w:val="false"/>
                  <w:color w:val="0000FF"/>
                  <w:sz w:val="20"/>
                  <w:u w:val="single"/>
                </w:rPr>
                <w:t>Condensed Consolidated Statements of Cash Flows</w:t>
              </w:r>
            </w:hyperlink>
            <w:r>
              <w:rPr>
                <w:color w:val="000000"/>
              </w:rPr>
              <w:t xml:space="preserve"> </w:t>
            </w:r>
            <w:hyperlink w:anchor="i928aa505a2ea46079da4e5082002267b_13">
              <w:r>
                <w:rPr>
                  <w:rStyle w:val="InternetLink"/>
                  <w:rFonts w:ascii="Times New Roman;sans-serif" w:hAnsi="Times New Roman;sans-serif"/>
                  <w:b w:val="false"/>
                  <w:color w:val="0000FF"/>
                  <w:sz w:val="20"/>
                  <w:u w:val="single"/>
                </w:rPr>
                <w:t>(Unaudited)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25">
              <w:r>
                <w:rPr>
                  <w:rStyle w:val="InternetLink"/>
                  <w:rFonts w:ascii="Times New Roman;sans-serif" w:hAnsi="Times New Roman;sans-serif"/>
                  <w:b w:val="false"/>
                  <w:color w:val="0000FF"/>
                  <w:sz w:val="20"/>
                  <w:u w:val="single"/>
                </w:rPr>
                <w:t>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28">
              <w:r>
                <w:rPr>
                  <w:rStyle w:val="InternetLink"/>
                  <w:rFonts w:ascii="Times New Roman;sans-serif" w:hAnsi="Times New Roman;sans-serif"/>
                  <w:b w:val="false"/>
                  <w:color w:val="0000FF"/>
                  <w:sz w:val="20"/>
                  <w:u w:val="single"/>
                </w:rPr>
                <w:t>Notes to Condensed Consolidated Financial Statements</w:t>
              </w:r>
            </w:hyperlink>
            <w:r>
              <w:rPr>
                <w:color w:val="000000"/>
              </w:rPr>
              <w:t xml:space="preserve"> </w:t>
            </w:r>
            <w:hyperlink w:anchor="i928aa505a2ea46079da4e5082002267b_13">
              <w:r>
                <w:rPr>
                  <w:rStyle w:val="InternetLink"/>
                  <w:rFonts w:ascii="Times New Roman;sans-serif" w:hAnsi="Times New Roman;sans-serif"/>
                  <w:b w:val="false"/>
                  <w:color w:val="0000FF"/>
                  <w:sz w:val="20"/>
                  <w:u w:val="single"/>
                </w:rPr>
                <w:t>(Unaudited)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28">
              <w:r>
                <w:rPr>
                  <w:rStyle w:val="InternetLink"/>
                  <w:rFonts w:ascii="Times New Roman;sans-serif" w:hAnsi="Times New Roman;sans-serif"/>
                  <w:b w:val="false"/>
                  <w:color w:val="0000FF"/>
                  <w:sz w:val="20"/>
                  <w:u w:val="single"/>
                </w:rPr>
                <w:t>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67">
              <w:r>
                <w:rPr>
                  <w:rStyle w:val="InternetLink"/>
                  <w:rFonts w:ascii="Times New Roman;sans-serif" w:hAnsi="Times New Roman;sans-serif"/>
                  <w:b w:val="false"/>
                  <w:color w:val="0000FF"/>
                  <w:sz w:val="20"/>
                  <w:u w:val="single"/>
                </w:rPr>
                <w:t>Item 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67">
              <w:r>
                <w:rPr>
                  <w:rStyle w:val="InternetLink"/>
                  <w:rFonts w:ascii="Times New Roman;sans-serif" w:hAnsi="Times New Roman;sans-serif"/>
                  <w:b w:val="false"/>
                  <w:color w:val="0000FF"/>
                  <w:sz w:val="20"/>
                  <w:u w:val="single"/>
                </w:rPr>
                <w:t>21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06">
              <w:r>
                <w:rPr>
                  <w:rStyle w:val="InternetLink"/>
                  <w:rFonts w:ascii="Times New Roman;sans-serif" w:hAnsi="Times New Roman;sans-serif"/>
                  <w:b w:val="false"/>
                  <w:color w:val="0000FF"/>
                  <w:sz w:val="20"/>
                  <w:u w:val="single"/>
                </w:rPr>
                <w:t>Item 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06">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06">
              <w:r>
                <w:rPr>
                  <w:rStyle w:val="InternetLink"/>
                  <w:rFonts w:ascii="Times New Roman;sans-serif" w:hAnsi="Times New Roman;sans-serif"/>
                  <w:b w:val="false"/>
                  <w:color w:val="0000FF"/>
                  <w:sz w:val="20"/>
                  <w:u w:val="single"/>
                </w:rPr>
                <w:t>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09">
              <w:r>
                <w:rPr>
                  <w:rStyle w:val="InternetLink"/>
                  <w:rFonts w:ascii="Times New Roman;sans-serif" w:hAnsi="Times New Roman;sans-serif"/>
                  <w:b w:val="false"/>
                  <w:color w:val="0000FF"/>
                  <w:sz w:val="20"/>
                  <w:u w:val="single"/>
                </w:rPr>
                <w:t>Item 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09">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09">
              <w:r>
                <w:rPr>
                  <w:rStyle w:val="InternetLink"/>
                  <w:rFonts w:ascii="Times New Roman;sans-serif" w:hAnsi="Times New Roman;sans-serif"/>
                  <w:b w:val="false"/>
                  <w:color w:val="0000FF"/>
                  <w:sz w:val="20"/>
                  <w:u w:val="single"/>
                </w:rPr>
                <w:t>31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15">
              <w:r>
                <w:rPr>
                  <w:rStyle w:val="InternetLink"/>
                  <w:rFonts w:ascii="Times New Roman;sans-serif" w:hAnsi="Times New Roman;sans-serif"/>
                  <w:b w:val="false"/>
                  <w:color w:val="0000FF"/>
                  <w:sz w:val="20"/>
                  <w:u w:val="single"/>
                </w:rPr>
                <w:t>Item 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15">
              <w:r>
                <w:rPr>
                  <w:rStyle w:val="InternetLink"/>
                  <w:rFonts w:ascii="Times New Roman;sans-serif" w:hAnsi="Times New Roman;sans-serif"/>
                  <w:b w:val="false"/>
                  <w:color w:val="0000FF"/>
                  <w:sz w:val="20"/>
                  <w:u w:val="single"/>
                </w:rPr>
                <w:t>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15">
              <w:r>
                <w:rPr>
                  <w:rStyle w:val="InternetLink"/>
                  <w:rFonts w:ascii="Times New Roman;sans-serif" w:hAnsi="Times New Roman;sans-serif"/>
                  <w:b w:val="false"/>
                  <w:color w:val="0000FF"/>
                  <w:sz w:val="20"/>
                  <w:u w:val="single"/>
                </w:rPr>
                <w:t>32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18">
              <w:r>
                <w:rPr>
                  <w:rStyle w:val="InternetLink"/>
                  <w:rFonts w:ascii="Times New Roman;sans-serif" w:hAnsi="Times New Roman;sans-serif"/>
                  <w:b w:val="false"/>
                  <w:color w:val="0000FF"/>
                  <w:sz w:val="20"/>
                  <w:u w:val="single"/>
                </w:rPr>
                <w:t>Item 1A.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18">
              <w:r>
                <w:rPr>
                  <w:rStyle w:val="InternetLink"/>
                  <w:rFonts w:ascii="Times New Roman;sans-serif" w:hAnsi="Times New Roman;sans-serif"/>
                  <w:b w:val="false"/>
                  <w:color w:val="0000FF"/>
                  <w:sz w:val="20"/>
                  <w:u w:val="single"/>
                </w:rPr>
                <w:t>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18">
              <w:r>
                <w:rPr>
                  <w:rStyle w:val="InternetLink"/>
                  <w:rFonts w:ascii="Times New Roman;sans-serif" w:hAnsi="Times New Roman;sans-serif"/>
                  <w:b w:val="false"/>
                  <w:color w:val="0000FF"/>
                  <w:sz w:val="20"/>
                  <w:u w:val="single"/>
                </w:rPr>
                <w:t>33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21">
              <w:r>
                <w:rPr>
                  <w:rStyle w:val="InternetLink"/>
                  <w:rFonts w:ascii="Times New Roman;sans-serif" w:hAnsi="Times New Roman;sans-serif"/>
                  <w:b w:val="false"/>
                  <w:color w:val="0000FF"/>
                  <w:sz w:val="20"/>
                  <w:u w:val="single"/>
                </w:rPr>
                <w:t>Item 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21">
              <w:r>
                <w:rPr>
                  <w:rStyle w:val="InternetLink"/>
                  <w:rFonts w:ascii="Times New Roman;sans-serif" w:hAnsi="Times New Roman;sans-serif"/>
                  <w:b w:val="false"/>
                  <w:color w:val="0000FF"/>
                  <w:sz w:val="20"/>
                  <w:u w:val="single"/>
                </w:rPr>
                <w:t>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21">
              <w:r>
                <w:rPr>
                  <w:rStyle w:val="InternetLink"/>
                  <w:rFonts w:ascii="Times New Roman;sans-serif" w:hAnsi="Times New Roman;sans-serif"/>
                  <w:b w:val="false"/>
                  <w:color w:val="0000FF"/>
                  <w:sz w:val="20"/>
                  <w:u w:val="single"/>
                </w:rPr>
                <w:t>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24">
              <w:r>
                <w:rPr>
                  <w:rStyle w:val="InternetLink"/>
                  <w:rFonts w:ascii="Times New Roman;sans-serif" w:hAnsi="Times New Roman;sans-serif"/>
                  <w:b w:val="false"/>
                  <w:color w:val="0000FF"/>
                  <w:sz w:val="20"/>
                  <w:u w:val="single"/>
                </w:rPr>
                <w:t>Item 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24">
              <w:r>
                <w:rPr>
                  <w:rStyle w:val="InternetLink"/>
                  <w:rFonts w:ascii="Times New Roman;sans-serif" w:hAnsi="Times New Roman;sans-serif"/>
                  <w:b w:val="false"/>
                  <w:color w:val="0000FF"/>
                  <w:sz w:val="20"/>
                  <w:u w:val="single"/>
                </w:rPr>
                <w:t>Defaults Upon Senior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24">
              <w:r>
                <w:rPr>
                  <w:rStyle w:val="InternetLink"/>
                  <w:rFonts w:ascii="Times New Roman;sans-serif" w:hAnsi="Times New Roman;sans-serif"/>
                  <w:b w:val="false"/>
                  <w:color w:val="0000FF"/>
                  <w:sz w:val="20"/>
                  <w:u w:val="single"/>
                </w:rPr>
                <w:t>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27">
              <w:r>
                <w:rPr>
                  <w:rStyle w:val="InternetLink"/>
                  <w:rFonts w:ascii="Times New Roman;sans-serif" w:hAnsi="Times New Roman;sans-serif"/>
                  <w:b w:val="false"/>
                  <w:color w:val="0000FF"/>
                  <w:sz w:val="20"/>
                  <w:u w:val="single"/>
                </w:rPr>
                <w:t>Item 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27">
              <w:r>
                <w:rPr>
                  <w:rStyle w:val="InternetLink"/>
                  <w:rFonts w:ascii="Times New Roman;sans-serif" w:hAnsi="Times New Roman;sans-serif"/>
                  <w:b w:val="false"/>
                  <w:color w:val="0000FF"/>
                  <w:sz w:val="20"/>
                  <w:u w:val="single"/>
                </w:rPr>
                <w:t>Mine Safety Disclosures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27">
              <w:r>
                <w:rPr>
                  <w:rStyle w:val="InternetLink"/>
                  <w:rFonts w:ascii="Times New Roman;sans-serif" w:hAnsi="Times New Roman;sans-serif"/>
                  <w:b w:val="false"/>
                  <w:color w:val="0000FF"/>
                  <w:sz w:val="20"/>
                  <w:u w:val="single"/>
                </w:rPr>
                <w:t>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30">
              <w:r>
                <w:rPr>
                  <w:rStyle w:val="InternetLink"/>
                  <w:rFonts w:ascii="Times New Roman;sans-serif" w:hAnsi="Times New Roman;sans-serif"/>
                  <w:b w:val="false"/>
                  <w:color w:val="0000FF"/>
                  <w:sz w:val="20"/>
                  <w:u w:val="single"/>
                </w:rPr>
                <w:t>Item 5.</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30">
              <w:r>
                <w:rPr>
                  <w:rStyle w:val="InternetLink"/>
                  <w:rFonts w:ascii="Times New Roman;sans-serif" w:hAnsi="Times New Roman;sans-serif"/>
                  <w:b w:val="false"/>
                  <w:color w:val="0000FF"/>
                  <w:sz w:val="20"/>
                  <w:u w:val="single"/>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30">
              <w:r>
                <w:rPr>
                  <w:rStyle w:val="InternetLink"/>
                  <w:rFonts w:ascii="Times New Roman;sans-serif" w:hAnsi="Times New Roman;sans-serif"/>
                  <w:b w:val="false"/>
                  <w:color w:val="0000FF"/>
                  <w:sz w:val="20"/>
                  <w:u w:val="single"/>
                </w:rPr>
                <w:t>67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33">
              <w:r>
                <w:rPr>
                  <w:rStyle w:val="InternetLink"/>
                  <w:rFonts w:ascii="Times New Roman;sans-serif" w:hAnsi="Times New Roman;sans-serif"/>
                  <w:b w:val="false"/>
                  <w:color w:val="0000FF"/>
                  <w:sz w:val="20"/>
                  <w:u w:val="single"/>
                </w:rPr>
                <w:t>Item 6.</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33">
              <w:r>
                <w:rPr>
                  <w:rStyle w:val="InternetLink"/>
                  <w:rFonts w:ascii="Times New Roman;sans-serif" w:hAnsi="Times New Roman;sans-serif"/>
                  <w:b w:val="false"/>
                  <w:color w:val="0000FF"/>
                  <w:sz w:val="20"/>
                  <w:u w:val="single"/>
                </w:rPr>
                <w:t>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33">
              <w:r>
                <w:rPr>
                  <w:rStyle w:val="InternetLink"/>
                  <w:rFonts w:ascii="Times New Roman;sans-serif" w:hAnsi="Times New Roman;sans-serif"/>
                  <w:b w:val="false"/>
                  <w:color w:val="0000FF"/>
                  <w:sz w:val="20"/>
                  <w:u w:val="single"/>
                </w:rPr>
                <w:t>68</w:t>
              </w:r>
            </w:hyperlink>
          </w:p>
        </w:tc>
      </w:tr>
      <w:tr>
        <w:trPr/>
        <w:tc>
          <w:tcPr>
            <w:tcW w:w="8847"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47"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28aa505a2ea46079da4e5082002267b_136">
              <w:r>
                <w:rPr>
                  <w:rStyle w:val="InternetLink"/>
                  <w:rFonts w:ascii="Times New Roman;sans-serif" w:hAnsi="Times New Roman;sans-serif"/>
                  <w:b w:val="false"/>
                  <w:color w:val="0000FF"/>
                  <w:sz w:val="20"/>
                  <w:u w:val="single"/>
                </w:rPr>
                <w:t>SIGNATURES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28aa505a2ea46079da4e5082002267b_136">
              <w:r>
                <w:rPr>
                  <w:rStyle w:val="InternetLink"/>
                  <w:rFonts w:ascii="Times New Roman;sans-serif" w:hAnsi="Times New Roman;sans-serif"/>
                  <w:b w:val="false"/>
                  <w:color w:val="0000FF"/>
                  <w:sz w:val="20"/>
                  <w:u w:val="single"/>
                </w:rPr>
                <w:t>69</w:t>
              </w:r>
            </w:hyperlink>
          </w:p>
        </w:tc>
      </w:tr>
    </w:tbl>
    <w:p>
      <w:pPr>
        <w:pStyle w:val="TextBody"/>
        <w:spacing w:before="0" w:after="0"/>
        <w:jc w:val="center"/>
        <w:rPr/>
      </w:pPr>
      <w:r>
        <w:rPr/>
      </w:r>
    </w:p>
    <w:p>
      <w:pPr>
        <w:pStyle w:val="TextBody"/>
        <w:spacing w:before="0" w:after="0"/>
        <w:jc w:val="both"/>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360" w:after="283"/>
        <w:rPr/>
      </w:pPr>
      <w:r>
        <w:rPr/>
      </w:r>
    </w:p>
    <w:p>
      <w:pPr>
        <w:pStyle w:val="TextBody"/>
        <w:spacing w:before="240" w:after="283"/>
        <w:ind w:left="0" w:right="0" w:firstLine="495"/>
        <w:jc w:val="both"/>
        <w:rPr/>
      </w:pPr>
      <w:r>
        <w:rPr/>
      </w:r>
    </w:p>
    <w:p>
      <w:pPr>
        <w:pStyle w:val="TextBody"/>
        <w:spacing w:before="36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sales force expansion, surgeon adoption, reimbursement determinations, clinical trial results, and U.S. Food and Drug Administration ("FDA") approvals, are forward-looking statements.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titled “Risk Factors” and “Management’s Discussion and Analysis of Financial Condition and Results of Operations.” These forward-looking statements include, but are not limited to, statements about the following:</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continue to diversify our product mix, including identification of new opportunities and access the capital required to fund adequate new inventory of instruments and implants to address these opportunities;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expectation that a significant portion of our revenues will be derived from sales from a small family of products and a single family of procedures;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develop and commercialize additional revenue opportunities, including new indications for use and new devices;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our ability to retain and grow our sales team based on the demand for our products;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ability to identify, train, and retain surgeons to perform procedures using our products;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ability to obtain and maintain favorable coverage and reimbursement determinations from third-party payors;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estimates of our market opportunities;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expectations regarding the scope of protection from intellectual property rights covering our products;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timing of and results from clinical and other trials;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marketing clearances and authorization from the FDA and regulators in other jurisdictions;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timing of regulatory filings and feedback;</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competition in the markets we serve;</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expectations of the reliability and performance of our products;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expectations of the benefits to patients, providers, and payors of our products;</w:t>
      </w:r>
    </w:p>
    <w:p>
      <w:pPr>
        <w:pStyle w:val="TextBody"/>
        <w:spacing w:lineRule="auto" w:line="288" w:before="180" w:after="283"/>
        <w:ind w:left="0" w:right="0" w:hanging="360"/>
        <w:jc w:val="both"/>
        <w:rPr/>
      </w:pPr>
      <w:r>
        <w:rPr>
          <w:color w:val="000000"/>
        </w:rPr>
        <w:t>•</w:t>
      </w:r>
      <w:r>
        <w:rPr>
          <w:rFonts w:ascii="Times New Roman;sans-serif" w:hAnsi="Times New Roman;sans-serif"/>
          <w:b w:val="false"/>
          <w:color w:val="000000"/>
          <w:sz w:val="20"/>
        </w:rPr>
        <w:t>factors impacting the supply chains we rely on, including the availability of raw materials and skilled labor serving our suppliers, and the cost of these factors of production which may in turn impact the prices we pay for our devices;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reliance on a limited number of suppliers, including sole source suppliers, which may impact the availability of instruments and materials;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ability to sustain or increase demand for our products;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estimates regarding our costs and risks associated with our international operations and expansion;</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expectations regarding our ability to retain and recruit key personnel;</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ability to attract and retain employees, including those with specialized skills and experience;</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ability to successfully manage the supply chain and operational challenges, as well as governmental responses or mandates, associated with a disease outbreak, including epidemics, pandemics or similar widespread public health concerns;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the continuing impact of COVID-19 or other disease outbreaks on the demand for, and timing of, our procedures;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ability to attract and retain a force of third party sales agents who sell our products in the U.S;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expectations regarding acquisitions and strategic operations;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ability to access capital markets;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ability to fund our working capital requirements;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our compliance with, and the cost of, federal, state, and foreign regulatory requirements;</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the factors that may impact our financial results; and</w:t>
      </w:r>
    </w:p>
    <w:p>
      <w:pPr>
        <w:pStyle w:val="TextBody"/>
        <w:spacing w:lineRule="auto" w:line="288" w:before="180" w:after="283"/>
        <w:ind w:left="0" w:right="0" w:hanging="360"/>
        <w:rPr/>
      </w:pPr>
      <w:r>
        <w:rPr>
          <w:color w:val="000000"/>
        </w:rPr>
        <w:t>•</w:t>
      </w:r>
      <w:r>
        <w:rPr>
          <w:rFonts w:ascii="Times New Roman;sans-serif" w:hAnsi="Times New Roman;sans-serif"/>
          <w:b w:val="false"/>
          <w:color w:val="000000"/>
          <w:sz w:val="20"/>
        </w:rPr>
        <w:t>anticipated trends and challenges in our business and the markets in which we operate.</w:t>
      </w:r>
    </w:p>
    <w:p>
      <w:pPr>
        <w:pStyle w:val="TextBody"/>
        <w:spacing w:before="180" w:after="283"/>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828"/>
        <w:gridCol w:w="2238"/>
        <w:gridCol w:w="2165"/>
        <w:gridCol w:w="225"/>
        <w:gridCol w:w="885"/>
        <w:gridCol w:w="116"/>
        <w:gridCol w:w="109"/>
        <w:gridCol w:w="109"/>
        <w:gridCol w:w="109"/>
        <w:gridCol w:w="250"/>
        <w:gridCol w:w="984"/>
        <w:gridCol w:w="187"/>
      </w:tblGrid>
      <w:tr>
        <w:trPr/>
        <w:tc>
          <w:tcPr>
            <w:tcW w:w="2828" w:type="dxa"/>
            <w:tcBorders/>
            <w:shd w:fill="auto" w:val="clear"/>
            <w:vAlign w:val="center"/>
          </w:tcPr>
          <w:p>
            <w:pPr>
              <w:pStyle w:val="TableContents"/>
              <w:spacing w:before="0" w:after="283"/>
              <w:rPr>
                <w:sz w:val="4"/>
                <w:szCs w:val="4"/>
              </w:rPr>
            </w:pPr>
            <w:r>
              <w:rPr>
                <w:sz w:val="4"/>
                <w:szCs w:val="4"/>
              </w:rPr>
            </w:r>
          </w:p>
        </w:tc>
        <w:tc>
          <w:tcPr>
            <w:tcW w:w="2238"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7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20,717 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 of $450 and $400, respectively</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1" w:type="dxa"/>
            <w:gridSpan w:val="3"/>
            <w:tcBorders/>
            <w:shd w:fill="auto" w:val="cle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AND STOCKHOLDERS’ EQUITY </w:t>
            </w:r>
          </w:p>
        </w:tc>
        <w:tc>
          <w:tcPr>
            <w:tcW w:w="1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auto" w:val="clear"/>
            <w:vAlign w:val="center"/>
          </w:tcPr>
          <w:p>
            <w:pPr>
              <w:pStyle w:val="TableContents"/>
              <w:spacing w:before="0" w:after="283"/>
              <w:rPr>
                <w:sz w:val="4"/>
                <w:szCs w:val="4"/>
              </w:rPr>
            </w:pPr>
            <w:r>
              <w:rPr>
                <w:sz w:val="4"/>
                <w:szCs w:val="4"/>
              </w:rPr>
            </w:r>
          </w:p>
        </w:tc>
        <w:tc>
          <w:tcPr>
            <w:tcW w:w="12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1" w:type="dxa"/>
            <w:gridSpan w:val="3"/>
            <w:tcBorders/>
            <w:shd w:fill="auto" w:val="cle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 shares authorized; 35,106,163 and 34,731,577 shares issued and outstanding, respectively</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461,886 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(368,230)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149,076 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157,552 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07060"/>
                <wp:effectExtent l="0" t="0" r="0" b="0"/>
                <wp:wrapNone/>
                <wp:docPr id="5" name="Frame5"/>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LOSS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share and per share amounts)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62"/>
        <w:gridCol w:w="2068"/>
        <w:gridCol w:w="2050"/>
        <w:gridCol w:w="240"/>
        <w:gridCol w:w="841"/>
        <w:gridCol w:w="109"/>
        <w:gridCol w:w="109"/>
        <w:gridCol w:w="109"/>
        <w:gridCol w:w="109"/>
        <w:gridCol w:w="240"/>
        <w:gridCol w:w="841"/>
        <w:gridCol w:w="109"/>
        <w:gridCol w:w="109"/>
        <w:gridCol w:w="109"/>
        <w:gridCol w:w="109"/>
        <w:gridCol w:w="109"/>
        <w:gridCol w:w="109"/>
        <w:gridCol w:w="109"/>
        <w:gridCol w:w="109"/>
        <w:gridCol w:w="155"/>
      </w:tblGrid>
      <w:tr>
        <w:trPr/>
        <w:tc>
          <w:tcPr>
            <w:tcW w:w="2462"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05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gridSpan w:val="4"/>
            <w:tcBorders/>
            <w:shd w:fill="auto" w:val="clear"/>
          </w:tcPr>
          <w:p>
            <w:pPr>
              <w:pStyle w:val="TableContents"/>
              <w:spacing w:before="0" w:after="283"/>
              <w:rPr>
                <w:sz w:val="4"/>
                <w:szCs w:val="4"/>
              </w:rPr>
            </w:pPr>
            <w:r>
              <w:rPr>
                <w:sz w:val="4"/>
                <w:szCs w:val="4"/>
              </w:rPr>
            </w:r>
          </w:p>
        </w:tc>
      </w:tr>
      <w:tr>
        <w:trPr/>
        <w:tc>
          <w:tcPr>
            <w:tcW w:w="6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currency translation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180"/>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34,916,106 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33,792,326 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0"/>
        </w:rPr>
        <w:t>The accompanying notes are an integral part of these unaudited condensed consolidated financial statements.</w:t>
      </w:r>
      <w:r>
        <w:rPr>
          <w:color w:val="00000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spacing w:lineRule="auto" w:line="417"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43" w:type="dxa"/>
        <w:jc w:val="center"/>
        <w:tblInd w:w="0" w:type="dxa"/>
        <w:tblCellMar>
          <w:top w:w="28" w:type="dxa"/>
          <w:left w:w="28" w:type="dxa"/>
          <w:bottom w:w="28" w:type="dxa"/>
          <w:right w:w="28" w:type="dxa"/>
        </w:tblCellMar>
      </w:tblPr>
      <w:tblGrid>
        <w:gridCol w:w="638"/>
        <w:gridCol w:w="311"/>
        <w:gridCol w:w="312"/>
        <w:gridCol w:w="109"/>
        <w:gridCol w:w="109"/>
        <w:gridCol w:w="109"/>
        <w:gridCol w:w="547"/>
        <w:gridCol w:w="549"/>
        <w:gridCol w:w="211"/>
        <w:gridCol w:w="109"/>
        <w:gridCol w:w="109"/>
        <w:gridCol w:w="109"/>
        <w:gridCol w:w="268"/>
        <w:gridCol w:w="344"/>
        <w:gridCol w:w="13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12"/>
        <w:gridCol w:w="848"/>
        <w:gridCol w:w="111"/>
        <w:gridCol w:w="109"/>
        <w:gridCol w:w="154"/>
      </w:tblGrid>
      <w:tr>
        <w:trPr/>
        <w:tc>
          <w:tcPr>
            <w:tcW w:w="63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34,731,577 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120,266 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35,106,163</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461,886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(368,230)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93,959</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Additional</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Paid-in </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Other </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 xml:space="preserve">Comprehensive </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restart"/>
            <w:tcBorders/>
            <w:shd w:fill="auto" w:val="clear"/>
            <w:tcMar>
              <w:top w:w="0" w:type="dxa"/>
              <w:left w:w="0" w:type="dxa"/>
              <w:bottom w:w="0" w:type="dxa"/>
              <w:right w:w="0" w:type="dxa"/>
            </w:tcMar>
            <w:vAlign w:val="center"/>
          </w:tcPr>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spacing w:lineRule="auto" w:line="240" w:before="40" w:after="40"/>
              <w:jc w:val="center"/>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33,674,085 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34,798 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163,480 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33,872,363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w:t>
            </w: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435,590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(313,259)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122,438</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pStyle w:val="TextBody"/>
        <w:spacing w:before="0" w:after="0"/>
        <w:jc w:val="center"/>
        <w:rPr/>
      </w:pPr>
      <w:r>
        <w:rPr/>
      </w:r>
    </w:p>
    <w:p>
      <w:pPr>
        <w:pStyle w:val="TextBody"/>
        <w:spacing w:lineRule="auto" w:line="288" w:before="240" w:after="283"/>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643" w:type="dxa"/>
        <w:jc w:val="center"/>
        <w:tblInd w:w="0" w:type="dxa"/>
        <w:tblCellMar>
          <w:top w:w="28" w:type="dxa"/>
          <w:left w:w="28" w:type="dxa"/>
          <w:bottom w:w="28" w:type="dxa"/>
          <w:right w:w="28" w:type="dxa"/>
        </w:tblCellMar>
      </w:tblPr>
      <w:tblGrid>
        <w:gridCol w:w="1892"/>
        <w:gridCol w:w="1660"/>
        <w:gridCol w:w="1667"/>
        <w:gridCol w:w="196"/>
        <w:gridCol w:w="721"/>
        <w:gridCol w:w="109"/>
        <w:gridCol w:w="109"/>
        <w:gridCol w:w="109"/>
        <w:gridCol w:w="109"/>
        <w:gridCol w:w="196"/>
        <w:gridCol w:w="721"/>
        <w:gridCol w:w="154"/>
      </w:tblGrid>
      <w:tr>
        <w:trPr/>
        <w:tc>
          <w:tcPr>
            <w:tcW w:w="1892"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c>
          <w:tcPr>
            <w:tcW w:w="16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5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credit losses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(amortization) of discount on marketable securities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other</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debt financing</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debt financing</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Proceeds from the exercise of stock options </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Cash and cash equivalents at</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information</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Unpaid purchases of property and equipment </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unaudited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07060"/>
                <wp:effectExtent l="0" t="0" r="0" b="0"/>
                <wp:wrapNone/>
                <wp:docPr id="8" name="Frame8"/>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 The Company and Nature of Business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musculoskeletal disorders of the sacropelvic anatomy. The Company introduced its first generation iFuse implant in 2009 in the U.S., in 2010 in certain countries in the European Union, and in 2015 in certain countries in the rest of the world. The second generation iFuse implant, iFuse-3D, was introduced in 2017 followed by iFuse-TORQ in 2021 and iFuse Bedrock Granite in 2022.</w:t>
      </w:r>
    </w:p>
    <w:p>
      <w:pPr>
        <w:pStyle w:val="TextBody"/>
        <w:spacing w:lineRule="auto" w:line="288" w:before="180" w:after="24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spacing w:lineRule="auto" w:line="268" w:before="0" w:after="0"/>
        <w:ind w:left="0" w:right="0" w:firstLine="495"/>
        <w:jc w:val="both"/>
        <w:rPr/>
      </w:pPr>
      <w:r>
        <w:rPr>
          <w:rFonts w:ascii="Times New Roman;sans-serif" w:hAnsi="Times New Roman;sans-serif"/>
          <w:b w:val="false"/>
          <w:color w:val="000000"/>
          <w:sz w:val="20"/>
        </w:rPr>
        <w:t>The Company is subject to uncertainties related to liquidity, the ability to meet covenants and access to funding for its capital needs as the financial service industry has experienced disruptions characterized by the bankruptcy, failure, collapse or sale of various financial institutions. The Company’s cash and cash equivalents are primarily invested in deposits and money market accounts with two major financial institutions in the U.S. Deposits in these banks may exceed the federally insured limits or any other insurance provided on such deposits, if any. The Company had accounts with Silicon Valley Bank (“SVB”). On March 10, 2023, California regulators shut down SVB and the FDIC was appointed as SVB’s receiver. On March 26, 2023, the FDIC announced that it had entered into a purchase and assumption agreement with First-Citizens Bank &amp; Trust Company (“First-Citizens”) under which all deposits of the former Silicon Valley Bank were assumed by First-Citizens.</w:t>
      </w:r>
      <w:r>
        <w:rPr>
          <w:color w:val="000000"/>
        </w:rPr>
        <w:t xml:space="preserve"> </w:t>
      </w:r>
      <w:r>
        <w:rPr>
          <w:rFonts w:ascii="Times New Roman;sans-serif" w:hAnsi="Times New Roman;sans-serif"/>
          <w:b w:val="false"/>
          <w:color w:val="000000"/>
          <w:sz w:val="20"/>
        </w:rPr>
        <w:t>First-Citizens acquired the rights as lender under the Company’s Loan and Security Agreement as amended. To date, the Company has not experienced any losses on its deposits of cash, cash equivalents and marketable securities and continues to have access to these funds.</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continuing risk and uncertainties resulting from the COVID-19 pandemic. The COVID-19 pandemic has impacted our supply chain and also caused delays or cancellations of our procedures. Continuing or future outbreaks of COVID-19 or other public health concerns could contribute to health systems diverting resources to respond to COVID-19 which could lead to scheduling delays or cancellations of our procedures. Continuing or future outbreaks could also cause or exacerbate supply chain shortages.</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such the Company's future results of operations and liquidity could be adversely impacted by a variety of factors related to uncertainties in the financial services industry and new or ongoing impacts of the COVID-19 pandemic, including those discussed in the section titled "Risk Factors" in this report. As of the date of issuance of these condensed consolidated financial statements, the extent to which the COVID-19 pandemic, economic disruption that has resulted from the pandemic and measures taken to stabilize economies during the pandemic, global supply chain issues and uncertainties of the financial services industry may materially impact the Company's financial condition, liquidity, or results of operations remains uncertain.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180" w:after="240"/>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lineRule="auto" w:line="288" w:before="18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December 31, 2022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months ended March 31, 2023 are not necessarily indicative of the results to be expected for the year ending December 31, 2023 or for any other interim period or for any other future year.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should be read in conjunction with the audited financial statements and related notes thereto for the year ended December 31, 2022 contained in the Company’s Annual Report on Form 10-K filed with the SEC on March 2, 2023.</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07060"/>
                <wp:effectExtent l="0" t="0" r="0" b="0"/>
                <wp:wrapNone/>
                <wp:docPr id="9" name="Frame9"/>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180" w:after="240"/>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condensed consolidated financial statements primarily includes the fair value of performance-based restricted stock unit awards. Estimates are based on historical experience, where applicable and other assumptions believed to be reasonable by the management. Actual results could differ from those estimates. </w:t>
      </w:r>
    </w:p>
    <w:p>
      <w:pPr>
        <w:pStyle w:val="TextBody"/>
        <w:spacing w:lineRule="auto" w:line="288" w:before="18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 xml:space="preserve">Significant Accounting Policies </w:t>
      </w:r>
    </w:p>
    <w:p>
      <w:pPr>
        <w:pStyle w:val="TextBody"/>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significant accounting policies are disclosed in the Company’s Annual Report on Form 10-K for the year ended December 31, 2022. The Company updated the accounting policies related to the property and equipment and revenue recognition, as follows:</w:t>
      </w:r>
    </w:p>
    <w:p>
      <w:pPr>
        <w:pStyle w:val="TextBody"/>
        <w:spacing w:lineRule="auto" w:line="26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Property and Equipment </w:t>
      </w:r>
    </w:p>
    <w:p>
      <w:pPr>
        <w:pStyle w:val="TextBody"/>
        <w:spacing w:lineRule="auto" w:line="268" w:before="0" w:after="0"/>
        <w:jc w:val="both"/>
        <w:rPr/>
      </w:pPr>
      <w:r>
        <w:rPr>
          <w:rFonts w:ascii="Times New Roman;sans-serif" w:hAnsi="Times New Roman;sans-serif"/>
          <w:b w:val="false"/>
          <w:color w:val="000000"/>
          <w:sz w:val="20"/>
        </w:rPr>
        <w:t xml:space="preserve">Construction in progress includes assets that have not yet been placed into service including the cost of individual components of an instrument tray. Once an instrument tray is placed into service, the Company transfers its carrying value into machinery and equipment and begins depreciating the cost of the instrument tray over its useful life. </w:t>
      </w:r>
      <w:r>
        <w:rPr>
          <w:rFonts w:ascii="Times New Roman;sans-serif" w:hAnsi="Times New Roman;sans-serif"/>
          <w:b w:val="false"/>
          <w:color w:val="000000"/>
          <w:sz w:val="20"/>
          <w:highlight w:val="white"/>
        </w:rPr>
        <w:t>Leasehold improvements are amortized over the lesser of their useful lives or the life of the lease.</w:t>
      </w:r>
      <w:r>
        <w:rPr>
          <w:color w:val="000000"/>
        </w:rPr>
        <w:t xml:space="preserve"> </w:t>
      </w:r>
      <w:r>
        <w:rPr>
          <w:rFonts w:ascii="Times New Roman;sans-serif" w:hAnsi="Times New Roman;sans-serif"/>
          <w:b w:val="false"/>
          <w:color w:val="000000"/>
          <w:sz w:val="20"/>
          <w:highlight w:val="white"/>
        </w:rPr>
        <w:t>Upon the sale or retirement of these assets, the cost and related accumulated depreciation are removed from the consolidated balance sheet and the resulting gain or loss is recognized in the consolidated statement of operations. Maintenance and repairs are charged to operations as incurred.</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Revenue Recognition</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is derived from the sale of its products to medical groups and hospitals through its direct sales force and third-party sales agents and resellers throughout the U.S. and Europe. The Company receives payment for its implants consumed during the surgery and does not receive additional or separate consideration for the use of the instrument tray furnished by the Company for the surgeon’s use. The Company identifies the instrument trays as a lease component and the implants as a non-lease component in its arrangements with its customers. The Company determines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distributors and to certain hospital or medical facilities where the products are ordered in advance of a procedure. The performance obligation is the delivery of the products and therefore, revenue is recognized upon shipment to the customers, net of rebates and price discounts. The Company accounts for rebates and price discounts as a reduction to revenue, calculated based on the terms agreed to with the customer. Historically, there had been no significant price discounts.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pStyle w:val="TextBody"/>
        <w:spacing w:before="0" w:after="0"/>
        <w:jc w:val="both"/>
        <w:rPr/>
      </w:pPr>
      <w:r>
        <w:rPr/>
      </w:r>
    </w:p>
    <w:p>
      <w:pPr>
        <w:pStyle w:val="TextBody"/>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Segments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07060"/>
                <wp:effectExtent l="0" t="0" r="0" b="0"/>
                <wp:wrapNone/>
                <wp:docPr id="10" name="Frame10"/>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180" w:after="240"/>
        <w:ind w:left="0" w:right="0" w:firstLine="495"/>
        <w:jc w:val="both"/>
        <w:rPr/>
      </w:pPr>
      <w:r>
        <w:rPr>
          <w:rFonts w:ascii="Times New Roman;sans-serif" w:hAnsi="Times New Roman;sans-serif"/>
          <w:b w:val="false"/>
          <w:color w:val="000000"/>
          <w:sz w:val="20"/>
        </w:rPr>
        <w:t>The Company's chief operating decision makers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r>
        <w:rPr>
          <w:rFonts w:ascii="Times New Roman;sans-serif" w:hAnsi="Times New Roman;sans-serif"/>
          <w:b w:val="false"/>
          <w:color w:val="008080"/>
          <w:sz w:val="24"/>
        </w:rPr>
        <w:t>.</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derives substantially all of its revenue from sales to customers in the U.S. Revenue by geography is based on billing address of the customer. International revenue accounted for less than 10% of the total revenue during the periods presented. Long-lived assets held outside the U.S. are immaterial. Following table summarizes the Company's revenue by geography:</w:t>
      </w:r>
    </w:p>
    <w:tbl>
      <w:tblPr>
        <w:tblW w:w="4801" w:type="dxa"/>
        <w:jc w:val="left"/>
        <w:tblInd w:w="0" w:type="dxa"/>
        <w:tblCellMar>
          <w:top w:w="28" w:type="dxa"/>
          <w:left w:w="28" w:type="dxa"/>
          <w:bottom w:w="28" w:type="dxa"/>
          <w:right w:w="28" w:type="dxa"/>
        </w:tblCellMar>
      </w:tblPr>
      <w:tblGrid>
        <w:gridCol w:w="435"/>
        <w:gridCol w:w="381"/>
        <w:gridCol w:w="383"/>
        <w:gridCol w:w="226"/>
        <w:gridCol w:w="772"/>
        <w:gridCol w:w="116"/>
        <w:gridCol w:w="116"/>
        <w:gridCol w:w="116"/>
        <w:gridCol w:w="116"/>
        <w:gridCol w:w="226"/>
        <w:gridCol w:w="772"/>
        <w:gridCol w:w="116"/>
        <w:gridCol w:w="109"/>
        <w:gridCol w:w="109"/>
        <w:gridCol w:w="109"/>
        <w:gridCol w:w="109"/>
        <w:gridCol w:w="109"/>
        <w:gridCol w:w="109"/>
        <w:gridCol w:w="109"/>
        <w:gridCol w:w="109"/>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8" w:type="dxa"/>
            <w:gridSpan w:val="7"/>
            <w:tcBorders/>
            <w:shd w:fill="auto" w:val="clea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4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18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recently issued accounting standards are expected to have a material impact on the Company’s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07060"/>
                <wp:effectExtent l="0" t="0" r="0" b="0"/>
                <wp:wrapNone/>
                <wp:docPr id="11" name="Frame11"/>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3. Marketable Securities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marketable securities were available-for-sale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spacing w:before="0" w:after="0"/>
        <w:ind w:left="0" w:right="0" w:firstLine="540"/>
        <w:jc w:val="both"/>
        <w:rPr/>
      </w:pPr>
      <w:r>
        <w:rPr/>
      </w:r>
    </w:p>
    <w:p>
      <w:pPr>
        <w:pStyle w:val="TextBody"/>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marketable securities:</w:t>
      </w:r>
    </w:p>
    <w:tbl>
      <w:tblPr>
        <w:tblW w:w="9302" w:type="dxa"/>
        <w:jc w:val="left"/>
        <w:tblInd w:w="0" w:type="dxa"/>
        <w:tblCellMar>
          <w:top w:w="28" w:type="dxa"/>
          <w:left w:w="28" w:type="dxa"/>
          <w:bottom w:w="28" w:type="dxa"/>
          <w:right w:w="28" w:type="dxa"/>
        </w:tblCellMar>
      </w:tblPr>
      <w:tblGrid>
        <w:gridCol w:w="834"/>
        <w:gridCol w:w="735"/>
        <w:gridCol w:w="740"/>
        <w:gridCol w:w="267"/>
        <w:gridCol w:w="914"/>
        <w:gridCol w:w="138"/>
        <w:gridCol w:w="109"/>
        <w:gridCol w:w="109"/>
        <w:gridCol w:w="109"/>
        <w:gridCol w:w="413"/>
        <w:gridCol w:w="796"/>
        <w:gridCol w:w="215"/>
        <w:gridCol w:w="109"/>
        <w:gridCol w:w="109"/>
        <w:gridCol w:w="109"/>
        <w:gridCol w:w="430"/>
        <w:gridCol w:w="829"/>
        <w:gridCol w:w="225"/>
        <w:gridCol w:w="109"/>
        <w:gridCol w:w="109"/>
        <w:gridCol w:w="109"/>
        <w:gridCol w:w="347"/>
        <w:gridCol w:w="1185"/>
        <w:gridCol w:w="253"/>
      </w:tblGrid>
      <w:tr>
        <w:trPr/>
        <w:tc>
          <w:tcPr>
            <w:tcW w:w="834"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35,964 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18,265 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18,265 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9303" w:type="dxa"/>
        <w:jc w:val="center"/>
        <w:tblInd w:w="0" w:type="dxa"/>
        <w:tblCellMar>
          <w:top w:w="28" w:type="dxa"/>
          <w:left w:w="28" w:type="dxa"/>
          <w:bottom w:w="28" w:type="dxa"/>
          <w:right w:w="28" w:type="dxa"/>
        </w:tblCellMar>
      </w:tblPr>
      <w:tblGrid>
        <w:gridCol w:w="834"/>
        <w:gridCol w:w="735"/>
        <w:gridCol w:w="740"/>
        <w:gridCol w:w="267"/>
        <w:gridCol w:w="914"/>
        <w:gridCol w:w="138"/>
        <w:gridCol w:w="109"/>
        <w:gridCol w:w="109"/>
        <w:gridCol w:w="109"/>
        <w:gridCol w:w="413"/>
        <w:gridCol w:w="796"/>
        <w:gridCol w:w="215"/>
        <w:gridCol w:w="109"/>
        <w:gridCol w:w="109"/>
        <w:gridCol w:w="109"/>
        <w:gridCol w:w="391"/>
        <w:gridCol w:w="892"/>
        <w:gridCol w:w="202"/>
        <w:gridCol w:w="109"/>
        <w:gridCol w:w="109"/>
        <w:gridCol w:w="109"/>
        <w:gridCol w:w="347"/>
        <w:gridCol w:w="1185"/>
        <w:gridCol w:w="253"/>
      </w:tblGrid>
      <w:tr>
        <w:trPr/>
        <w:tc>
          <w:tcPr>
            <w:tcW w:w="834"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48,636 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vAlign w:val="center"/>
          </w:tcPr>
          <w:p>
            <w:pPr>
              <w:pStyle w:val="TableContents"/>
              <w:spacing w:before="0" w:after="283"/>
              <w:rPr>
                <w:sz w:val="4"/>
                <w:szCs w:val="4"/>
              </w:rPr>
            </w:pPr>
            <w:r>
              <w:rPr>
                <w:sz w:val="4"/>
                <w:szCs w:val="4"/>
              </w:rPr>
            </w:r>
          </w:p>
        </w:tc>
        <w:tc>
          <w:tcPr>
            <w:tcW w:w="13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5" w:type="dxa"/>
            <w:gridSpan w:val="3"/>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84,575 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During the three months ended March 31, 2023 and 2022, unrealized gains and losses from the investments were not material and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condensed consolidated balance sheets as of March 31, 2023 and December 31, 2022.</w:t>
      </w:r>
    </w:p>
    <w:p>
      <w:pPr>
        <w:pStyle w:val="TextBody"/>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present accrued interest receivable separately from short-term and long-term investments on its condensed consolidated balance sheets. Accrued interest receivable was $0.1 million as of March 31, 2023, and was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as of March 31, 2023 or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07060"/>
                <wp:effectExtent l="0" t="0" r="0" b="0"/>
                <wp:wrapNone/>
                <wp:docPr id="12" name="Frame12"/>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Fair Value Measurement</w:t>
      </w:r>
    </w:p>
    <w:p>
      <w:pPr>
        <w:pStyle w:val="TextBody"/>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 fair value hierarchy measurements and disclosures for the periods presented. </w:t>
      </w:r>
    </w:p>
    <w:p>
      <w:pPr>
        <w:pStyle w:val="TextBody"/>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fair value of the Company’s marketable securities measured at fair value on a recurring basis based on the three-tier fair value hierarchy:</w:t>
      </w:r>
    </w:p>
    <w:tbl>
      <w:tblPr>
        <w:tblW w:w="7184" w:type="dxa"/>
        <w:jc w:val="left"/>
        <w:tblInd w:w="0" w:type="dxa"/>
        <w:tblCellMar>
          <w:top w:w="28" w:type="dxa"/>
          <w:left w:w="28" w:type="dxa"/>
          <w:bottom w:w="28" w:type="dxa"/>
          <w:right w:w="28" w:type="dxa"/>
        </w:tblCellMar>
      </w:tblPr>
      <w:tblGrid>
        <w:gridCol w:w="836"/>
        <w:gridCol w:w="734"/>
        <w:gridCol w:w="739"/>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721"/>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Marketable securities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07060"/>
                <wp:effectExtent l="0" t="0" r="0" b="0"/>
                <wp:wrapNone/>
                <wp:docPr id="13" name="Frame13"/>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5. Balance Sheet Components</w:t>
      </w:r>
    </w:p>
    <w:p>
      <w:pPr>
        <w:pStyle w:val="TextBody"/>
        <w:spacing w:lineRule="auto" w:line="288" w:before="120" w:after="283"/>
        <w:ind w:left="0" w:right="0" w:firstLine="495"/>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inventory consisted of finished goods of $16.3 million and work-in-progress of $1.5 million. As of December 31, 2022, inventory consisted of finished goods of $15.6 million and work-in-progress and components of $1.7 million.</w:t>
      </w:r>
    </w:p>
    <w:p>
      <w:pPr>
        <w:pStyle w:val="TextBody"/>
        <w:spacing w:lineRule="auto" w:line="288" w:before="240" w:after="180"/>
        <w:ind w:left="0" w:right="0" w:firstLine="495"/>
        <w:rPr/>
      </w:pPr>
      <w:r>
        <w:rPr>
          <w:rFonts w:ascii="Times New Roman;sans-serif" w:hAnsi="Times New Roman;sans-serif"/>
          <w:b/>
          <w:i/>
          <w:color w:val="000000"/>
          <w:sz w:val="20"/>
        </w:rPr>
        <w:t>Property and Equipment, net:</w:t>
      </w:r>
      <w:r>
        <w:rPr>
          <w:color w:val="000000"/>
        </w:rPr>
        <w:t>    </w:t>
      </w:r>
    </w:p>
    <w:tbl>
      <w:tblPr>
        <w:tblW w:w="7361" w:type="dxa"/>
        <w:jc w:val="left"/>
        <w:tblInd w:w="0" w:type="dxa"/>
        <w:tblCellMar>
          <w:top w:w="28" w:type="dxa"/>
          <w:left w:w="28" w:type="dxa"/>
          <w:bottom w:w="28" w:type="dxa"/>
          <w:right w:w="28" w:type="dxa"/>
        </w:tblCellMar>
      </w:tblPr>
      <w:tblGrid>
        <w:gridCol w:w="1504"/>
        <w:gridCol w:w="1322"/>
        <w:gridCol w:w="1328"/>
        <w:gridCol w:w="261"/>
        <w:gridCol w:w="894"/>
        <w:gridCol w:w="135"/>
        <w:gridCol w:w="109"/>
        <w:gridCol w:w="109"/>
        <w:gridCol w:w="109"/>
        <w:gridCol w:w="309"/>
        <w:gridCol w:w="1056"/>
        <w:gridCol w:w="225"/>
      </w:tblGrid>
      <w:tr>
        <w:trPr/>
        <w:tc>
          <w:tcPr>
            <w:tcW w:w="1504"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7,854 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office equipment</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5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3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27,912 </w:t>
            </w:r>
          </w:p>
        </w:tc>
        <w:tc>
          <w:tcPr>
            <w:tcW w:w="13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25,771 </w:t>
            </w:r>
          </w:p>
        </w:tc>
        <w:tc>
          <w:tcPr>
            <w:tcW w:w="22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(10,207)</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16,629 </w:t>
            </w:r>
          </w:p>
        </w:tc>
        <w:tc>
          <w:tcPr>
            <w:tcW w:w="13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15,564 </w:t>
            </w:r>
          </w:p>
        </w:tc>
        <w:tc>
          <w:tcPr>
            <w:tcW w:w="2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80"/>
        <w:rPr>
          <w:color w:val="000000"/>
        </w:rPr>
      </w:pPr>
      <w:r>
        <w:rPr>
          <w:color w:val="000000"/>
        </w:rPr>
        <w:t>            </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construction in progress pertains to the cost of individual components of a custom instrument set used for surgical placement of the Company's products that have not yet been placed into service of $4.0 million and construction costs related to the Company's lease for research and development and warehouse space in Santa Clara and software costs of $3.7 million. Depreciation expense was $1.1 million and $0.7 million for the three months ended March 31, 2023 and 2022, respectively.</w:t>
      </w:r>
    </w:p>
    <w:p>
      <w:pPr>
        <w:pStyle w:val="TextBody"/>
        <w:spacing w:lineRule="auto" w:line="288" w:before="240" w:after="180"/>
        <w:ind w:left="0" w:right="0" w:firstLine="495"/>
        <w:rPr/>
      </w:pPr>
      <w:r>
        <w:rPr>
          <w:rFonts w:ascii="Times New Roman;sans-serif" w:hAnsi="Times New Roman;sans-serif"/>
          <w:b/>
          <w:i/>
          <w:color w:val="000000"/>
          <w:sz w:val="20"/>
          <w:highlight w:val="white"/>
        </w:rPr>
        <w:t>Accrued Liabilities and Other</w:t>
      </w:r>
      <w:r>
        <w:rPr>
          <w:rFonts w:ascii="Times New Roman;sans-serif" w:hAnsi="Times New Roman;sans-serif"/>
          <w:b w:val="false"/>
          <w:color w:val="000000"/>
          <w:sz w:val="20"/>
          <w:highlight w:val="white"/>
        </w:rPr>
        <w:t>:</w:t>
      </w:r>
    </w:p>
    <w:tbl>
      <w:tblPr>
        <w:tblW w:w="6912" w:type="dxa"/>
        <w:jc w:val="left"/>
        <w:tblInd w:w="0" w:type="dxa"/>
        <w:tblCellMar>
          <w:top w:w="28" w:type="dxa"/>
          <w:left w:w="28" w:type="dxa"/>
          <w:bottom w:w="28" w:type="dxa"/>
          <w:right w:w="28" w:type="dxa"/>
        </w:tblCellMar>
      </w:tblPr>
      <w:tblGrid>
        <w:gridCol w:w="1343"/>
        <w:gridCol w:w="1178"/>
        <w:gridCol w:w="1184"/>
        <w:gridCol w:w="291"/>
        <w:gridCol w:w="849"/>
        <w:gridCol w:w="150"/>
        <w:gridCol w:w="109"/>
        <w:gridCol w:w="109"/>
        <w:gridCol w:w="109"/>
        <w:gridCol w:w="309"/>
        <w:gridCol w:w="1056"/>
        <w:gridCol w:w="225"/>
      </w:tblGrid>
      <w:tr>
        <w:trPr/>
        <w:tc>
          <w:tcPr>
            <w:tcW w:w="1343"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7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royalty</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Accrued professional services </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80"/>
        <w:rPr>
          <w:rFonts w:ascii="Times New Roman;sans-serif" w:hAnsi="Times New Roman;sans-serif"/>
          <w:b/>
          <w:i/>
          <w:color w:val="000000"/>
          <w:sz w:val="20"/>
        </w:rPr>
      </w:pPr>
      <w:r>
        <w:rPr>
          <w:rFonts w:ascii="Times New Roman;sans-serif" w:hAnsi="Times New Roman;sans-serif"/>
          <w:b/>
          <w:i/>
          <w:color w:val="000000"/>
          <w:sz w:val="20"/>
        </w:rPr>
        <w:t>Accounts Receivable and Allowance for Credit Losses:</w:t>
      </w:r>
    </w:p>
    <w:p>
      <w:pPr>
        <w:pStyle w:val="TextBody"/>
        <w:spacing w:lineRule="auto" w:line="288" w:before="180" w:after="180"/>
        <w:ind w:left="0" w:right="0" w:firstLine="495"/>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movement in the allowance for credit losses was as follows:</w:t>
      </w:r>
    </w:p>
    <w:tbl>
      <w:tblPr>
        <w:tblW w:w="5846" w:type="dxa"/>
        <w:jc w:val="left"/>
        <w:tblInd w:w="0" w:type="dxa"/>
        <w:tblCellMar>
          <w:top w:w="28" w:type="dxa"/>
          <w:left w:w="28" w:type="dxa"/>
          <w:bottom w:w="28" w:type="dxa"/>
          <w:right w:w="28" w:type="dxa"/>
        </w:tblCellMar>
      </w:tblPr>
      <w:tblGrid>
        <w:gridCol w:w="956"/>
        <w:gridCol w:w="840"/>
        <w:gridCol w:w="843"/>
        <w:gridCol w:w="346"/>
        <w:gridCol w:w="765"/>
        <w:gridCol w:w="179"/>
        <w:gridCol w:w="109"/>
        <w:gridCol w:w="109"/>
        <w:gridCol w:w="109"/>
        <w:gridCol w:w="402"/>
        <w:gridCol w:w="891"/>
        <w:gridCol w:w="297"/>
      </w:tblGrid>
      <w:tr>
        <w:trPr/>
        <w:tc>
          <w:tcPr>
            <w:tcW w:w="956"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11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6. Commitments and Contingencies</w:t>
      </w:r>
    </w:p>
    <w:p>
      <w:pPr>
        <w:pStyle w:val="TextBody"/>
        <w:spacing w:lineRule="auto" w:line="288" w:before="180" w:after="283"/>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non-cancelable operating lease for an office building space, located in Santa Clara, California which expires in May 2025 and a building used for research and development and warehouse space in Santa Clara, California which expires in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07060"/>
                <wp:effectExtent l="0" t="0" r="0" b="0"/>
                <wp:wrapNone/>
                <wp:docPr id="14" name="Frame14"/>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October 2026. The Company also has non-cancelable operating leases for its office building spaces in Gallarate, Italy and Knaresborough, United Kingdom, which expire in August 2027 and December 2025, respectively.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leases vehicles under operating lease arrangements for certain of its personnel in Europe which expire at various times throughout 2023 to 2027.</w:t>
      </w:r>
    </w:p>
    <w:p>
      <w:pPr>
        <w:pStyle w:val="TextBody"/>
        <w:spacing w:lineRule="auto" w:line="288" w:before="180" w:after="283"/>
        <w:ind w:left="0" w:right="0" w:firstLine="495"/>
        <w:jc w:val="both"/>
        <w:rPr/>
      </w:pPr>
      <w:r>
        <w:rPr>
          <w:rFonts w:ascii="Times New Roman;sans-serif" w:hAnsi="Times New Roman;sans-serif"/>
          <w:b w:val="false"/>
          <w:color w:val="000000"/>
          <w:sz w:val="20"/>
          <w:highlight w:val="white"/>
        </w:rPr>
        <w:t>Supplemental information related to lease expense and valuation of the lease assets and lease liabilit</w:t>
      </w:r>
      <w:r>
        <w:rPr>
          <w:rFonts w:ascii="Times New Roman;sans-serif" w:hAnsi="Times New Roman;sans-serif"/>
          <w:b w:val="false"/>
          <w:color w:val="000000"/>
          <w:sz w:val="20"/>
        </w:rPr>
        <w:t>ies are as follows: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85"/>
        <w:gridCol w:w="1992"/>
        <w:gridCol w:w="2004"/>
        <w:gridCol w:w="529"/>
        <w:gridCol w:w="358"/>
        <w:gridCol w:w="360"/>
        <w:gridCol w:w="157"/>
        <w:gridCol w:w="157"/>
        <w:gridCol w:w="157"/>
        <w:gridCol w:w="555"/>
        <w:gridCol w:w="470"/>
        <w:gridCol w:w="475"/>
        <w:gridCol w:w="109"/>
        <w:gridCol w:w="109"/>
        <w:gridCol w:w="109"/>
        <w:gridCol w:w="109"/>
        <w:gridCol w:w="109"/>
        <w:gridCol w:w="161"/>
      </w:tblGrid>
      <w:tr>
        <w:trPr/>
        <w:tc>
          <w:tcPr>
            <w:tcW w:w="2285" w:type="dxa"/>
            <w:tcBorders/>
            <w:shd w:fill="auto" w:val="clear"/>
            <w:vAlign w:val="center"/>
          </w:tcPr>
          <w:p>
            <w:pPr>
              <w:pStyle w:val="TableContents"/>
              <w:spacing w:before="0" w:after="283"/>
              <w:rPr>
                <w:sz w:val="4"/>
                <w:szCs w:val="4"/>
              </w:rPr>
            </w:pPr>
            <w:r>
              <w:rPr>
                <w:sz w:val="4"/>
                <w:szCs w:val="4"/>
              </w:rPr>
            </w:r>
          </w:p>
        </w:tc>
        <w:tc>
          <w:tcPr>
            <w:tcW w:w="1992"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gridSpan w:val="2"/>
            <w:tcBorders/>
            <w:shd w:fill="auto" w:val="clea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5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p>
            <w:pPr>
              <w:pStyle w:val="TableContents"/>
              <w:spacing w:before="0" w:after="0"/>
              <w:rPr/>
            </w:pPr>
            <w:r>
              <w:rPr/>
            </w:r>
          </w:p>
        </w:tc>
        <w:tc>
          <w:tcPr>
            <w:tcW w:w="52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(in years)</w:t>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4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28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2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operating leases as of March 31, 2023 was as follows:</w:t>
      </w:r>
    </w:p>
    <w:tbl>
      <w:tblPr>
        <w:tblW w:w="3929" w:type="dxa"/>
        <w:jc w:val="left"/>
        <w:tblInd w:w="0" w:type="dxa"/>
        <w:tblCellMar>
          <w:top w:w="28" w:type="dxa"/>
          <w:left w:w="28" w:type="dxa"/>
          <w:bottom w:w="28" w:type="dxa"/>
          <w:right w:w="28" w:type="dxa"/>
        </w:tblCellMar>
      </w:tblPr>
      <w:tblGrid>
        <w:gridCol w:w="960"/>
        <w:gridCol w:w="846"/>
        <w:gridCol w:w="848"/>
        <w:gridCol w:w="274"/>
        <w:gridCol w:w="801"/>
        <w:gridCol w:w="200"/>
      </w:tblGrid>
      <w:tr>
        <w:trPr/>
        <w:tc>
          <w:tcPr>
            <w:tcW w:w="960"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ind w:left="0" w:right="0" w:hanging="180"/>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27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payments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no operating lease liabilities that had not commenced.</w:t>
      </w:r>
    </w:p>
    <w:p>
      <w:pPr>
        <w:pStyle w:val="TextBody"/>
        <w:spacing w:lineRule="auto" w:line="288" w:before="240" w:after="240"/>
        <w:rPr>
          <w:rFonts w:ascii="Times New Roman;sans-serif" w:hAnsi="Times New Roman;sans-serif"/>
          <w:b/>
          <w:i/>
          <w:color w:val="000000"/>
          <w:sz w:val="20"/>
        </w:rPr>
      </w:pPr>
      <w:r>
        <w:rPr>
          <w:rFonts w:ascii="Times New Roman;sans-serif" w:hAnsi="Times New Roman;sans-serif"/>
          <w:b/>
          <w:i/>
          <w:color w:val="000000"/>
          <w:sz w:val="20"/>
        </w:rPr>
        <w:t>Purchase Commitments and Obligations</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certain purchase commitments related to its inventory management with certain manufacturing suppliers wherein the Company is required to purchase the amounts forecasted in a blanket purchase order.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$1.8 million and $0.8 million as of March 31, 2023 and December 31, 2022, respectively.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07060"/>
                <wp:effectExtent l="0" t="0" r="0" b="0"/>
                <wp:wrapNone/>
                <wp:docPr id="15" name="Frame15"/>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spacing w:lineRule="auto" w:line="288" w:before="18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spacing w:lineRule="auto" w:line="288" w:before="18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legal proceedings arising in the ordinary course of its business. The Company is not presently a party to any material legal proceedings that, if determined adversely to the Company, would have a material adverse effect on the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spacing w:lineRule="auto" w:line="288" w:before="180" w:after="283"/>
        <w:ind w:left="0" w:right="0" w:firstLine="450"/>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spacing w:lineRule="auto" w:line="288" w:before="18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borrowings from the term loan as of periods presented:</w:t>
      </w:r>
    </w:p>
    <w:tbl>
      <w:tblPr>
        <w:tblW w:w="9566" w:type="dxa"/>
        <w:jc w:val="left"/>
        <w:tblInd w:w="0" w:type="dxa"/>
        <w:tblCellMar>
          <w:top w:w="28" w:type="dxa"/>
          <w:left w:w="28" w:type="dxa"/>
          <w:bottom w:w="28" w:type="dxa"/>
          <w:right w:w="28" w:type="dxa"/>
        </w:tblCellMar>
      </w:tblPr>
      <w:tblGrid>
        <w:gridCol w:w="2303"/>
        <w:gridCol w:w="2025"/>
        <w:gridCol w:w="2031"/>
        <w:gridCol w:w="261"/>
        <w:gridCol w:w="894"/>
        <w:gridCol w:w="135"/>
        <w:gridCol w:w="109"/>
        <w:gridCol w:w="109"/>
        <w:gridCol w:w="109"/>
        <w:gridCol w:w="309"/>
        <w:gridCol w:w="1056"/>
        <w:gridCol w:w="225"/>
      </w:tblGrid>
      <w:tr>
        <w:trPr/>
        <w:tc>
          <w:tcPr>
            <w:tcW w:w="2303"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6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(in thousands)</w:t>
            </w:r>
          </w:p>
        </w:tc>
      </w:tr>
      <w:tr>
        <w:trPr/>
        <w:tc>
          <w:tcPr>
            <w:tcW w:w="6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outstanding and final fee</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Unaccreted value of final fee</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debt, net of debt issuance costs and unaccreted value of final fee</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Classified as:</w:t>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59"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26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35,938 </w:t>
            </w:r>
          </w:p>
        </w:tc>
        <w:tc>
          <w:tcPr>
            <w:tcW w:w="13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35,171 </w:t>
            </w:r>
          </w:p>
        </w:tc>
        <w:tc>
          <w:tcPr>
            <w:tcW w:w="22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term loan pursuant to the Loan and Security Agreement dated August 12, 2021 (the “Effective Date”), entered into by the Company with Silicon Valley Bank (“SVB”). Pursuant the agreement, SVB provided an aggregate principal amount of $35.0 million to the Company (the “SVB Term Loan”). </w:t>
      </w:r>
    </w:p>
    <w:p>
      <w:pPr>
        <w:pStyle w:val="TextBody"/>
        <w:spacing w:lineRule="auto" w:line="288" w:before="180" w:after="283"/>
        <w:ind w:left="0" w:right="0" w:firstLine="495"/>
        <w:jc w:val="both"/>
        <w:rPr/>
      </w:pPr>
      <w:r>
        <w:rPr>
          <w:rFonts w:ascii="Times New Roman;sans-serif" w:hAnsi="Times New Roman;sans-serif"/>
          <w:b w:val="false"/>
          <w:color w:val="000000"/>
          <w:sz w:val="20"/>
        </w:rPr>
        <w:t>On January 6, 2023, the Company entered into a First Amendment to Loan and Security Agreement (the “Amendment”) with SVB, which amended the Company's SVB Term Loan pursuant to which the Company had a term loan facility in an aggregate principal amount of $35.0 million (the “Original Loan Agreement” and with the Amendment, collectively the “Amended Loan Agreement”). Upon entry into the Amended Loan Agreement, the Company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"Revolver"). On March 14, 2023 all of SVB’s assets and liabilities, including all of SVB’s rights as the lender pursuant to the Amended Loan Agreement, were assigned to Silicon Valley Bridge Bank.</w:t>
      </w:r>
      <w:r>
        <w:rPr>
          <w:color w:val="000000"/>
        </w:rPr>
        <w:t xml:space="preserve"> </w:t>
      </w:r>
      <w:r>
        <w:rPr>
          <w:rFonts w:ascii="Times New Roman;sans-serif" w:hAnsi="Times New Roman;sans-serif"/>
          <w:b w:val="false"/>
          <w:color w:val="000000"/>
          <w:sz w:val="20"/>
        </w:rPr>
        <w:t xml:space="preserve">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the Company’s request. The Term Loan matures on December 1, 2027 (the “Term Loan Maturity Date”). Interest on the Term Loan will be payable monthly at a floating annual rate set at the greater of the prime rate as published in the Wall Street Journal plus 0.5% or 6.75%. Commencing on July 1, 2025, the Company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The Company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07060"/>
                <wp:effectExtent l="0" t="0" r="0" b="0"/>
                <wp:wrapNone/>
                <wp:docPr id="16" name="Frame16"/>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borrowed, repaid and reborrowed until the maturity date, which will be July 6, 2025 (the "Revolver Maturity Date"). Borrowings under the Revolver are based on 80% of eligible domestic accounts receivable borrowing base. Interest on the outstanding balance of the Revolver will be payable monthly at a floating annual rate set at the greater of the prime rate as published in the Wall Street Journal or 6.25%. Interest on borrowings is due monthly and any principal balance is due on the Revolver Maturity Date, provided that when Revolver Advances are outstanding, in the event the Company does not maintain an adjusted quick ratio of at least 1.5 to 1.0, then falling below such threshold will allow First-Citizens to apply accounts receivable collections to outstanding Revolver borrowings. The Company will pay a total commitment fee of $187,500 on account of the Revolver payable in installments, but fully earned at close. The Company will also be required to pay a fee of $150,000 if it terminates the Amended Loan Agreement or Revolver prior to Revolver Maturity Date. No termination fee would be due if the Revolver is replaced with a new facility with First-Citizens. No amounts were outstanding under the Revolver as of March 31, 2023.</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Amended Loan Agreement as a debt modification. Accordingly, the remaining unamortized debt issuance costs related to the Original Loan Agreement together with any lender fees incurred in connection with the entry of the Amended Loan Agreement are amortized to interest expense using the straight-line method over the new term of the loan through December 2027.</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interest rate related to the First-Citizens Term Loan for the three months ended March 31, 2023 and March 31, 2022 was 8.6% and 6.3%, respectively. </w:t>
      </w:r>
    </w:p>
    <w:p>
      <w:pPr>
        <w:pStyle w:val="TextBody"/>
        <w:spacing w:lineRule="auto" w:line="288" w:before="18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future principal and final fee payments under the Fist-Citizens Term Loan as of March 31, 2023:</w:t>
      </w:r>
    </w:p>
    <w:tbl>
      <w:tblPr>
        <w:tblW w:w="4483" w:type="dxa"/>
        <w:jc w:val="left"/>
        <w:tblInd w:w="0" w:type="dxa"/>
        <w:tblCellMar>
          <w:top w:w="28" w:type="dxa"/>
          <w:left w:w="28" w:type="dxa"/>
          <w:bottom w:w="28" w:type="dxa"/>
          <w:right w:w="28" w:type="dxa"/>
        </w:tblCellMar>
      </w:tblPr>
      <w:tblGrid>
        <w:gridCol w:w="1161"/>
        <w:gridCol w:w="1022"/>
        <w:gridCol w:w="1026"/>
        <w:gridCol w:w="247"/>
        <w:gridCol w:w="847"/>
        <w:gridCol w:w="180"/>
      </w:tblGrid>
      <w:tr>
        <w:trPr/>
        <w:tc>
          <w:tcPr>
            <w:tcW w:w="1161"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14,400 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and final fee payments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Loan Agreement contains customary events of default, including bankruptcy, the failure to make payments when due, the occurrence of a material impairment on First-Citizens's security interest over the collateral, a material adverse change, the occurrence of a default under certain other indebtedness of the Company and its subsidiaries, the rendering of certain types of judgments against the Company and its subsidiaries, the revocation of certain government approvals, violation of covenants, and incorrectness of representations and warranties in any material respect. In addition, the Amended Loan Agreement contains a financial covenant which requires the Company to maintain, at all times when the Financial Covenant Measuring Period is in effect, certain net revenue levels as agreed upon by the Company and First-Citizens. If the Company does not comply with the various covenants under the Amended Loan Agreement and an event of default occurs under the Amended Loan Agreement, the interest rate on outstanding amounts can increase by 3% and First-Citizens may, subject to various customary cure rights, decline to provide additional advances under the Revolver, require the immediate payment of all amounts outstanding under the Amended Loan Agreement, and foreclose on all collateral. </w:t>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the Company violated one of the terms of the credit facility by opening bank accounts with another financial institution and transferring funds from SVB. The Company entered into a letter agreement with Silicon Valley Bridge Bank waiving enforcement of this covenant and providing the Company the right to hold a portion of its cash at other financial institutions. A future violation of any covenants could result in a default under the Amended Loan Agreement that would permit First-Citizens to restrict the Company’s ability to further access the Revolving Line of Credit for loans and require the immediate repayment of any outstanding loans under the agreement. As of March 31, 2023, the Company was in compliance with all debt covenants, provided, however, that in order to access future credit advances under the Revolving Line of Credit, the Company will be required to transfer certain cash management accounts back to First-Citizens. As of March 31, 2023, the Company had cash management accounts with a financial institution other than First-Citizens and instructed its customers to direct payments to these separate operating accounts. Until such operating accounts are closed and the funds moved back to cash collateral accounts held at First-Citizens, the Company will be unable to obtain credit advances under the Revolver.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07060"/>
                <wp:effectExtent l="0" t="0" r="0" b="0"/>
                <wp:wrapNone/>
                <wp:docPr id="17" name="Frame17"/>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8. Stock-Based Incentive Compensation Plans </w:t>
      </w:r>
    </w:p>
    <w:p>
      <w:pPr>
        <w:pStyle w:val="TextBody"/>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before="0" w:after="0"/>
        <w:ind w:left="0" w:right="0" w:firstLine="495"/>
        <w:jc w:val="both"/>
        <w:rPr/>
      </w:pPr>
      <w:r>
        <w:rPr/>
      </w:r>
    </w:p>
    <w:p>
      <w:pPr>
        <w:pStyle w:val="TextBody"/>
        <w:spacing w:lineRule="auto" w:line="288" w:before="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stock option activity for the three months ended March 31, 2023:</w:t>
      </w:r>
    </w:p>
    <w:tbl>
      <w:tblPr>
        <w:tblW w:w="6206" w:type="dxa"/>
        <w:jc w:val="left"/>
        <w:tblInd w:w="0" w:type="dxa"/>
        <w:tblCellMar>
          <w:top w:w="28" w:type="dxa"/>
          <w:left w:w="28" w:type="dxa"/>
          <w:bottom w:w="28" w:type="dxa"/>
          <w:right w:w="28" w:type="dxa"/>
        </w:tblCellMar>
      </w:tblPr>
      <w:tblGrid>
        <w:gridCol w:w="1180"/>
        <w:gridCol w:w="1036"/>
        <w:gridCol w:w="1039"/>
        <w:gridCol w:w="109"/>
        <w:gridCol w:w="109"/>
        <w:gridCol w:w="109"/>
        <w:gridCol w:w="488"/>
        <w:gridCol w:w="488"/>
        <w:gridCol w:w="331"/>
        <w:gridCol w:w="109"/>
        <w:gridCol w:w="109"/>
        <w:gridCol w:w="109"/>
        <w:gridCol w:w="290"/>
        <w:gridCol w:w="290"/>
        <w:gridCol w:w="410"/>
      </w:tblGrid>
      <w:tr>
        <w:trPr/>
        <w:tc>
          <w:tcPr>
            <w:tcW w:w="1180"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w:t>
              <w:br/>
              <w:t xml:space="preserve">Average </w:t>
              <w:br/>
              <w:t xml:space="preserve">Exercise </w:t>
              <w:br/>
              <w:t>Price</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1,903,341 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w:t>
            </w:r>
          </w:p>
        </w:tc>
      </w:tr>
      <w:tr>
        <w:trPr/>
        <w:tc>
          <w:tcPr>
            <w:tcW w:w="3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(120,266)</w:t>
            </w:r>
          </w:p>
        </w:tc>
        <w:tc>
          <w:tcPr>
            <w:tcW w:w="3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(15,284)</w:t>
            </w:r>
          </w:p>
        </w:tc>
        <w:tc>
          <w:tcPr>
            <w:tcW w:w="3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21.36</w:t>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1,767,791 </w:t>
            </w:r>
          </w:p>
        </w:tc>
        <w:tc>
          <w:tcPr>
            <w:tcW w:w="3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r>
    </w:tbl>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unrecognized compensation cost related to stock options is insignificant and is expected to be recognized over a period of approximately 0.4 years.</w:t>
      </w:r>
    </w:p>
    <w:p>
      <w:pPr>
        <w:pStyle w:val="TextBody"/>
        <w:spacing w:before="0" w:after="0"/>
        <w:rPr/>
      </w:pPr>
      <w:r>
        <w:rPr/>
      </w:r>
    </w:p>
    <w:p>
      <w:pPr>
        <w:pStyle w:val="TextBody"/>
        <w:spacing w:lineRule="auto" w:line="288" w:before="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during the three months ended March 31, 2023 and 2022. </w:t>
      </w:r>
    </w:p>
    <w:p>
      <w:pPr>
        <w:pStyle w:val="TextBody"/>
        <w:spacing w:lineRule="auto" w:line="288" w:before="0" w:after="0"/>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Early Exercise of Unvested Stock Options</w:t>
      </w:r>
    </w:p>
    <w:p>
      <w:pPr>
        <w:pStyle w:val="TextBody"/>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Early exercises of stock options under the Company's 2008 Stock Option Plan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As of March 31, 2023 and December 31, 2022, the Company had no shares subject to repurchase.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Restricted Stock Units (“RSUs”)</w:t>
      </w:r>
    </w:p>
    <w:p>
      <w:pPr>
        <w:pStyle w:val="TextBody"/>
        <w:spacing w:lineRule="auto" w:line="288" w:before="240" w:after="240"/>
        <w:ind w:left="0" w:right="0" w:firstLine="495"/>
        <w:jc w:val="both"/>
        <w:rPr/>
      </w:pPr>
      <w:r>
        <w:rPr>
          <w:rFonts w:ascii="Times New Roman;sans-serif" w:hAnsi="Times New Roman;sans-serif"/>
          <w:b w:val="false"/>
          <w:color w:val="000000"/>
          <w:sz w:val="20"/>
        </w:rPr>
        <w:t>RSUs are share awards that entitle the holder to receive freely tradable shares of the Company’s common stock upon vesting. RSUs generally vest over two to four years based upon continued services and are settled at vesting in shares of the Company's common stock. Certain RSUs vest based upon continued services and the achievement of financial milestones. The grant date fair value of the RSUs is equal to the closing price of the Company’s common stock on the grant date. As of March 31, 2023, the unr</w:t>
      </w:r>
      <w:r>
        <w:rPr>
          <w:rFonts w:ascii="Times New Roman;sans-serif" w:hAnsi="Times New Roman;sans-serif"/>
          <w:b w:val="false"/>
          <w:color w:val="000000"/>
          <w:sz w:val="20"/>
          <w:highlight w:val="white"/>
        </w:rPr>
        <w:t xml:space="preserve">ecognized compensation cost related to the RSUs was $41.5 million, which is expected to be recognized over a period of approximately 2.8 years. </w:t>
      </w:r>
    </w:p>
    <w:p>
      <w:pPr>
        <w:pStyle w:val="TextBody"/>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performance-based restricted stock unit awards subject to market and service vesting conditions to certain executive officers under SI-BONE's 2018 Equity Incentive Plan (“PSUs”). The shares subject to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summarizes the assumptions used to estimate the grant date fair value of the PSUs granted:</w:t>
      </w:r>
    </w:p>
    <w:tbl>
      <w:tblPr>
        <w:tblW w:w="10205" w:type="dxa"/>
        <w:jc w:val="left"/>
        <w:tblInd w:w="0" w:type="dxa"/>
        <w:tblCellMar>
          <w:top w:w="28" w:type="dxa"/>
          <w:left w:w="28" w:type="dxa"/>
          <w:bottom w:w="28" w:type="dxa"/>
          <w:right w:w="28" w:type="dxa"/>
        </w:tblCellMar>
      </w:tblPr>
      <w:tblGrid>
        <w:gridCol w:w="1142"/>
        <w:gridCol w:w="981"/>
        <w:gridCol w:w="984"/>
        <w:gridCol w:w="109"/>
        <w:gridCol w:w="109"/>
        <w:gridCol w:w="109"/>
        <w:gridCol w:w="109"/>
        <w:gridCol w:w="109"/>
        <w:gridCol w:w="109"/>
        <w:gridCol w:w="485"/>
        <w:gridCol w:w="271"/>
        <w:gridCol w:w="500"/>
        <w:gridCol w:w="218"/>
        <w:gridCol w:w="614"/>
        <w:gridCol w:w="218"/>
        <w:gridCol w:w="218"/>
        <w:gridCol w:w="218"/>
        <w:gridCol w:w="238"/>
        <w:gridCol w:w="219"/>
        <w:gridCol w:w="218"/>
        <w:gridCol w:w="109"/>
        <w:gridCol w:w="109"/>
        <w:gridCol w:w="109"/>
        <w:gridCol w:w="238"/>
        <w:gridCol w:w="238"/>
        <w:gridCol w:w="232"/>
        <w:gridCol w:w="109"/>
        <w:gridCol w:w="109"/>
        <w:gridCol w:w="109"/>
        <w:gridCol w:w="210"/>
        <w:gridCol w:w="200"/>
        <w:gridCol w:w="194"/>
        <w:gridCol w:w="109"/>
        <w:gridCol w:w="109"/>
        <w:gridCol w:w="109"/>
        <w:gridCol w:w="211"/>
        <w:gridCol w:w="211"/>
        <w:gridCol w:w="312"/>
      </w:tblGrid>
      <w:tr>
        <w:trPr/>
        <w:tc>
          <w:tcPr>
            <w:tcW w:w="1142"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r>
      <w:tr>
        <w:trPr/>
        <w:tc>
          <w:tcPr>
            <w:tcW w:w="3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7"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March 31, </w:t>
            </w:r>
          </w:p>
        </w:tc>
        <w:tc>
          <w:tcPr>
            <w:tcW w:w="3027" w:type="dxa"/>
            <w:gridSpan w:val="18"/>
            <w:tcBorders/>
            <w:shd w:fill="auto" w:val="clear"/>
          </w:tcPr>
          <w:p>
            <w:pPr>
              <w:pStyle w:val="TableContents"/>
              <w:spacing w:before="0" w:after="283"/>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6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061" w:type="dxa"/>
            <w:gridSpan w:val="6"/>
            <w:tcBorders/>
            <w:shd w:fill="auto" w:val="clear"/>
          </w:tcPr>
          <w:p>
            <w:pPr>
              <w:pStyle w:val="TableContents"/>
              <w:spacing w:before="0" w:after="283"/>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of peer companies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152.5%</w:t>
            </w:r>
          </w:p>
        </w:tc>
      </w:tr>
      <w:tr>
        <w:trPr/>
        <w:tc>
          <w:tcPr>
            <w:tcW w:w="31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 of peer companies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6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04"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61" w:type="dxa"/>
            <w:gridSpan w:val="6"/>
            <w:tcBorders/>
            <w:shd w:fill="auto" w:val="clear"/>
          </w:tcPr>
          <w:p>
            <w:pPr>
              <w:pStyle w:val="TableContents"/>
              <w:spacing w:before="0" w:after="283"/>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734"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31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500" w:type="dxa"/>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6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027" w:type="dxa"/>
            <w:gridSpan w:val="18"/>
            <w:tcBorders/>
            <w:shd w:fill="auto" w:val="clear"/>
          </w:tcPr>
          <w:p>
            <w:pPr>
              <w:pStyle w:val="TableContents"/>
              <w:spacing w:before="0" w:after="283"/>
              <w:rPr>
                <w:sz w:val="4"/>
                <w:szCs w:val="4"/>
              </w:rPr>
            </w:pPr>
            <w:r>
              <w:rPr>
                <w:sz w:val="4"/>
                <w:szCs w:val="4"/>
              </w:rPr>
            </w:r>
          </w:p>
        </w:tc>
      </w:tr>
    </w:tbl>
    <w:p>
      <w:pPr>
        <w:pStyle w:val="TextBody"/>
        <w:spacing w:lineRule="auto" w:line="288" w:before="240" w:after="240"/>
        <w:ind w:left="0" w:right="0" w:firstLine="495"/>
        <w:jc w:val="both"/>
        <w:rPr/>
      </w:pPr>
      <w:r>
        <w:rPr>
          <w:rFonts w:ascii="Times New Roman;sans-serif" w:hAnsi="Times New Roman;sans-serif"/>
          <w:b w:val="false"/>
          <w:color w:val="000000"/>
          <w:sz w:val="20"/>
          <w:highlight w:val="white"/>
        </w:rPr>
        <w:t xml:space="preserve">As of March 31, 2023, the unrecognized compensation cost related to the PSUs was $4.1 million, which is expected to </w:t>
      </w:r>
      <w:r>
        <w:rPr>
          <w:rFonts w:ascii="Times New Roman;sans-serif" w:hAnsi="Times New Roman;sans-serif"/>
          <w:b w:val="false"/>
          <w:color w:val="000000"/>
          <w:sz w:val="20"/>
        </w:rPr>
        <w:t>be recognized over a period of approximately 2.4 years.</w:t>
      </w:r>
    </w:p>
    <w:p>
      <w:pPr>
        <w:pStyle w:val="TextBody"/>
        <w:spacing w:lineRule="auto" w:line="288" w:before="240" w:after="283"/>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RSU and PSU activity for the three months ended March 31, 2023:</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07060"/>
                <wp:effectExtent l="0" t="0" r="0" b="0"/>
                <wp:wrapNone/>
                <wp:docPr id="18" name="Frame18"/>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813"/>
        <w:gridCol w:w="714"/>
        <w:gridCol w:w="716"/>
        <w:gridCol w:w="109"/>
        <w:gridCol w:w="109"/>
        <w:gridCol w:w="109"/>
        <w:gridCol w:w="468"/>
        <w:gridCol w:w="381"/>
        <w:gridCol w:w="383"/>
        <w:gridCol w:w="109"/>
        <w:gridCol w:w="109"/>
        <w:gridCol w:w="109"/>
        <w:gridCol w:w="701"/>
        <w:gridCol w:w="701"/>
        <w:gridCol w:w="703"/>
        <w:gridCol w:w="109"/>
        <w:gridCol w:w="109"/>
        <w:gridCol w:w="109"/>
        <w:gridCol w:w="396"/>
        <w:gridCol w:w="381"/>
        <w:gridCol w:w="383"/>
        <w:gridCol w:w="109"/>
        <w:gridCol w:w="109"/>
        <w:gridCol w:w="109"/>
        <w:gridCol w:w="628"/>
        <w:gridCol w:w="628"/>
        <w:gridCol w:w="901"/>
      </w:tblGrid>
      <w:tr>
        <w:trPr/>
        <w:tc>
          <w:tcPr>
            <w:tcW w:w="813"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r>
      <w:tr>
        <w:trPr/>
        <w:tc>
          <w:tcPr>
            <w:tcW w:w="2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PSUs</w:t>
            </w:r>
          </w:p>
        </w:tc>
      </w:tr>
      <w:tr>
        <w:trPr/>
        <w:tc>
          <w:tcPr>
            <w:tcW w:w="2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1,794,928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155,596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22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1,044,344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255,458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12.33</w:t>
            </w:r>
          </w:p>
        </w:tc>
      </w:tr>
      <w:tr>
        <w:trPr/>
        <w:tc>
          <w:tcPr>
            <w:tcW w:w="2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(228,388)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(25,932)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19.50</w:t>
            </w:r>
          </w:p>
        </w:tc>
      </w:tr>
      <w:tr>
        <w:trPr/>
        <w:tc>
          <w:tcPr>
            <w:tcW w:w="22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and forfeited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22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2,524,777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385,122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14.74</w:t>
            </w:r>
          </w:p>
        </w:tc>
      </w:tr>
    </w:tbl>
    <w:p>
      <w:pPr>
        <w:pStyle w:val="TextBody"/>
        <w:spacing w:lineRule="auto" w:line="288" w:before="360" w:after="283"/>
        <w:ind w:left="0" w:right="0" w:firstLine="495"/>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provided for automatic enrollment in a new offering, and provided that the offering which commenced in May 2020 be twelve months in duration and consist of two purchase periods. </w:t>
      </w:r>
    </w:p>
    <w:p>
      <w:pPr>
        <w:pStyle w:val="TextBody"/>
        <w:spacing w:lineRule="auto" w:line="288" w:before="240" w:after="283"/>
        <w:ind w:left="0" w:right="0" w:firstLine="450"/>
        <w:jc w:val="both"/>
        <w:rPr/>
      </w:pPr>
      <w:r>
        <w:rPr>
          <w:rFonts w:ascii="Times New Roman;sans-serif" w:hAnsi="Times New Roman;sans-serif"/>
          <w:b w:val="false"/>
          <w:color w:val="000000"/>
          <w:sz w:val="20"/>
        </w:rPr>
        <w:t xml:space="preserve">The fair value of the ESPP shares is estimated using the Black-Scholes option pricing model, which is being amortized over the requisite service period. The Company did not issue any shares under ESPP for the three months ended March 31, 2023 and 2022. As of March 31, 2023 and December 31, 2022, total accumulated ESPP related employee payroll deductions amounted to </w:t>
      </w:r>
      <w:r>
        <w:rPr>
          <w:rFonts w:ascii="Times New Roman;sans-serif" w:hAnsi="Times New Roman;sans-serif"/>
          <w:b w:val="false"/>
          <w:color w:val="000000"/>
          <w:sz w:val="20"/>
          <w:highlight w:val="white"/>
        </w:rPr>
        <w:t>$1.2 million</w:t>
      </w:r>
      <w:r>
        <w:rPr>
          <w:color w:val="000000"/>
        </w:rPr>
        <w:t xml:space="preserve"> </w:t>
      </w:r>
      <w:r>
        <w:rPr>
          <w:rFonts w:ascii="Times New Roman;sans-serif" w:hAnsi="Times New Roman;sans-serif"/>
          <w:b w:val="false"/>
          <w:color w:val="000000"/>
          <w:sz w:val="20"/>
        </w:rPr>
        <w:t xml:space="preserve">and $0.3 million, respectively, which were included within accrued compensation and related expenses in the condensed consolidated balance sheets.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detail of stock-based compensation expense amounts included in the condensed consolidated statements of operations:</w:t>
      </w:r>
    </w:p>
    <w:tbl>
      <w:tblPr>
        <w:tblW w:w="5316" w:type="dxa"/>
        <w:jc w:val="left"/>
        <w:tblInd w:w="0" w:type="dxa"/>
        <w:tblCellMar>
          <w:top w:w="28" w:type="dxa"/>
          <w:left w:w="28" w:type="dxa"/>
          <w:bottom w:w="28" w:type="dxa"/>
          <w:right w:w="28" w:type="dxa"/>
        </w:tblCellMar>
      </w:tblPr>
      <w:tblGrid>
        <w:gridCol w:w="837"/>
        <w:gridCol w:w="730"/>
        <w:gridCol w:w="742"/>
        <w:gridCol w:w="109"/>
        <w:gridCol w:w="109"/>
        <w:gridCol w:w="109"/>
        <w:gridCol w:w="211"/>
        <w:gridCol w:w="616"/>
        <w:gridCol w:w="109"/>
        <w:gridCol w:w="109"/>
        <w:gridCol w:w="109"/>
        <w:gridCol w:w="109"/>
        <w:gridCol w:w="211"/>
        <w:gridCol w:w="616"/>
        <w:gridCol w:w="109"/>
        <w:gridCol w:w="109"/>
        <w:gridCol w:w="109"/>
        <w:gridCol w:w="109"/>
        <w:gridCol w:w="154"/>
      </w:tblGrid>
      <w:tr>
        <w:trPr/>
        <w:tc>
          <w:tcPr>
            <w:tcW w:w="837"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07060"/>
                <wp:effectExtent l="0" t="0" r="0" b="0"/>
                <wp:wrapNone/>
                <wp:docPr id="19" name="Frame19"/>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9. Net Loss Per Share of Common Stock</w:t>
      </w:r>
    </w:p>
    <w:p>
      <w:pPr>
        <w:pStyle w:val="TextBody"/>
        <w:spacing w:lineRule="auto" w:line="288" w:before="240" w:after="240"/>
        <w:ind w:left="0" w:right="0" w:firstLine="9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computation of basic and diluted net loss per share:</w:t>
      </w:r>
    </w:p>
    <w:tbl>
      <w:tblPr>
        <w:tblW w:w="10205" w:type="dxa"/>
        <w:jc w:val="left"/>
        <w:tblInd w:w="0" w:type="dxa"/>
        <w:tblCellMar>
          <w:top w:w="28" w:type="dxa"/>
          <w:left w:w="28" w:type="dxa"/>
          <w:bottom w:w="28" w:type="dxa"/>
          <w:right w:w="28" w:type="dxa"/>
        </w:tblCellMar>
      </w:tblPr>
      <w:tblGrid>
        <w:gridCol w:w="2189"/>
        <w:gridCol w:w="1921"/>
        <w:gridCol w:w="1926"/>
        <w:gridCol w:w="310"/>
        <w:gridCol w:w="1144"/>
        <w:gridCol w:w="155"/>
        <w:gridCol w:w="155"/>
        <w:gridCol w:w="155"/>
        <w:gridCol w:w="155"/>
        <w:gridCol w:w="310"/>
        <w:gridCol w:w="1144"/>
        <w:gridCol w:w="155"/>
        <w:gridCol w:w="109"/>
        <w:gridCol w:w="109"/>
        <w:gridCol w:w="109"/>
        <w:gridCol w:w="159"/>
      </w:tblGrid>
      <w:tr>
        <w:trPr/>
        <w:tc>
          <w:tcPr>
            <w:tcW w:w="2189"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c>
          <w:tcPr>
            <w:tcW w:w="192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6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data)</w:t>
            </w:r>
          </w:p>
        </w:tc>
        <w:tc>
          <w:tcPr>
            <w:tcW w:w="486" w:type="dxa"/>
            <w:gridSpan w:val="4"/>
            <w:tcBorders/>
            <w:shd w:fill="auto" w:val="clear"/>
          </w:tcPr>
          <w:p>
            <w:pPr>
              <w:pStyle w:val="TableContents"/>
              <w:spacing w:before="0" w:after="283"/>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3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basic and diluted net loss per share</w:t>
            </w:r>
          </w:p>
        </w:tc>
        <w:tc>
          <w:tcPr>
            <w:tcW w:w="14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34,916,106 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33,792,326 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31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tbl>
      <w:tblPr>
        <w:tblW w:w="5932" w:type="dxa"/>
        <w:jc w:val="left"/>
        <w:tblInd w:w="0" w:type="dxa"/>
        <w:tblCellMar>
          <w:top w:w="28" w:type="dxa"/>
          <w:left w:w="28" w:type="dxa"/>
          <w:bottom w:w="28" w:type="dxa"/>
          <w:right w:w="28" w:type="dxa"/>
        </w:tblCellMar>
      </w:tblPr>
      <w:tblGrid>
        <w:gridCol w:w="748"/>
        <w:gridCol w:w="659"/>
        <w:gridCol w:w="662"/>
        <w:gridCol w:w="678"/>
        <w:gridCol w:w="298"/>
        <w:gridCol w:w="286"/>
        <w:gridCol w:w="286"/>
        <w:gridCol w:w="286"/>
        <w:gridCol w:w="286"/>
        <w:gridCol w:w="678"/>
        <w:gridCol w:w="298"/>
        <w:gridCol w:w="286"/>
        <w:gridCol w:w="109"/>
        <w:gridCol w:w="109"/>
        <w:gridCol w:w="109"/>
        <w:gridCol w:w="154"/>
      </w:tblGrid>
      <w:tr>
        <w:trPr/>
        <w:tc>
          <w:tcPr>
            <w:tcW w:w="7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8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1,767,791</w:t>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1,963,360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2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2,909,899</w:t>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2,309,284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ESPP purchase rights</w:t>
            </w:r>
          </w:p>
        </w:tc>
        <w:tc>
          <w:tcPr>
            <w:tcW w:w="12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134,226</w:t>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2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w:t>
            </w:r>
          </w:p>
        </w:tc>
        <w:tc>
          <w:tcPr>
            <w:tcW w:w="8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4,930,038 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4,452,030 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07060"/>
                <wp:effectExtent l="0" t="0" r="0" b="0"/>
                <wp:wrapNone/>
                <wp:docPr id="20" name="Frame20"/>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SI-BONE,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before="0" w:after="0"/>
        <w:jc w:val="both"/>
        <w:rPr/>
      </w:pPr>
      <w:r>
        <w:rPr/>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10. Related Party Transaction </w:t>
      </w:r>
    </w:p>
    <w:p>
      <w:pPr>
        <w:pStyle w:val="TextBody"/>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2020, the Company entered into a joint development agreement (the “Development Agreement”) with SeaSpine Orthopedics Corporation (“SeaSpine”), which merged with Orthofix Medical, Inc., to develop a next generation device for sacropelvic fixation. Mr. Keith Valentine, who serves as the President, Chief Executive Officer and a member of the board of directors of SeaSpine, also serves as a member of the Company's Board of Directors since August 2015. On April 27, 2021, Addendum No.1 to the Development Agreement was entered into by and between the Company and SeaSpine to extend certain obligations as described under the Development Agreement to a consultant of the Company.</w:t>
      </w:r>
    </w:p>
    <w:p>
      <w:pPr>
        <w:pStyle w:val="TextBody"/>
        <w:spacing w:lineRule="auto" w:line="288" w:before="240" w:after="283"/>
        <w:ind w:left="0" w:right="0" w:firstLine="540"/>
        <w:jc w:val="both"/>
        <w:rPr/>
      </w:pPr>
      <w:r>
        <w:rPr>
          <w:rFonts w:ascii="Times New Roman;sans-serif" w:hAnsi="Times New Roman;sans-serif"/>
          <w:b w:val="false"/>
          <w:color w:val="000000"/>
          <w:sz w:val="20"/>
        </w:rPr>
        <w:t>Pursuant to the development plan, SeaSpine shall use reasonable efforts to assist in the development of the potential product offering, including licensing certain existing intellectual property to be incorporated into such product. Under the terms of the Development Agreement, the Company agreed to make monthly payments to SeaSpine to reimburse for full time resources employed by SeaSpine responsible to conduct the development activities. For the three months ended March 31, 2023, the Company did not incur any</w:t>
      </w:r>
      <w:r>
        <w:rPr>
          <w:color w:val="000000"/>
          <w:highlight w:val="white"/>
        </w:rPr>
        <w:t xml:space="preserve"> </w:t>
      </w:r>
      <w:r>
        <w:rPr>
          <w:rFonts w:ascii="Times New Roman;sans-serif" w:hAnsi="Times New Roman;sans-serif"/>
          <w:b w:val="false"/>
          <w:color w:val="000000"/>
          <w:sz w:val="20"/>
          <w:highlight w:val="white"/>
        </w:rPr>
        <w:t>reimbursement charges from SeaSpine. For the three months ended March 31, 2022, the Company expensed approximately $6,000 of the reimbursement charges from SeaSpine. The reimbursement charges were recorded within research and development expense in the condensed consolidated statements of operations</w:t>
      </w:r>
      <w:r>
        <w:rPr>
          <w:rFonts w:ascii="Times New Roman;sans-serif" w:hAnsi="Times New Roman;sans-serif"/>
          <w:b w:val="false"/>
          <w:color w:val="000000"/>
          <w:sz w:val="20"/>
        </w:rPr>
        <w:t xml:space="preserve">. </w:t>
      </w:r>
    </w:p>
    <w:p>
      <w:pPr>
        <w:pStyle w:val="TextBody"/>
        <w:spacing w:lineRule="auto" w:line="288" w:before="240" w:after="240"/>
        <w:ind w:left="0" w:right="0" w:firstLine="540"/>
        <w:jc w:val="both"/>
        <w:rPr/>
      </w:pPr>
      <w:r>
        <w:rPr>
          <w:rFonts w:ascii="Times New Roman;sans-serif" w:hAnsi="Times New Roman;sans-serif"/>
          <w:b w:val="false"/>
          <w:color w:val="000000"/>
          <w:sz w:val="20"/>
        </w:rPr>
        <w:t xml:space="preserve">Certain intellectual property developed pursuant to the project plan will be owned by the Company, certain intellectual property developed pursuant to the project plan will be owned by SeaSpine, and other intellectual property developed pursuant to the project plan will be jointly owned by SeaSpine and the Company. The Company also agreed to provide SeaSpine a royalty-free, worldwide, perpetual, non-exclusive license of certain of the Company's intellectual property incorporated into the product to be developed. The Company also agreed to pay SeaSpine a product royalty, in an amount specified in the Development Agreement, for each resulting product sold for a period of 10 years beginning on the initial market launch. The term of the Development Agreement shall continue until the </w:t>
      </w:r>
      <w:r>
        <w:rPr>
          <w:rFonts w:ascii="Times New Roman;sans-serif" w:hAnsi="Times New Roman;sans-serif"/>
          <w:b w:val="false"/>
          <w:color w:val="000000"/>
          <w:sz w:val="20"/>
          <w:highlight w:val="white"/>
        </w:rPr>
        <w:t>expiration of all royalty terms, unless earlier terminated by either party, as provided for by the Development Agreement. The Company recorded $0.06 million of royalty for the three months ended March 31, 2023. No royalties were recorded for three months ended March 31, 2022.</w:t>
      </w:r>
    </w:p>
    <w:p>
      <w:pPr>
        <w:pStyle w:val="TextBody"/>
        <w:spacing w:lineRule="auto" w:line="288" w:before="240" w:after="240"/>
        <w:ind w:left="0" w:right="0" w:firstLine="540"/>
        <w:jc w:val="both"/>
        <w:rPr/>
      </w:pPr>
      <w:r>
        <w:rPr>
          <w:rFonts w:ascii="Times New Roman;sans-serif" w:hAnsi="Times New Roman;sans-serif"/>
          <w:b w:val="false"/>
          <w:color w:val="000000"/>
          <w:sz w:val="20"/>
          <w:highlight w:val="white"/>
        </w:rPr>
        <w:t>The outstanding liability to SeaSpine as of March 31, 2023 and December 31, 2022 was approximately $0.06 million and $0.1 million, respectively, and was recorded</w:t>
      </w:r>
      <w:r>
        <w:rPr>
          <w:color w:val="000000"/>
        </w:rPr>
        <w:t xml:space="preserve"> </w:t>
      </w:r>
      <w:r>
        <w:rPr>
          <w:rFonts w:ascii="Times New Roman;sans-serif" w:hAnsi="Times New Roman;sans-serif"/>
          <w:b w:val="false"/>
          <w:color w:val="000000"/>
          <w:sz w:val="20"/>
        </w:rPr>
        <w:t xml:space="preserve">within accrued liabilities and other in the condensed consolidated balance sheet.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months ended March 31, 2023 and 2022. The Company continues to maintain a full valuation allowance against its net deferred tax assets due to the uncertainty surrounding realization of such assets.</w:t>
      </w:r>
    </w:p>
    <w:p>
      <w:pPr>
        <w:pStyle w:val="TextBody"/>
        <w:spacing w:lineRule="auto" w:line="288" w:before="240" w:after="283"/>
        <w:ind w:left="0" w:right="0" w:firstLine="540"/>
        <w:jc w:val="both"/>
        <w:rPr/>
      </w:pPr>
      <w:r>
        <w:rPr>
          <w:rFonts w:ascii="Times New Roman;sans-serif" w:hAnsi="Times New Roman;sans-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w:t>
      </w:r>
      <w:r>
        <w:rPr>
          <w:rFonts w:ascii="Times New Roman;sans-serif" w:hAnsi="Times New Roman;sans-serif"/>
          <w:b w:val="false"/>
          <w:color w:val="000000"/>
          <w:sz w:val="20"/>
          <w:highlight w:val="white"/>
        </w:rPr>
        <w:t>March 31, 2023</w:t>
      </w:r>
      <w:r>
        <w:rPr>
          <w:color w:val="000000"/>
        </w:rPr>
        <w:t xml:space="preserve"> </w:t>
      </w:r>
      <w:r>
        <w:rPr>
          <w:rFonts w:ascii="Times New Roman;sans-serif" w:hAnsi="Times New Roman;sans-serif"/>
          <w:b w:val="false"/>
          <w:color w:val="000000"/>
          <w:sz w:val="20"/>
        </w:rPr>
        <w:t xml:space="preserve">compared to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07060"/>
                <wp:effectExtent l="0" t="0" r="0" b="0"/>
                <wp:wrapNone/>
                <wp:docPr id="21" name="Frame21"/>
                <a:graphic xmlns:a="http://schemas.openxmlformats.org/drawingml/2006/main">
                  <a:graphicData uri="http://schemas.microsoft.com/office/word/2010/wordprocessingShape">
                    <wps:wsp>
                      <wps:cNvSpPr txBox="1"/>
                      <wps:spPr>
                        <a:xfrm>
                          <a:off x="0" y="0"/>
                          <a:ext cx="6480175" cy="607060"/>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spacing w:before="0" w:after="0"/>
                        <w:rPr/>
                      </w:pPr>
                      <w:r>
                        <w:rPr/>
                      </w:r>
                    </w:p>
                  </w:txbxContent>
                </v:textbox>
              </v:rect>
            </w:pict>
          </mc:Fallback>
        </mc:AlternateContent>
      </w:r>
    </w:p>
    <w:p>
      <w:pPr>
        <w:pStyle w:val="TextBody"/>
        <w:spacing w:before="0" w:after="0"/>
        <w:jc w:val="both"/>
        <w:rPr/>
      </w:pPr>
      <w:r>
        <w:rPr/>
      </w: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76" w:before="240" w:after="240"/>
        <w:jc w:val="both"/>
        <w:rPr/>
      </w:pPr>
      <w:r>
        <w:rPr>
          <w:color w:val="000000"/>
        </w:rPr>
        <w:t>    </w:t>
      </w: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condensed consolidated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2,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section of this Quarterly Report on Form 10-Q, our actual results could differ materially from the results described in, or implied, by these forward-looking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76" w:before="24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medical device company dedicated to solving musculoskeletal disorders of the sacropelvic anatomy. Leveraging our knowledge of pelvic anatomy and biomechanics, we have pioneered proprietary minimally invasive surgical implant systems to address sacroiliac joint dysfunction as well as address unmet clinical needs in pelvic fixation and management of pelvic fractures. Our products include a series of patented titanium implants and the instruments used to implant them. Since launching our first generation iFuse in 2009, we have launched three new implant product lines, iFuse-3D in 2017, iFuse-TORQ in 2021 and iFuse Bedrock Granite in 2022. Within the United States, our iFuse, iFuse-3D and iFuse-TORQ have clearances for applications across sacroiliac joint dysfunction and fusion, adult deformity and degeneration, and pelvic trauma. </w:t>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market our products primarily with a direct sales force as well as a number of third-party sales agents in the U.S., and with a combination of a direct sales force, and sales agents and resellers in other countries. As of March 31, 2023, more than 80,000 procedures have been performed by over 3,000 surgeons in the United States and 38 other countries since we introduced iFuse in 2009.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Impact of COVID-19</w:t>
      </w:r>
    </w:p>
    <w:p>
      <w:pPr>
        <w:pStyle w:val="TextBody"/>
        <w:spacing w:before="0" w:after="0"/>
        <w:ind w:left="0" w:right="0" w:firstLine="450"/>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COVID-19 pandemic, and the healthcare and economic disruptions it caused, may continue to pose future risks with the emergence of new variants. Even with the public health actions that have been taken to reduce the spread of the virus, the market could experience disruptions with respect to demand for our procedures, or the ability of healthcare facilities to provide our elective procedures to patients.</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Elevated infection rates and measures taken to reduce infection have also impacted, and may continue to impact, our third-party manufacturers and suppliers, and could in turn adversely impact the availability or cost of materials, which could disrupt our supply chain. Periodic resurgence of the COVID-19 pandemic negatively impacted our revenues at various periods throughout 2022 as evidenced by case deferrals attributed to COVID-19. This effect could continue in 2023.</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existence and further duration of the COVID-19 pandemic may also further exacerbate certain risks as described in “Part II- Item 1A - Risk Factors” below.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Factors Affecting Results of Operations and Key Performance Indicators</w:t>
      </w:r>
    </w:p>
    <w:p>
      <w:pPr>
        <w:pStyle w:val="TextBody"/>
        <w:spacing w:lineRule="auto" w:line="288"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surgeon penetration, launch new products, address human capital needs and gain operational efficiencies. </w:t>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Access to Solutions</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surgeon engagement and deliver revenue growth.</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both"/>
        <w:rPr/>
      </w:pPr>
      <w:r>
        <w:rPr/>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consigning instrument trays and implants at selective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consigned to customer facilities. As we grow, and as adoption of our solutions continues to mature, our overall surgical capacity may become an important driver of the amount of revenue that we can generate. </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our U.S. sales force consisted of 87 territory sales managers and 67 clinical support specialists directly employed by us and 126 third-party sales agents, compared to 88 territory sales managers and 66 clinical support specialists directly employed by us and 66 third-party sales agents as of March 31, 2022. As of March 31, 2023, our international sales force consisted of 12 sales representatives directly employed by us and a total of 31 third-party sales agents and resellers, compared to 18 sales representatives directly employed by us and a total of 31 third-party sales agents and resellers as of March 31, 2022. </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steady increase in the numbers of minimally invasive procedures, including sacroiliac joint fusion procedures, being performed at ASCs, we continue to actively engage the ASCs to educate them on our clinical evidence, exclusive commercial payor coverage and focus on driving improved education and pathways between pain physicians and surgeons. As of March 31, 2023, over 20 percent of procedures for sacroiliac joint dysfunction using our products were performed at ASCs. </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making targeted investments in digital marketing initiatives to drive patient awareness, to empower and educate patients as they manage their sacroiliac joint dysfunction and associated pain. These marketing programs are targeted at patients in chronic, severe sacroiliac joint pain who have been in conservative care for an extended period of time. We are focused on connecting patients with surgeons in their area who perform minimally invasive SI-Joint procedures through our Find-a-Doctor website tool. Through a variety of channels, including search, social and display, we have deployed a number of campaigns and are continually optimizing to maximize patient awareness and to connect patients with surgeons. Our data-driven approach enables us to focus our investment on the most cost-effective programs. </w:t>
      </w:r>
    </w:p>
    <w:p>
      <w:pPr>
        <w:pStyle w:val="TextBody"/>
        <w:spacing w:lineRule="auto" w:line="288" w:before="240" w:after="283"/>
        <w:ind w:left="0" w:right="0" w:firstLine="450"/>
        <w:rPr>
          <w:rFonts w:ascii="Times New Roman;sans-serif" w:hAnsi="Times New Roman;sans-serif"/>
          <w:b/>
          <w:i/>
          <w:color w:val="000000"/>
          <w:sz w:val="20"/>
        </w:rPr>
      </w:pPr>
      <w:r>
        <w:rPr>
          <w:rFonts w:ascii="Times New Roman;sans-serif" w:hAnsi="Times New Roman;sans-serif"/>
          <w:b/>
          <w:i/>
          <w:color w:val="000000"/>
          <w:sz w:val="20"/>
        </w:rPr>
        <w:t>Surgeon Engagement</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Engaging and educating surgeons and other healthcare professionals about the clinical merits and patient benefits of our solutions will be important to grow surgeon adoption. Our medical affairs team works closely with our sales team to increase surgeon engagement and activation. Surgeon activity includes both the number of surgeons performing our procedures as well as the number of procedures performed per surgeon. In addition to training new surgeons, we have several initiatives to re-engage inactive surgeons. </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a combination of hands-on cadaveric and dry-lab training, as well as SI-BONE SImulator - a portable, radiation-free, haptics and computer-based simulator for training purposes, and optimize our programs to improve adoption rate, time to first case and ultimately surgeon productivity. </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2022, in the U.S. more than 2,300 surgeons and 1,800 surgeons, respectively, have been trained on iFuse and have treated at least one patient. Outside the U.S., as of March 31, 2023 and 2022, more than 900 surgeons and 700 surgeons, respectively, have been trained on iFuse and have treated at least one patient. We will continue to pursue approximately 5,200 target surgeons in the U.S., as well as international surgeons to train and retrain in the future. Since launching our academic training program in August 2018, we have trained residents and fellows in over 215 academic programs in the U.S., resulting in the training of over 1300 surgical residents and fellows.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both"/>
        <w:rPr/>
      </w:pPr>
      <w:r>
        <w:rPr/>
      </w:r>
    </w:p>
    <w:p>
      <w:pPr>
        <w:pStyle w:val="TextBody"/>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Expand Addressable Markets</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Expanding our platform of sacropelvic solutions to address sacroiliac joint dysfunction, pelvic fixation and pelvic trauma has been a key tenet of our strategy, and we have made substantial progress on this mission. With iFuse-3D, iFuse-TORQ and iFuse Bedrock Granite, we believe that the value of our innovative, versatile, and complementary product portfolio provides surgeons with a comprehensive set of alternatives, and positions us as the top choice for surgeons for sacropelvic solutions. </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completed enrollment in SILVIA, a two-year prospective international multi center randomized controlled trial of two different methods for pelvic fixation in adult patients undergoing long-construct spinal fusion. We anticipate the results for the primary endpoint in 2024. In September 2022 we enrolled the first of the targeted 120 patients in our SAFFRON study, a prospective randomized controlled trial of surgery using our iFuse-TORQ device vs. non-surgical management in patients with debilitating sacral fragility or insufficiency fractures. We anticipate results to be available in late 2024.</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invest in R&amp;D initiatives to bring new and differentiated solutions to the market that deliver on our vision of improving patient quality of life through differentiated solutions to target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 During three months ended March 31, 2023, we spent $3.3 million on R&amp;D, equating to 10% of our revenue.</w:t>
      </w:r>
    </w:p>
    <w:p>
      <w:pPr>
        <w:pStyle w:val="TextBody"/>
        <w:spacing w:lineRule="auto" w:line="256"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Enhance Employee Experience and Engagement</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recruit, develop and retain highly skilled talent is a significant determinant of our success. To facilitate talent attraction, retention, and development, we strive to make SI-BONE an inclusive, diverse, and safe workplace with opportunities for our employees to grow and develop in their careers, supported by strong compensation, benefits, and health and wellness programs, as well as by programs that build connections between our employees and the communities in which they live and work.</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ensuring workforce diversity as well as fair and equitable pay to our employees, we remain focused on enhancing employee retention and job satisfaction. To that effect, we have created a feedback framework to monitor and respond to employee sentiment on an ongoing basis. Leveraging the insights from this feedback, we are focused on implementing strategies to enhance productivity and increase employee empowerment to drive quick decision making and prioritization across the organization. Additionally, we offer ongoing learning and leadership training opportunities that support growth and development. In 2022 we conducted a formal management training program and implemented a new career development program which includes a formalized framework that reflects how an employee can advance their career within the company. Through our engagement programs and voluntary and giving activities, we are also focused on building connections between our employees, their families, and our communities to create a more meaningful and fulfilling workplace. We experienced a decrease in voluntary employee attrition during 2022, which we believe was at least in part to due to our actions to improve employee experience. </w:t>
      </w:r>
    </w:p>
    <w:p>
      <w:pPr>
        <w:pStyle w:val="TextBody"/>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Gain operational efficiency</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increasing our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At the end of March 31, 2023, our trailing twelve months average revenue per territory in the U.S. was $1.3 million dollars.</w:t>
      </w:r>
    </w:p>
    <w:p>
      <w:pPr>
        <w:pStyle w:val="TextBody"/>
        <w:spacing w:lineRule="auto" w:line="288" w:before="240" w:after="283"/>
        <w:ind w:left="0" w:right="0" w:firstLine="450"/>
        <w:jc w:val="both"/>
        <w:rPr/>
      </w:pPr>
      <w:r>
        <w:rPr>
          <w:rFonts w:ascii="Times New Roman;sans-serif" w:hAnsi="Times New Roman;sans-serif"/>
          <w:b w:val="false"/>
          <w:color w:val="000000"/>
          <w:sz w:val="20"/>
        </w:rPr>
        <w:t>We have made significant investments in instrument sets used to perform surgeries. Our goal is to deploy instrument sets to the market where the demand exists to increase our asset utilization rates over time and use capital more effectively, by having our instrument sets used in more surgeries in any given time period. Given supply chain disruptions impacting the industry, we are working closely with our suppliers to reduce lead time for our implants to ensure we can support our expanding surgeon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ans-serif" w:hAnsi="Times New Roman;sans-serif"/>
          <w:b w:val="false"/>
          <w:color w:val="000000"/>
          <w:sz w:val="20"/>
        </w:rPr>
        <w:t>Lastly, we are integrating our demand planning and manufacturing systems, to ensure we leverage actual usage trends as we build surgical capacity to support our growth.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both"/>
        <w:rPr/>
      </w:pPr>
      <w:r>
        <w:rPr/>
      </w: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40" w:after="24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0"/>
        <w:ind w:left="0" w:right="0" w:firstLine="495"/>
        <w:jc w:val="both"/>
        <w:rPr/>
      </w:pPr>
      <w:r>
        <w:rPr>
          <w:rFonts w:ascii="Times New Roman;sans-serif" w:hAnsi="Times New Roman;sans-serif"/>
          <w:b w:val="false"/>
          <w:color w:val="000000"/>
          <w:sz w:val="20"/>
        </w:rPr>
        <w:t>Our revenue from sales of implants fluctuate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seasonality, and the impact of COVID-19.</w:t>
      </w:r>
      <w:r>
        <w:rPr>
          <w:color w:val="000000"/>
        </w:rPr>
        <w:t xml:space="preserve"> </w:t>
      </w:r>
      <w:r>
        <w:rPr>
          <w:rFonts w:ascii="Times New Roman;sans-serif" w:hAnsi="Times New Roman;sans-serif"/>
          <w:b w:val="false"/>
          <w:color w:val="000000"/>
          <w:sz w:val="20"/>
        </w:rPr>
        <w:t>In addition, our revenue is impacted by changes in average selling price as we respond to the competitive landscape and price differences at different medical facilities, such as hospitals and ambulatory surgical centers, or ASCs.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insurance coverage limits. However, taken as a whole, seasonality does not have a material impact on our financial results from year to year.</w:t>
      </w:r>
    </w:p>
    <w:p>
      <w:pPr>
        <w:pStyle w:val="TextBody"/>
        <w:spacing w:before="0" w:after="0"/>
        <w:ind w:left="0" w:right="0" w:firstLine="495"/>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Starting March 2020, the impact of COVID-19 on our revenue has varied by period and region based on various factors, including stage of containment, resurgence of variants, success of regional vaccination campaigns, and associated government and hospital actions around elective procedures, and the direct and indirect impacts of economic and financial measures taken to mitigate the economic impacts of the pandemic. </w:t>
      </w:r>
    </w:p>
    <w:p>
      <w:pPr>
        <w:pStyle w:val="TextBody"/>
        <w:spacing w:lineRule="auto" w:line="288" w:before="240" w:after="283"/>
        <w:ind w:left="0" w:right="0" w:firstLine="540"/>
        <w:rPr>
          <w:rFonts w:ascii="Times New Roman;sans-serif" w:hAnsi="Times New Roman;sans-serif"/>
          <w:b/>
          <w:i/>
          <w:color w:val="000000"/>
          <w:sz w:val="20"/>
        </w:rPr>
      </w:pPr>
      <w:r>
        <w:rPr>
          <w:rFonts w:ascii="Times New Roman;sans-serif" w:hAnsi="Times New Roman;sans-serif"/>
          <w:b/>
          <w:i/>
          <w:color w:val="000000"/>
          <w:sz w:val="20"/>
        </w:rPr>
        <w:t>Cost of Goods Sold, Gross Profit, and Gross Margin</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third-party manufacturers for production of our implants and instrument sets. Cost of goods sold consists primarily of costs of the components of implants and instruments, instrument set depreciation, royalties, scrap and inventory obsolescence, as well as distribution-related expenses such as logistics and shipping costs. Our cost of goods sold has historically increased as case levels increase. </w:t>
      </w:r>
    </w:p>
    <w:p>
      <w:pPr>
        <w:pStyle w:val="TextBody"/>
        <w:spacing w:before="0" w:after="0"/>
        <w:ind w:left="0" w:right="0" w:firstLine="495"/>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gross profit and gross margin are affected by factors impacting revenue and cost of goods sold. In addition, our gross margins are typically higher on products we sell directly as compared to products we sell through third-party sales agents. As a result, changes in the mix of direct versus third-party sales agents sales can directly influence our gross margins. </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240" w:after="283"/>
        <w:ind w:left="0" w:right="0" w:firstLine="540"/>
        <w:jc w:val="both"/>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Expenses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direct territory sales managers, clinical support specialists and third-party sales agents. </w:t>
      </w:r>
    </w:p>
    <w:p>
      <w:pPr>
        <w:pStyle w:val="TextBody"/>
        <w:spacing w:before="0" w:after="0"/>
        <w:ind w:left="0" w:right="0" w:firstLine="540"/>
        <w:rPr/>
      </w:pPr>
      <w:r>
        <w:rPr/>
      </w:r>
    </w:p>
    <w:p>
      <w:pPr>
        <w:pStyle w:val="TextBody"/>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is primarily related to our investments of excess cash in money market funds and marketable securities.</w:t>
      </w:r>
    </w:p>
    <w:p>
      <w:pPr>
        <w:pStyle w:val="TextBody"/>
        <w:spacing w:lineRule="auto" w:line="288" w:before="240" w:after="283"/>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is primarily related to borrowings, amortization of debt issuance costs, and accretion of final fees on the First-Citizens Term Loan. </w:t>
      </w:r>
    </w:p>
    <w:p>
      <w:pPr>
        <w:pStyle w:val="TextBody"/>
        <w:spacing w:lineRule="auto" w:line="288" w:before="24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8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net foreign exchange gains and losses on foreign transactions.</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jc w:val="both"/>
        <w:rPr/>
      </w:pPr>
      <w:r>
        <w:rPr/>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operate as one reportable segment. The table below summarizes our results of operations for the periods presented (percentages are amounts as a percentage of revenue), which we derived from the accompanying condensed consolidated financial statements:</w:t>
      </w:r>
    </w:p>
    <w:tbl>
      <w:tblPr>
        <w:tblW w:w="9208" w:type="dxa"/>
        <w:jc w:val="left"/>
        <w:tblInd w:w="0" w:type="dxa"/>
        <w:tblCellMar>
          <w:top w:w="28" w:type="dxa"/>
          <w:left w:w="28" w:type="dxa"/>
          <w:bottom w:w="28" w:type="dxa"/>
          <w:right w:w="28" w:type="dxa"/>
        </w:tblCellMar>
      </w:tblPr>
      <w:tblGrid>
        <w:gridCol w:w="862"/>
        <w:gridCol w:w="760"/>
        <w:gridCol w:w="762"/>
        <w:gridCol w:w="361"/>
        <w:gridCol w:w="1365"/>
        <w:gridCol w:w="186"/>
        <w:gridCol w:w="186"/>
        <w:gridCol w:w="186"/>
        <w:gridCol w:w="186"/>
        <w:gridCol w:w="233"/>
        <w:gridCol w:w="233"/>
        <w:gridCol w:w="464"/>
        <w:gridCol w:w="109"/>
        <w:gridCol w:w="109"/>
        <w:gridCol w:w="109"/>
        <w:gridCol w:w="211"/>
        <w:gridCol w:w="796"/>
        <w:gridCol w:w="109"/>
        <w:gridCol w:w="109"/>
        <w:gridCol w:w="109"/>
        <w:gridCol w:w="109"/>
        <w:gridCol w:w="233"/>
        <w:gridCol w:w="233"/>
        <w:gridCol w:w="271"/>
        <w:gridCol w:w="109"/>
        <w:gridCol w:w="109"/>
        <w:gridCol w:w="109"/>
        <w:gridCol w:w="109"/>
        <w:gridCol w:w="109"/>
        <w:gridCol w:w="109"/>
        <w:gridCol w:w="109"/>
        <w:gridCol w:w="154"/>
      </w:tblGrid>
      <w:tr>
        <w:trPr/>
        <w:tc>
          <w:tcPr>
            <w:tcW w:w="86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36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5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c>
          <w:tcPr>
            <w:tcW w:w="917" w:type="dxa"/>
            <w:gridSpan w:val="8"/>
            <w:tcBorders/>
            <w:shd w:fill="auto" w:val="clear"/>
          </w:tcPr>
          <w:p>
            <w:pPr>
              <w:pStyle w:val="TableContents"/>
              <w:spacing w:before="0" w:after="283"/>
              <w:rPr>
                <w:sz w:val="4"/>
                <w:szCs w:val="4"/>
              </w:rPr>
            </w:pPr>
            <w:r>
              <w:rPr>
                <w:sz w:val="4"/>
                <w:szCs w:val="4"/>
              </w:rPr>
            </w:r>
          </w:p>
        </w:tc>
      </w:tr>
      <w:tr>
        <w:trPr/>
        <w:tc>
          <w:tcPr>
            <w:tcW w:w="578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7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7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9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7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7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4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7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9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7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6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6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(11,125)</w:t>
            </w:r>
          </w:p>
        </w:tc>
        <w:tc>
          <w:tcPr>
            <w:tcW w:w="1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58"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sales to customers in the U.S. Revenue by geography is based on billing address of the customer. The table below summarizes our revenue by geography:</w:t>
      </w:r>
    </w:p>
    <w:tbl>
      <w:tblPr>
        <w:tblW w:w="6653" w:type="dxa"/>
        <w:jc w:val="left"/>
        <w:tblInd w:w="0" w:type="dxa"/>
        <w:tblCellMar>
          <w:top w:w="28" w:type="dxa"/>
          <w:left w:w="28" w:type="dxa"/>
          <w:bottom w:w="28" w:type="dxa"/>
          <w:right w:w="28" w:type="dxa"/>
        </w:tblCellMar>
      </w:tblPr>
      <w:tblGrid>
        <w:gridCol w:w="435"/>
        <w:gridCol w:w="381"/>
        <w:gridCol w:w="383"/>
        <w:gridCol w:w="211"/>
        <w:gridCol w:w="721"/>
        <w:gridCol w:w="109"/>
        <w:gridCol w:w="109"/>
        <w:gridCol w:w="109"/>
        <w:gridCol w:w="109"/>
        <w:gridCol w:w="232"/>
        <w:gridCol w:w="234"/>
        <w:gridCol w:w="271"/>
        <w:gridCol w:w="109"/>
        <w:gridCol w:w="109"/>
        <w:gridCol w:w="109"/>
        <w:gridCol w:w="211"/>
        <w:gridCol w:w="721"/>
        <w:gridCol w:w="109"/>
        <w:gridCol w:w="109"/>
        <w:gridCol w:w="109"/>
        <w:gridCol w:w="109"/>
        <w:gridCol w:w="232"/>
        <w:gridCol w:w="234"/>
        <w:gridCol w:w="271"/>
        <w:gridCol w:w="109"/>
        <w:gridCol w:w="109"/>
        <w:gridCol w:w="109"/>
        <w:gridCol w:w="109"/>
        <w:gridCol w:w="109"/>
        <w:gridCol w:w="109"/>
        <w:gridCol w:w="109"/>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3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c>
          <w:tcPr>
            <w:tcW w:w="917" w:type="dxa"/>
            <w:gridSpan w:val="8"/>
            <w:tcBorders/>
            <w:shd w:fill="auto" w:val="clea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360" w:after="283"/>
        <w:ind w:left="0" w:right="0" w:firstLine="540"/>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jc w:val="both"/>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March 31, 2023 and 2022 </w:t>
      </w:r>
    </w:p>
    <w:p>
      <w:pPr>
        <w:pStyle w:val="TextBody"/>
        <w:spacing w:lineRule="auto" w:line="288" w:before="240" w:after="240"/>
        <w:rPr/>
      </w:pPr>
      <w:r>
        <w:rPr>
          <w:rFonts w:ascii="Times New Roman;sans-serif" w:hAnsi="Times New Roman;sans-serif"/>
          <w:b/>
          <w:i/>
          <w:color w:val="000000"/>
          <w:sz w:val="20"/>
        </w:rPr>
        <w:t>Revenue, Cost of Goods Sold, Gross Profit, and Gross Margin</w:t>
      </w:r>
      <w:r>
        <w:rPr>
          <w:rFonts w:ascii="Times New Roman;sans-serif" w:hAnsi="Times New Roman;sans-serif"/>
          <w:b w:val="false"/>
          <w:color w:val="000000"/>
          <w:sz w:val="20"/>
        </w:rPr>
        <w:t>:</w:t>
      </w:r>
    </w:p>
    <w:tbl>
      <w:tblPr>
        <w:tblW w:w="7039" w:type="dxa"/>
        <w:jc w:val="left"/>
        <w:tblInd w:w="0" w:type="dxa"/>
        <w:tblCellMar>
          <w:top w:w="28" w:type="dxa"/>
          <w:left w:w="28" w:type="dxa"/>
          <w:bottom w:w="28" w:type="dxa"/>
          <w:right w:w="28" w:type="dxa"/>
        </w:tblCellMar>
      </w:tblPr>
      <w:tblGrid>
        <w:gridCol w:w="591"/>
        <w:gridCol w:w="521"/>
        <w:gridCol w:w="523"/>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85"/>
        <w:gridCol w:w="285"/>
        <w:gridCol w:w="406"/>
      </w:tblGrid>
      <w:tr>
        <w:trPr/>
        <w:tc>
          <w:tcPr>
            <w:tcW w:w="59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6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ind w:left="0" w:right="0" w:firstLine="540"/>
        <w:jc w:val="both"/>
        <w:rPr/>
      </w:pPr>
      <w:r>
        <w:rPr>
          <w:rFonts w:ascii="Times New Roman;sans-serif" w:hAnsi="Times New Roman;sans-serif"/>
          <w:b w:val="false"/>
          <w:i/>
          <w:color w:val="000000"/>
          <w:sz w:val="20"/>
        </w:rPr>
        <w:t xml:space="preserve">Revenue. </w:t>
      </w:r>
      <w:r>
        <w:rPr>
          <w:rFonts w:ascii="Times New Roman;sans-serif" w:hAnsi="Times New Roman;sans-serif"/>
          <w:b w:val="false"/>
          <w:color w:val="000000"/>
          <w:sz w:val="20"/>
        </w:rPr>
        <w:t>The increase in revenue for the three months ended March 31, 2023 as compared to the three months ended March 31, 2022 comprised a $10.1 million increase in our U.S. revenue and an increase of $0.2 million in our international revenue. The increase in revenue is due to the increase in case volumes and higher domestic average selling prices.</w:t>
      </w:r>
    </w:p>
    <w:p>
      <w:pPr>
        <w:pStyle w:val="TextBody"/>
        <w:spacing w:before="0" w:after="0"/>
        <w:ind w:left="0" w:right="0" w:firstLine="540"/>
        <w:jc w:val="both"/>
        <w:rPr/>
      </w:pPr>
      <w:r>
        <w:rPr/>
      </w:r>
    </w:p>
    <w:p>
      <w:pPr>
        <w:pStyle w:val="TextBody"/>
        <w:spacing w:lineRule="auto" w:line="288" w:before="0" w:after="0"/>
        <w:ind w:left="0" w:right="0" w:firstLine="540"/>
        <w:jc w:val="both"/>
        <w:rPr/>
      </w:pPr>
      <w:r>
        <w:rPr>
          <w:rFonts w:ascii="Times New Roman;sans-serif" w:hAnsi="Times New Roman;sans-serif"/>
          <w:b w:val="false"/>
          <w:i/>
          <w:color w:val="000000"/>
          <w:sz w:val="20"/>
        </w:rPr>
        <w:t>Gross Profit and Gross Margin.</w:t>
      </w:r>
      <w:r>
        <w:rPr>
          <w:color w:val="000000"/>
        </w:rPr>
        <w:t xml:space="preserve"> </w:t>
      </w:r>
      <w:r>
        <w:rPr>
          <w:rFonts w:ascii="Times New Roman;sans-serif" w:hAnsi="Times New Roman;sans-serif"/>
          <w:b w:val="false"/>
          <w:color w:val="000000"/>
          <w:sz w:val="20"/>
        </w:rPr>
        <w:t xml:space="preserve">Gross profit increased $7.3 million for the three months ended March 31, 2023 as compared to the three months ended March 31, 2022, mainly driven by higher revenue. The gross margin was 82% for the three months ended March 31, 2023 as compared to 87% for the three months ended March 31, 2022. Gross margin decreased in the first quarter 2023 due to procedure and product mix given the higher total costs of the newly launched implants, and the increase in depreciation and freight costs to support the growth of the business. Gross margins also include the impact of foreign exchange on our international revenue. </w:t>
      </w:r>
    </w:p>
    <w:p>
      <w:pPr>
        <w:pStyle w:val="TextBody"/>
        <w:spacing w:before="0" w:after="0"/>
        <w:rPr/>
      </w:pPr>
      <w:r>
        <w:rPr/>
      </w:r>
    </w:p>
    <w:p>
      <w:pPr>
        <w:pStyle w:val="TextBody"/>
        <w:spacing w:lineRule="auto" w:line="288" w:before="0" w:after="240"/>
        <w:rPr/>
      </w:pPr>
      <w:r>
        <w:rPr>
          <w:rFonts w:ascii="Times New Roman;sans-serif" w:hAnsi="Times New Roman;sans-serif"/>
          <w:b/>
          <w:i/>
          <w:color w:val="000000"/>
          <w:sz w:val="20"/>
        </w:rPr>
        <w:t>Operating Expenses</w:t>
      </w:r>
      <w:r>
        <w:rPr>
          <w:rFonts w:ascii="Times New Roman;sans-serif" w:hAnsi="Times New Roman;sans-serif"/>
          <w:b w:val="false"/>
          <w:color w:val="000000"/>
          <w:sz w:val="20"/>
        </w:rPr>
        <w:t>:</w:t>
      </w:r>
    </w:p>
    <w:tbl>
      <w:tblPr>
        <w:tblW w:w="7452" w:type="dxa"/>
        <w:jc w:val="left"/>
        <w:tblInd w:w="0" w:type="dxa"/>
        <w:tblCellMar>
          <w:top w:w="28" w:type="dxa"/>
          <w:left w:w="28" w:type="dxa"/>
          <w:bottom w:w="28" w:type="dxa"/>
          <w:right w:w="28" w:type="dxa"/>
        </w:tblCellMar>
      </w:tblPr>
      <w:tblGrid>
        <w:gridCol w:w="836"/>
        <w:gridCol w:w="736"/>
        <w:gridCol w:w="738"/>
        <w:gridCol w:w="226"/>
        <w:gridCol w:w="772"/>
        <w:gridCol w:w="116"/>
        <w:gridCol w:w="116"/>
        <w:gridCol w:w="116"/>
        <w:gridCol w:w="116"/>
        <w:gridCol w:w="226"/>
        <w:gridCol w:w="772"/>
        <w:gridCol w:w="116"/>
        <w:gridCol w:w="109"/>
        <w:gridCol w:w="109"/>
        <w:gridCol w:w="109"/>
        <w:gridCol w:w="211"/>
        <w:gridCol w:w="616"/>
        <w:gridCol w:w="109"/>
        <w:gridCol w:w="109"/>
        <w:gridCol w:w="109"/>
        <w:gridCol w:w="109"/>
        <w:gridCol w:w="199"/>
        <w:gridCol w:w="199"/>
        <w:gridCol w:w="578"/>
      </w:tblGrid>
      <w:tr>
        <w:trPr/>
        <w:tc>
          <w:tcPr>
            <w:tcW w:w="8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2"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color w:val="000000"/>
              </w:rPr>
              <w:t> </w:t>
            </w:r>
            <w:r>
              <w:rPr>
                <w:rFonts w:ascii="Times New Roman;sans-serif" w:hAnsi="Times New Roman;sans-serif"/>
                <w:b/>
                <w:color w:val="000000"/>
                <w:sz w:val="18"/>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7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36,324 </w:t>
            </w:r>
          </w:p>
        </w:tc>
        <w:tc>
          <w:tcPr>
            <w:tcW w:w="1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7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495"/>
        <w:jc w:val="both"/>
        <w:rPr/>
      </w:pPr>
      <w:r>
        <w:rPr>
          <w:rFonts w:ascii="Times New Roman;sans-serif" w:hAnsi="Times New Roman;sans-serif"/>
          <w:b w:val="false"/>
          <w:i/>
          <w:color w:val="000000"/>
          <w:sz w:val="20"/>
        </w:rPr>
        <w:t xml:space="preserve">Sales and Marketing Expenses. </w:t>
      </w:r>
      <w:r>
        <w:rPr>
          <w:rFonts w:ascii="Times New Roman;sans-serif" w:hAnsi="Times New Roman;sans-serif"/>
          <w:b w:val="false"/>
          <w:color w:val="000000"/>
          <w:sz w:val="20"/>
        </w:rPr>
        <w:t xml:space="preserve">The increase in sales and marketing expenses for the three months ended March 31, 2023 as compared to the three months ended March 31, 2022 was primarily due to (a) increases in employee related costs, commissions and stock-based compensation of $1.7 million driven by headcount changes and higher revenues, and (b) higher levels of travel resulting in an increase of $0.2 million, partially offset by (c) lower consulting and training fees of $0.2 million associated with more targeted surgeon training programs. </w:t>
      </w:r>
    </w:p>
    <w:p>
      <w:pPr>
        <w:pStyle w:val="TextBody"/>
        <w:spacing w:lineRule="auto" w:line="288" w:before="240" w:after="283"/>
        <w:ind w:left="0" w:right="0" w:firstLine="495"/>
        <w:jc w:val="both"/>
        <w:rPr/>
      </w:pPr>
      <w:r>
        <w:rPr>
          <w:rFonts w:ascii="Times New Roman;sans-serif" w:hAnsi="Times New Roman;sans-serif"/>
          <w:b w:val="false"/>
          <w:i/>
          <w:color w:val="000000"/>
          <w:sz w:val="20"/>
        </w:rPr>
        <w:t xml:space="preserve">Research and Development Expenses. </w:t>
      </w:r>
      <w:r>
        <w:rPr>
          <w:rFonts w:ascii="Times New Roman;sans-serif" w:hAnsi="Times New Roman;sans-serif"/>
          <w:b w:val="false"/>
          <w:color w:val="000000"/>
          <w:sz w:val="20"/>
        </w:rPr>
        <w:t>The decrease in research and development expenses for the three months ended March 31, 2023 compared to the three months ended March 31, 2022 was primarily due to a decrease of $0.5 million in consulting and research and development activities related to the timing of new product development, partially offset by an increase of $0.2 million in employee related costs and stock-based compensation.</w:t>
      </w:r>
    </w:p>
    <w:p>
      <w:pPr>
        <w:pStyle w:val="TextBody"/>
        <w:spacing w:lineRule="auto" w:line="288" w:before="240" w:after="283"/>
        <w:ind w:left="0" w:right="0" w:firstLine="495"/>
        <w:jc w:val="both"/>
        <w:rPr/>
      </w:pPr>
      <w:r>
        <w:rPr>
          <w:rFonts w:ascii="Times New Roman;sans-serif" w:hAnsi="Times New Roman;sans-serif"/>
          <w:b w:val="false"/>
          <w:i/>
          <w:color w:val="000000"/>
          <w:sz w:val="20"/>
        </w:rPr>
        <w:t>General and Administrative Expenses</w:t>
      </w:r>
      <w:r>
        <w:rPr>
          <w:rFonts w:ascii="Times New Roman;sans-serif" w:hAnsi="Times New Roman;sans-serif"/>
          <w:b w:val="false"/>
          <w:color w:val="000000"/>
          <w:sz w:val="20"/>
        </w:rPr>
        <w:t>. The increase in general and administrative expenses for the three months ended March 31, 2023 compared to the three months ended March 31, 2022 was primarily due to an increase of $0.3 million in employee related costs and stock-based compensation driven by higher headcount.</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both"/>
        <w:rPr/>
      </w:pPr>
      <w:r>
        <w:rPr/>
      </w:r>
    </w:p>
    <w:p>
      <w:pPr>
        <w:pStyle w:val="TextBody"/>
        <w:spacing w:lineRule="auto" w:line="288" w:before="300" w:after="240"/>
        <w:rPr/>
      </w:pPr>
      <w:r>
        <w:rPr>
          <w:rFonts w:ascii="Times New Roman;sans-serif" w:hAnsi="Times New Roman;sans-serif"/>
          <w:b/>
          <w:i/>
          <w:color w:val="000000"/>
          <w:sz w:val="20"/>
        </w:rPr>
        <w:t>Interest and Other Income (Expense), Net</w:t>
      </w:r>
      <w:r>
        <w:rPr>
          <w:rFonts w:ascii="Times New Roman;sans-serif" w:hAnsi="Times New Roman;sans-serif"/>
          <w:b w:val="false"/>
          <w:color w:val="000000"/>
          <w:sz w:val="20"/>
        </w:rPr>
        <w:t xml:space="preserve">: </w:t>
      </w:r>
    </w:p>
    <w:tbl>
      <w:tblPr>
        <w:tblW w:w="8200" w:type="dxa"/>
        <w:jc w:val="left"/>
        <w:tblInd w:w="0" w:type="dxa"/>
        <w:tblCellMar>
          <w:top w:w="28" w:type="dxa"/>
          <w:left w:w="28" w:type="dxa"/>
          <w:bottom w:w="28" w:type="dxa"/>
          <w:right w:w="28" w:type="dxa"/>
        </w:tblCellMar>
      </w:tblPr>
      <w:tblGrid>
        <w:gridCol w:w="1108"/>
        <w:gridCol w:w="974"/>
        <w:gridCol w:w="977"/>
        <w:gridCol w:w="275"/>
        <w:gridCol w:w="609"/>
        <w:gridCol w:w="142"/>
        <w:gridCol w:w="142"/>
        <w:gridCol w:w="142"/>
        <w:gridCol w:w="142"/>
        <w:gridCol w:w="275"/>
        <w:gridCol w:w="707"/>
        <w:gridCol w:w="142"/>
        <w:gridCol w:w="109"/>
        <w:gridCol w:w="109"/>
        <w:gridCol w:w="109"/>
        <w:gridCol w:w="213"/>
        <w:gridCol w:w="471"/>
        <w:gridCol w:w="112"/>
        <w:gridCol w:w="109"/>
        <w:gridCol w:w="109"/>
        <w:gridCol w:w="109"/>
        <w:gridCol w:w="285"/>
        <w:gridCol w:w="286"/>
        <w:gridCol w:w="544"/>
      </w:tblGrid>
      <w:tr>
        <w:trPr/>
        <w:tc>
          <w:tcPr>
            <w:tcW w:w="1108"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 except for percentages)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w:t>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5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2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4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4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54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495"/>
        <w:jc w:val="both"/>
        <w:rPr/>
      </w:pPr>
      <w:r>
        <w:rPr>
          <w:rFonts w:ascii="Times New Roman;sans-serif" w:hAnsi="Times New Roman;sans-serif"/>
          <w:b w:val="false"/>
          <w:i/>
          <w:color w:val="000000"/>
          <w:sz w:val="20"/>
        </w:rPr>
        <w:t>Interest Income.</w:t>
      </w:r>
      <w:r>
        <w:rPr>
          <w:color w:val="000000"/>
        </w:rPr>
        <w:t xml:space="preserve"> </w:t>
      </w:r>
      <w:r>
        <w:rPr>
          <w:rFonts w:ascii="Times New Roman;sans-serif" w:hAnsi="Times New Roman;sans-serif"/>
          <w:b w:val="false"/>
          <w:color w:val="000000"/>
          <w:sz w:val="20"/>
        </w:rPr>
        <w:t>The increase in interest income for the three months ended March 31, 2023 as compared to the three months ended March 31, 2022 was mainly due to higher interest earned on our investments in marketable securities, primarily as a result of higher interest rates.</w:t>
      </w:r>
    </w:p>
    <w:p>
      <w:pPr>
        <w:pStyle w:val="TextBody"/>
        <w:spacing w:lineRule="auto" w:line="288" w:before="240" w:after="283"/>
        <w:ind w:left="0" w:right="0" w:firstLine="495"/>
        <w:jc w:val="both"/>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The increase in interest expense for the three months ended March 31, 2023 as compared to the three months ended March 31, 2022 was primarily due to higher interest rates associated with the First-Citizens Term Loan.</w:t>
      </w:r>
    </w:p>
    <w:p>
      <w:pPr>
        <w:pStyle w:val="TextBody"/>
        <w:spacing w:lineRule="auto" w:line="288" w:before="240" w:after="283"/>
        <w:ind w:left="0" w:right="0" w:firstLine="495"/>
        <w:jc w:val="both"/>
        <w:rPr/>
      </w:pPr>
      <w:r>
        <w:rPr>
          <w:rFonts w:ascii="Times New Roman;sans-serif" w:hAnsi="Times New Roman;sans-serif"/>
          <w:b w:val="false"/>
          <w:i/>
          <w:color w:val="000000"/>
          <w:sz w:val="20"/>
        </w:rPr>
        <w:t xml:space="preserve">Other Income (Expense), Net. </w:t>
      </w:r>
      <w:r>
        <w:rPr>
          <w:rFonts w:ascii="Times New Roman;sans-serif" w:hAnsi="Times New Roman;sans-serif"/>
          <w:b w:val="false"/>
          <w:color w:val="000000"/>
          <w:sz w:val="20"/>
        </w:rPr>
        <w:t>The change in other income (expense), net for the three months ended March 31, 2023 compared to the three months ended March 31, 2022 was due to foreign currency fluctuations.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marketable securities of $86.0 million compared to $97.3 million as of December 31, 2022. We have financed our operations primarily through our public offerings and debt financing arrangements. As of March 31, 2023, we had $35.9 million in outstanding debt, compared to $35.2 million as of December 31, 2022 .</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we had an accumulated deficit of $368.2 million, compared to $357.1 million as of December 31, 2022. During the three months ended March 31, 2023, we incurred a net loss of $11.1 million. During the years ended December 31, 2022 and 2021, we incurred a net loss of $61.3 million and $56.6 million, respectively, and expect to incur additional losses in the future. We have not achieved positive cash flow from operations to date. </w:t>
      </w:r>
    </w:p>
    <w:p>
      <w:pPr>
        <w:pStyle w:val="TextBody"/>
        <w:spacing w:lineRule="auto" w:line="288" w:before="240" w:after="283"/>
        <w:ind w:left="0" w:right="0" w:firstLine="495"/>
        <w:jc w:val="both"/>
        <w:rPr/>
      </w:pPr>
      <w:r>
        <w:rPr>
          <w:rFonts w:ascii="Times New Roman;sans-serif" w:hAnsi="Times New Roman;sans-serif"/>
          <w:b w:val="false"/>
          <w:color w:val="000000"/>
          <w:sz w:val="20"/>
        </w:rPr>
        <w:t>Based upon our current operating plan, we believe that our existing cash and marketable securities will enable us to fund our operating expenses and capital expenditure requirements over the next 12 months and beyond. However, the economic impact of the duration and potential resurgence of the COVID-19 pandemic and uncertainties affecting the economic and capital markets environment and the financial services industry pose risks and uncertainties in our future available capital resources. Further, we may face challenges and uncertainties and, as a result, may need to raise additional capital as our available capital resources may be consumed more rapidly than currently expected due to, but not limited to, the following as a result of the COVID-19 pandemic or otherwise: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w:t>
      </w:r>
      <w:r>
        <w:rPr>
          <w:color w:val="000000"/>
        </w:rPr>
        <w:t xml:space="preserve"> </w:t>
      </w:r>
      <w:r>
        <w:rPr>
          <w:rFonts w:ascii="Times New Roman;sans-serif" w:hAnsi="Times New Roman;sans-serif"/>
          <w:b w:val="false"/>
          <w:color w:val="000000"/>
          <w:sz w:val="20"/>
        </w:rPr>
        <w:t>In addition, as we seek to deploy new product offerings, the need for additional capital to fund the purchase of inventories of implants and instrument sets may become more acute and may limit the number of revenue opportunities that we pursue.</w:t>
      </w:r>
      <w:r>
        <w:rPr>
          <w:color w:val="000000"/>
        </w:rPr>
        <w:t xml:space="preserve"> </w:t>
      </w:r>
      <w:r>
        <w:rPr>
          <w:rFonts w:ascii="Times New Roman;sans-serif" w:hAnsi="Times New Roman;sans-serif"/>
          <w:b w:val="false"/>
          <w:color w:val="000000"/>
          <w:sz w:val="20"/>
        </w:rPr>
        <w:t xml:space="preserve">Each new product family introduced typically requires the purchase of consumable implant inventory as well as investment in a fleet of instrument sets required to support procedures nationwide. </w:t>
      </w:r>
    </w:p>
    <w:p>
      <w:pPr>
        <w:pStyle w:val="TextBody"/>
        <w:spacing w:lineRule="auto" w:line="288" w:before="240" w:after="283"/>
        <w:ind w:left="0" w:right="0" w:firstLine="495"/>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debt is related to a term loan pursuant to the Loan and Security Agreement dated August 12, 2021 (the “Effective Date”), entered into by us and Silicon Valley Bank (“SVB”). Pursuant the agreement, SVB provided an aggregate principal amount of $35.0 million to us (the “SVB Term Loan”). </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2023, we entered into a First Amendment to Loan and Security Agreement (the “Amendment”) with SVB, which amends our SVB Term Loan pursuant to which we had a term loan facility in an aggregate principal amount of $35.0 million (the “Original Loan Agreement” and with the Amendment, collectively the “Amended Loan Agreement”). Upon entry into the Amended Loan Agreement, we borrowed $36.0 million pursuant to a term loan (the "Term Loan"), which was substantially used to repay in full the $35.0 million term loan facility outstanding under the Original Loan Agreement and secured a revolving credit facility in an aggregate principal amount of up to $15.0 million (the “Revolver"). On March 14, 2023 all of SVB’s assets and liabilities, including </w:t>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both"/>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SVB’s rights as the lender pursuant to the Amended Loan Agreement, were assigned to Silicon Valley Bridge Bank. On March 27, 2023, all of Silicon Valley Bridge Bank’s assets and liabilities were assigned and assumed by First-Citizens Bank &amp; Trust Company (“First-Citizens”). The Amended Loan Agreement also includes an uncommitted accordion term loan in an aggregate principal amount of up to $15.0 million, which accordion may be approved by First-Citizens, solely in its discretion, upon our request. The Term Loan matures on December 1, 2027 (the “Term Loan Maturity Date”). Interest on the Term Loan will be payable monthly at a floating annual rate set at the greater of the prime rate as published in the Wall Street Journal plus 0.5% or 6.75%. Commencing on July 1, 2025, we will be required to make monthly principal Term Loan amortization payments. A final fee payment of 2% of the original principal amount of the Term Loan is due upon the earlier of the Term Loan Maturity Date, termination, acceleration by First-Citizens following an event of default, or prepayment of the Term Loan. We may elect to prepay the Term Loan in whole prior to the Term Loan Maturity Date subject to a prepayment fee equal to 2% of the principal amount of the Term Loan prepaid at such time. No prepayment fee would be due if the Term Loan is refinanced by First-Citizens. Pursuant to the terms of the Amended Loan Agreement, revolving loans may be borrowed, repaid and reborrowed until the maturity date, which will be July 6, 2025 (the “Revolver Maturity Date”). Borrowings under the Revolver are based on 80% of eligible domestic accounts receivable borrowing base. Interest on the outstanding balance of the Revolver will be payable monthly at a floating annual rate set at the greater of the prime rate as published in the Wall Street Journal or 6.25%. Interest on borrowings is due monthly and any principal balance is due on the Revolver Maturity Date, provided that when Revolver Advances are outstanding, in the event we do not maintain an adjusted quick ratio of at least 1.5 to 1.0, then falling below such threshold will allow First-Citizens to apply accounts receivable collections to outstanding Revolver borrowings. We will pay a total commitment fee of $187,500 on account of the Revolver payable in installments, but fully earned at close. We will also be required to pay a fee of $150,000 if it terminates the Amended Loan Agreement or Revolver prior to Revolver Maturity Date. No termination fee would be due if the Revolver is replaced with a new facility with First-Citizens. No amounts were outstanding under the Revolver as of March 31, 2023. </w:t>
      </w:r>
    </w:p>
    <w:p>
      <w:pPr>
        <w:pStyle w:val="TextBody"/>
        <w:spacing w:lineRule="auto" w:line="26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2023, we violated one of the terms of the credit facility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 future violation of any covenants could result in a default under the Amended Loan Agreement that would permit First-Citizens to restrict our ability to further access the Revolving Line of Credit for loans and require the immediate repayment of any outstanding loans under the agreement. As of March 31, 2023, we were in compliance with all debt covenants, provided, however, that in order to access future credit advances under the Revolving Line of Credit, we will be required to transfer certain cash management accounts back to First-Citizens. As of March 31, 2023, we had cash management accounts with a financial institution other than First-Citizens and instructed our customers to direct payments to us to these separate operating accounts. Until such operating accounts are closed and the funds moved back to cash collateral accounts held at First-Citizens, we will be unable to obtain credit advances under the Revolver. </w:t>
      </w:r>
    </w:p>
    <w:p>
      <w:pPr>
        <w:pStyle w:val="TextBody"/>
        <w:spacing w:before="0" w:after="0"/>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Loan Agreement contains customary events of default, including bankruptcy, the failure to make payments when due, the occurrence of a material impairment on First-Citizens's security interest over the collateral, a material adverse change, the occurrence of a default under certain other indebtedness of our company and our subsidiaries, the rendering of certain types of judgments against us and our subsidiaries, the revocation of certain government approvals, violation of covenants, and incorrectness of representations and warranties in any material respect. In addition, the Amended Loan Agreement contains a financial covenant which requires us to maintain, at all times when the Financial Covenant Measuring Period is in effect, certain net revenue levels as agreed upon by us and First-Citizens. If we do not comply with the various covenants under the Amended Loan Agreement and an event of default occurs under the Amended Loan Agreement, the interest rate on outstanding amounts can increase by 3% and First-Citizens may, subject to various customary cure rights, decline to provide additional advances under the Revolver, require the immediate payment of all amounts outstanding under the Amended Loan Agreement, and foreclose on all collateral. </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material cash requirements include various contractual and other obligations consisting of long-term debt obligations with First-Citizens, operating lease obligations and purchase obligations with some of our suppliers and have not changed materially since the Form 10-K filed with the SEC on March 2, 2023. As of March 31, 2023, expected timing of those payments are as follows: </w:t>
      </w:r>
    </w:p>
    <w:tbl>
      <w:tblPr>
        <w:tblW w:w="10205" w:type="dxa"/>
        <w:jc w:val="center"/>
        <w:tblInd w:w="0" w:type="dxa"/>
        <w:tblCellMar>
          <w:top w:w="28" w:type="dxa"/>
          <w:left w:w="28" w:type="dxa"/>
          <w:bottom w:w="28" w:type="dxa"/>
          <w:right w:w="28" w:type="dxa"/>
        </w:tblCellMar>
      </w:tblPr>
      <w:tblGrid>
        <w:gridCol w:w="1165"/>
        <w:gridCol w:w="987"/>
        <w:gridCol w:w="994"/>
        <w:gridCol w:w="211"/>
        <w:gridCol w:w="721"/>
        <w:gridCol w:w="109"/>
        <w:gridCol w:w="109"/>
        <w:gridCol w:w="109"/>
        <w:gridCol w:w="109"/>
        <w:gridCol w:w="284"/>
        <w:gridCol w:w="831"/>
        <w:gridCol w:w="147"/>
        <w:gridCol w:w="109"/>
        <w:gridCol w:w="109"/>
        <w:gridCol w:w="109"/>
        <w:gridCol w:w="211"/>
        <w:gridCol w:w="721"/>
        <w:gridCol w:w="109"/>
        <w:gridCol w:w="109"/>
        <w:gridCol w:w="109"/>
        <w:gridCol w:w="109"/>
        <w:gridCol w:w="211"/>
        <w:gridCol w:w="721"/>
        <w:gridCol w:w="109"/>
        <w:gridCol w:w="109"/>
        <w:gridCol w:w="109"/>
        <w:gridCol w:w="109"/>
        <w:gridCol w:w="373"/>
        <w:gridCol w:w="717"/>
        <w:gridCol w:w="276"/>
      </w:tblGrid>
      <w:tr>
        <w:trPr/>
        <w:tc>
          <w:tcPr>
            <w:tcW w:w="1165"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3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9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3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More than 5 years</w:t>
            </w:r>
          </w:p>
        </w:tc>
      </w:tr>
      <w:tr>
        <w:trPr/>
        <w:tc>
          <w:tcPr>
            <w:tcW w:w="3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9"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314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Principal obligations and final fee on debt </w:t>
            </w:r>
            <w:r>
              <w:rPr>
                <w:rFonts w:ascii="Times New Roman;sans-serif" w:hAnsi="Times New Roman;sans-serif"/>
                <w:b w:val="false"/>
                <w:color w:val="000000"/>
                <w:sz w:val="16"/>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 xml:space="preserve">Interest obligations </w:t>
            </w:r>
            <w:r>
              <w:rPr>
                <w:rFonts w:ascii="Times New Roman;sans-serif" w:hAnsi="Times New Roman;sans-serif"/>
                <w:b w:val="false"/>
                <w:color w:val="000000"/>
                <w:sz w:val="16"/>
              </w:rPr>
              <w:t>(2)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both"/>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(1)Represents the principal obligations and the final fee at maturities of our First-Citizens Term Loan.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(2)Represents the future interest obligations on our First-Citizens Term Loan estimated using an interest rate of 8.50% as of March 31, 2023.</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This compared to $48.7 million of contractual obligations as of December 31, 2022.</w:t>
      </w:r>
    </w:p>
    <w:p>
      <w:pPr>
        <w:pStyle w:val="TextBody"/>
        <w:spacing w:before="0" w:after="0"/>
        <w:rPr/>
      </w:pPr>
      <w:r>
        <w:rPr/>
      </w:r>
    </w:p>
    <w:p>
      <w:pPr>
        <w:pStyle w:val="TextBody"/>
        <w:spacing w:lineRule="auto" w:line="28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120" w:after="24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primary sources and uses of cash for each of the periods presented below: </w:t>
      </w:r>
    </w:p>
    <w:tbl>
      <w:tblPr>
        <w:tblW w:w="9364" w:type="dxa"/>
        <w:jc w:val="left"/>
        <w:tblInd w:w="0" w:type="dxa"/>
        <w:tblCellMar>
          <w:top w:w="28" w:type="dxa"/>
          <w:left w:w="28" w:type="dxa"/>
          <w:bottom w:w="28" w:type="dxa"/>
          <w:right w:w="28" w:type="dxa"/>
        </w:tblCellMar>
      </w:tblPr>
      <w:tblGrid>
        <w:gridCol w:w="1864"/>
        <w:gridCol w:w="1644"/>
        <w:gridCol w:w="1652"/>
        <w:gridCol w:w="212"/>
        <w:gridCol w:w="802"/>
        <w:gridCol w:w="109"/>
        <w:gridCol w:w="109"/>
        <w:gridCol w:w="109"/>
        <w:gridCol w:w="109"/>
        <w:gridCol w:w="212"/>
        <w:gridCol w:w="802"/>
        <w:gridCol w:w="109"/>
        <w:gridCol w:w="109"/>
        <w:gridCol w:w="109"/>
        <w:gridCol w:w="109"/>
        <w:gridCol w:w="211"/>
        <w:gridCol w:w="721"/>
        <w:gridCol w:w="109"/>
        <w:gridCol w:w="109"/>
        <w:gridCol w:w="154"/>
      </w:tblGrid>
      <w:tr>
        <w:trPr/>
        <w:tc>
          <w:tcPr>
            <w:tcW w:w="1864"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394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c>
          <w:tcPr>
            <w:tcW w:w="263" w:type="dxa"/>
            <w:gridSpan w:val="2"/>
            <w:tcBorders/>
            <w:shd w:fill="auto" w:val="clea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10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5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Used in Operating Activities </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three months ended March 31, 2023 of $10.7 million resulted from cash outflows due to a net loss of $11.1 million, adjusted for $7.0 million of non-cash items, and cash outflows from net changes in operating assets and liabilities of $6.6 million. Net cash used in operating activities for the three months ended March 31, 2022 of $13.5 million resulted from cash outflows due to a net loss of $17.4 million, adjusted for $6.5 million of non-cash items, and cash outflows from changes in operating assets and liabilities of $2.6 million. The decrease in net loss, net of non-cash items for the three months ended March 31, 2023 compared to the three months ended March 31, 2022 was mainly due to increased revenues. Net cash outflows from changes in operating assets and liabilities for the three months ended March 31, 2023 were primarily due to higher accounts receivable due to timing of collections, higher inventory due to the inventory build-up related to our implants, lower accounts payable, accrued liabilities and prepaid expenses attributable to the normal course timing of expenses. Net cash outflows from changes in operating assets and liabilities for the three months ended March 31, 2022 were primarily due to higher inventory due to the timing of inventory build-up related to our iFuse-TORQ implants and higher accrued liabilities and others due to timing of other third-party payments and higher compensation and benefit accruals, partially offset by a decrease in accounts receivable due to timing of collections and an increase in accounts payable due to timing of vendor payments.</w:t>
      </w:r>
    </w:p>
    <w:p>
      <w:pPr>
        <w:pStyle w:val="TextBody"/>
        <w:spacing w:lineRule="auto" w:line="288" w:before="24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Cash Flows From Investing Activities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 the three months ended March 31, 2023 was $11.7 million compared to cash used in investing activities of $22.6 million in the three months ended March 31, 2022. Net cash provided by investing activities for the three months ended March 31, 2023 consisted of maturities of our marketable securities net of purchases of $14.3 million, partially offset by purchases of property and equipment of $2.6 million primarily related to individual components in instrument sets to support revenue growth, as well as leasehold improvements made to the building used for research and development and warehouse space in Santa Clara. We will continue to invest in instruments trays to support our products. Net cash provided by investing activities for the three months ended March 31, 2022 consisted of purchases of marketable securities, net of maturities of $20.3 million, and purchases of property and equipment of $2.3 million primarily related to individual components in instrument sets as we anticipated increased case volumes.</w:t>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Cash Provided by Financing Activities</w:t>
      </w:r>
    </w:p>
    <w:p>
      <w:pPr>
        <w:pStyle w:val="TextBody"/>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in the three months ended March 31, 2023 was $1.2 million resulting from net proceeds of $0.7 million from the refinancing of our term loan with First-Citizens and proceeds of $0.5 million from the issuance of common stock under our stock-based incentive compensation plans. This compares to $0.2 million provided by financing activities in the three months ended March 31, 2022, which consisted solely of proceeds from the issuance of common stock under our stock-based incentive compensation plans.</w:t>
      </w:r>
    </w:p>
    <w:p>
      <w:pPr>
        <w:pStyle w:val="TextBody"/>
        <w:spacing w:before="180" w:after="283"/>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both"/>
        <w:rPr/>
      </w:pPr>
      <w:r>
        <w:rPr/>
      </w:r>
    </w:p>
    <w:p>
      <w:pPr>
        <w:pStyle w:val="TextBody"/>
        <w:spacing w:before="180" w:after="283"/>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t>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are described in “Management's Discussion and Analysis of Financial Condition and Results of Operations - Critical Accounting Policies, Significant Judgments, and Use of Estimates” in our Annual Report on Form 10-K filed with the SEC on March 2, 2023. There had been no material changes to the descriptions of these accounting policies, judgments and estimates.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lineRule="auto" w:line="288"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68" w:before="0" w:after="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a "small reporting company", we are not required to provide the information otherwise required by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40"/>
        <w:ind w:left="0" w:right="0" w:firstLine="450"/>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312" w:before="24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spacing w:lineRule="auto" w:line="312" w:before="0" w:after="24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Based on that evaluation, our CEO and our CFO have concluded that, as of March 31, 2023, our disclosure controls and procedures were effective at the reasonable assurance level. </w:t>
      </w:r>
    </w:p>
    <w:p>
      <w:pPr>
        <w:pStyle w:val="TextBody"/>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there were no changes in our internal controls over financial reporting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both"/>
        <w:rPr/>
      </w:pPr>
      <w:r>
        <w:rPr/>
      </w: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claims, complaints, investigations and legal actions that arise from time to time in the normal course of business, including commercial and employment matters. There are no matters pending that we currently believe are material. There can be no assurance that existing or future legal proceedings arising in the ordinary course of business or otherwise will not have a material adverse effect on our business, financial condition or results of operations.</w:t>
      </w:r>
    </w:p>
    <w:p>
      <w:pPr>
        <w:pStyle w:val="TextBody"/>
        <w:spacing w:before="240" w:after="24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both"/>
        <w:rPr/>
      </w:pPr>
      <w:r>
        <w:rPr/>
      </w:r>
    </w:p>
    <w:p>
      <w:pPr>
        <w:pStyle w:val="TextBody"/>
        <w:spacing w:before="240" w:after="240"/>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240" w:after="2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76" w:before="240" w:after="24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involves a high degree of risk. Investors should carefully consider the risks described below, as well as the other information in this Quarterly Report on Form 10-Q, including our condensed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pStyle w:val="TextBody"/>
        <w:spacing w:lineRule="auto" w:line="276" w:before="240" w:after="240"/>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We have incurred significant operating losses since inception, we expect to continue to incur operating losses in the future, and we may not be able to achieve or sustain future profitability;</w:t>
      </w:r>
    </w:p>
    <w:p>
      <w:pPr>
        <w:pStyle w:val="TextBody"/>
        <w:spacing w:lineRule="auto" w:line="268" w:before="0" w:after="240"/>
        <w:ind w:left="0" w:right="0" w:hanging="360"/>
        <w:jc w:val="both"/>
        <w:rPr/>
      </w:pPr>
      <w:r>
        <w:rPr>
          <w:color w:val="000000"/>
        </w:rPr>
        <w:t>•</w:t>
      </w:r>
      <w:r>
        <w:rPr>
          <w:rFonts w:ascii="Times New Roman;sans-serif" w:hAnsi="Times New Roman;sans-serif"/>
          <w:b w:val="false"/>
          <w:color w:val="000000"/>
          <w:sz w:val="20"/>
        </w:rPr>
        <w:t>Prolonged inflation and supply chain disruptions could result in delayed product launches, lost revenue, higher costs and decreased profit margins;</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Epidemic diseases, or the perception of their effects, may continue to adversely affect our business, financial condition, results of operations, or cash flows;</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Surgeons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Practice trends or other factors, including the COVID-19 pandemic, have caused and may continue to cause procedures to shift from the hospital environment to ambulatory surgical centers, or ASCs, where pressure on the prices of our products is generally more acute;</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We operate in a very competitive business environment and if we are unable to compete successfully against our existing or potential competitors, our sales and operating results may be adversely affected;</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 xml:space="preserve">If clinical experience with our iFuse Bedrock technique or our iFuse Bedrock Granite product does not result in positive outcomes for patients, or if clinical trials involving the use of iFuse Bedrock and/or iFuse Bedrock Granite fail to show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both"/>
        <w:rPr/>
      </w:pPr>
      <w:r>
        <w:rPr/>
      </w:r>
    </w:p>
    <w:p>
      <w:pPr>
        <w:pStyle w:val="TextBody"/>
        <w:spacing w:lineRule="auto" w:line="276"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meaningful patient benefit, sales of our iFuse, iFuse-3D, iFuse-TORQ, and/or iFuse Bedrock Granite implants could be adversely impacted;</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are unable to maintain our network of direct sales representatives, third-party sales agents, and resellers, we may not be able to generate anticipated sales;</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Our business could suffer if we lose the services of key members of our senior management, key advisors or personnel;</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If use of our products results in adverse events, this may require them to be taken off the market, require them to include safety warnings or otherwise limit their sales;</w:t>
      </w:r>
    </w:p>
    <w:p>
      <w:pPr>
        <w:pStyle w:val="TextBody"/>
        <w:spacing w:lineRule="auto" w:line="276" w:before="240" w:after="240"/>
        <w:ind w:left="0" w:right="0" w:hanging="360"/>
        <w:rPr/>
      </w:pPr>
      <w:r>
        <w:rPr>
          <w:color w:val="000000"/>
        </w:rPr>
        <w:t>•</w:t>
      </w:r>
      <w:r>
        <w:rPr>
          <w:rFonts w:ascii="Times New Roman;sans-serif" w:hAnsi="Times New Roman;sans-serif"/>
          <w:b w:val="false"/>
          <w:color w:val="000000"/>
          <w:sz w:val="20"/>
        </w:rPr>
        <w:t>Various factors outside our direct control may adversely affect manufacturing, sterilization, and distribution of our products;</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We, our suppliers, and our third-party manufacturers are subject to extensive governmental regulation both in the U.S. and abroad, and failure to comply with applicable requirements could cause our business to suffer;</w:t>
      </w:r>
    </w:p>
    <w:p>
      <w:pPr>
        <w:pStyle w:val="TextBody"/>
        <w:spacing w:lineRule="auto" w:line="276" w:before="0" w:after="240"/>
        <w:ind w:left="0" w:right="0" w:hanging="360"/>
        <w:jc w:val="both"/>
        <w:rPr/>
      </w:pPr>
      <w:r>
        <w:rPr>
          <w:color w:val="000000"/>
        </w:rPr>
        <w:t>•</w:t>
      </w:r>
      <w:r>
        <w:rPr>
          <w:rFonts w:ascii="Times New Roman;sans-serif" w:hAnsi="Times New Roman;sans-serif"/>
          <w:b w:val="false"/>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spacing w:lineRule="auto" w:line="276" w:before="240" w:after="240"/>
        <w:ind w:left="0" w:right="0" w:hanging="360"/>
        <w:jc w:val="both"/>
        <w:rPr/>
      </w:pPr>
      <w:r>
        <w:rPr>
          <w:color w:val="000000"/>
        </w:rPr>
        <w:t>•</w:t>
      </w:r>
      <w:r>
        <w:rPr>
          <w:rFonts w:ascii="Times New Roman;sans-serif" w:hAnsi="Times New Roman;sans-serif"/>
          <w:b w:val="false"/>
          <w:color w:val="000000"/>
          <w:sz w:val="20"/>
        </w:rPr>
        <w:t>Adverse developments affecting the banking industry or the broader financial services industry, such as actual events or concerns involving liquidity, defaults or non-performance, could adversely affect our operations and liquidity; and</w:t>
      </w:r>
    </w:p>
    <w:p>
      <w:pPr>
        <w:pStyle w:val="TextBody"/>
        <w:spacing w:lineRule="auto" w:line="288" w:before="0" w:after="240"/>
        <w:ind w:left="0" w:right="0" w:hanging="360"/>
        <w:jc w:val="both"/>
        <w:rPr/>
      </w:pPr>
      <w:r>
        <w:rPr>
          <w:color w:val="000000"/>
        </w:rPr>
        <w:t>•</w:t>
      </w:r>
      <w:r>
        <w:rPr>
          <w:rFonts w:ascii="Times New Roman;sans-serif" w:hAnsi="Times New Roman;sans-serif"/>
          <w:b w:val="false"/>
          <w:color w:val="000000"/>
          <w:sz w:val="20"/>
        </w:rPr>
        <w:t>Our ability to access credit on favorable terms, if necessary, for the funding of our operations and capital projects may be limited due to changes in credit markets.</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since inception, we expect to continue to incur operating losses in the future, and we may not be able to achieve or sustain future profitability.</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since our inception in 2008. For the three months ended March 31, 2023, we had a net loss of $11.1 million. For the years ended December 31, 2022 and 2021, we had net losses of $61.3 million and $56.6 million, respectively. As of March 31, 2023, we had an accumulated deficit of $368.2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and even if we are able to do so, our ability to do so has been delayed by the COVID-19 pandemic. We expect that our operating expenses will continue to increase as we continue to build our commercial infrastructure, develop, enhance, and commercialize our existing and new products.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expected future capital requirements depend on many factors including expanding our surgeon base, the expansion of our sales force, investment in implants and instruments, and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The capital markets have deteriorated substantially since the beginning of 2022, especially with respect to securities issued by companies in the medical device and technology sectors. Equity and debt capital have become substantially more expensive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pStyle w:val="TextBody"/>
        <w:spacing w:before="0" w:after="0"/>
        <w:ind w:left="0" w:right="0" w:firstLine="450"/>
        <w:jc w:val="both"/>
        <w:rPr/>
      </w:pPr>
      <w:r>
        <w:rPr/>
      </w:r>
    </w:p>
    <w:p>
      <w:pPr>
        <w:pStyle w:val="TextBody"/>
        <w:spacing w:lineRule="auto" w:line="268" w:before="0" w:after="0"/>
        <w:ind w:left="0" w:right="0" w:firstLine="450"/>
        <w:rPr>
          <w:rFonts w:ascii="Times New Roman;sans-serif" w:hAnsi="Times New Roman;sans-serif"/>
          <w:b/>
          <w:i/>
          <w:color w:val="000000"/>
          <w:sz w:val="20"/>
        </w:rPr>
      </w:pPr>
      <w:r>
        <w:rPr>
          <w:rFonts w:ascii="Times New Roman;sans-serif" w:hAnsi="Times New Roman;sans-serif"/>
          <w:b/>
          <w:i/>
          <w:color w:val="000000"/>
          <w:sz w:val="20"/>
        </w:rPr>
        <w:t xml:space="preserve">Prolonged inflation and supply chain disruptions could result in delayed product launches, lost revenue, higher costs and decreased profit margins. </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our products are manufactured and sold inside of the United States, which increases our exposure to domestic inflation and fuel price increases. Recent inflationary pressures have resulted in increased fuel, raw materials and other costs which, if they continue for a prolonged period, may adversely affect our results of operations. We have experienced shortages in certain raw materials and component inputs of our products, primarily surgical instruments, as suppliers have been unable to meet delivery schedules due to excess demand and labor shortages, and lead times have lengthened throughout our supply chain. Our efforts to mitigate supply chain weaknesses may not be successful or may have unfavorable effects. For example, efforts to purchase raw materials in advance for product manufacturing may result in increased storage costs or excess supply. If our costs rise due to continuing significant inflationary pressures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w:t>
      </w:r>
    </w:p>
    <w:p>
      <w:pPr>
        <w:pStyle w:val="TextBody"/>
        <w:spacing w:lineRule="auto" w:line="276" w:before="24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 effective manner. A reduction or interruption in the supply of materials or components used in manufacturing our products, such as due to one or more suppliers experiencing reductions in operations and/or worker absences due to COVID-19 or other health epidemics, an inability to timely develop and validate alternative sources if required, or a significant increase in the price of such materials or components, such as that caused by inflation and rising interest rates,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and such geopolitical events and factors relating thereto or resulting therefrom, including related sanctions, may negatively impact the ability of our suppliers’ third-party supply sources to timely supply titanium to our suppliers and may increase or result in additional costs to us.</w:t>
      </w:r>
    </w:p>
    <w:p>
      <w:pPr>
        <w:pStyle w:val="TextBody"/>
        <w:spacing w:lineRule="auto" w:line="276"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COVID-19 or other health 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TextBody"/>
        <w:spacing w:lineRule="auto" w:line="276" w:before="240" w:after="24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If hospitals, surgeons,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 When a procedure using our implants is performed, both the surgeon and the healthcare facility, either a hospital or ambulatory surgical center, submit claims for reimbursement to the healthcare payor. We may be unable to sell our products on a profitable basis if third-party payors deny coverage, or if reimbursement levels are insufficient to support use of our products by healthcare facilities or to compensate surgeons for their time spent diagnosing patients and performing procedures using our products.</w:t>
      </w:r>
    </w:p>
    <w:p>
      <w:pPr>
        <w:pStyle w:val="TextBody"/>
        <w:spacing w:before="0" w:after="0"/>
        <w:ind w:left="0" w:right="0" w:firstLine="450"/>
        <w:jc w:val="both"/>
        <w:rPr/>
      </w:pPr>
      <w:r>
        <w:rPr/>
      </w:r>
    </w:p>
    <w:p>
      <w:pPr>
        <w:pStyle w:val="TextBody"/>
        <w:spacing w:lineRule="auto" w:line="25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all Medicare Administrative Contractors are regularly reimbursing for minimally invasive sacroiliac joint fusion utilizing laterally placed transfixing devices, a small number of private payors still have policies that treat the procedure as experimental or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investigational and do not regularly reimburse for the procedure. Future action by the Centers for Medicare and Medicaid Services (“CMS”) or third-party payors may further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2023, the Medicare physician fee reimbursement for minimally invasive fusion with our laterally placed transfixing iFuse implants, described as Current Procedural Terminology (“CPT”) Code 27279, is $827. Commercial payors generally set their physician fee reimbursement with reference to Medicare reimbursement rates. We believe that some surgeons may continue to view the Medicare and commercial reimbursement amounts as insufficient for the procedure, given the work effort involved with the procedure, including the time to diagnose the patient and obtain prior authorization from the patient’s health insurer if necessary. We believe that some private payors apply their own coverage policies and criteria inconsistently, and surgeons may not be able to consistently have minimally invasive sacroiliac fusion procedures utilizing laterally placed transfixing devices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adversely affect our revenues.</w:t>
      </w:r>
    </w:p>
    <w:p>
      <w:pPr>
        <w:pStyle w:val="TextBody"/>
        <w:spacing w:before="0" w:after="0"/>
        <w:ind w:left="0" w:right="0" w:firstLine="450"/>
        <w:jc w:val="both"/>
        <w:rPr/>
      </w:pPr>
      <w:r>
        <w:rPr/>
      </w:r>
    </w:p>
    <w:p>
      <w:pPr>
        <w:pStyle w:val="TextBody"/>
        <w:spacing w:lineRule="auto" w:line="268" w:before="0" w:after="0"/>
        <w:ind w:left="0" w:right="0" w:firstLine="450"/>
        <w:jc w:val="both"/>
        <w:rPr/>
      </w:pPr>
      <w:r>
        <w:rPr>
          <w:rFonts w:ascii="Times New Roman;sans-serif" w:hAnsi="Times New Roman;sans-serif"/>
          <w:b w:val="false"/>
          <w:color w:val="000000"/>
          <w:sz w:val="20"/>
        </w:rPr>
        <w:t>The American Medical Association (AMA) develops and maintains CPT codes that are used by third-party payors to determine the amount of reimbursement that a healthcare provider and facility will receive for a particular service. CPT codes are divided into three categories: Category I codes represent existing services or procedures that are widely used.</w:t>
      </w:r>
      <w:r>
        <w:rPr>
          <w:color w:val="000000"/>
        </w:rPr>
        <w:t xml:space="preserve"> </w:t>
      </w:r>
      <w:r>
        <w:rPr>
          <w:rFonts w:ascii="Times New Roman;sans-serif" w:hAnsi="Times New Roman;sans-serif"/>
          <w:b w:val="false"/>
          <w:color w:val="000000"/>
          <w:sz w:val="20"/>
        </w:rPr>
        <w:t>Category II codes are supplemental tracking codes, and Category III codes are temporary codes that represent new technologies, services, and procedures. A Category III code does not have a payment rate established and reimbursement is at the payor’s discretion. CPT Code 27279, which describes minimally-invasive surgical fusion of the sacroiliac joint performed with our laterally placed transfixing iFuse implants, is a Category I CPT code. As the number of products and surgical procedures to address sacroiliac joint dysfunction has expanded and diversified, certain medical societies requested that the AMA create additional codes representing some of these newer, and different procedures utilizing non-transfixing technologies. In May 2022, the AMA CPT Editorial Panel adopted a proposal for a new Category III code to become effective January 1, 2023, describing a different sacroiliac joint procedure to place interpositional, intra-articular and non-transfixing implants typically using a dorsal, or posterior, approach. In September 2022, the AMA CPT Editorial Panel subsequently voted to convert the Category III Code to describe procedures to implant the newer, non-transfixing (dorsally placed) implants to a Category I Code effective January 1, 2024.</w:t>
      </w:r>
      <w:r>
        <w:rPr>
          <w:color w:val="000000"/>
        </w:rPr>
        <w:t xml:space="preserve"> </w:t>
      </w:r>
      <w:r>
        <w:rPr>
          <w:rFonts w:ascii="Times New Roman;sans-serif" w:hAnsi="Times New Roman;sans-serif"/>
          <w:b w:val="false"/>
          <w:color w:val="000000"/>
          <w:sz w:val="20"/>
        </w:rPr>
        <w:t xml:space="preserve">If the levels of reimbursement for, and consistency of coverage associated with, procedures performed with our medical devices under the existing Category I CPT Code decrease as a result of or in connection with these coding changes, it could make the procedures in which our implants are used less attractive to healthcare professionals, decreasing the number of devices we are able to sell and adversely affecting our business, results of operations and financial condition. </w:t>
      </w:r>
    </w:p>
    <w:p>
      <w:pPr>
        <w:pStyle w:val="TextBody"/>
        <w:spacing w:before="0" w:after="0"/>
        <w:ind w:left="0" w:right="0" w:firstLine="450"/>
        <w:jc w:val="both"/>
        <w:rPr/>
      </w:pPr>
      <w:r>
        <w:rPr/>
      </w:r>
    </w:p>
    <w:p>
      <w:pPr>
        <w:pStyle w:val="TextBody"/>
        <w:spacing w:lineRule="auto" w:line="268" w:before="0" w:after="0"/>
        <w:ind w:left="0" w:right="0" w:firstLine="495"/>
        <w:jc w:val="both"/>
        <w:rPr/>
      </w:pPr>
      <w:r>
        <w:rPr>
          <w:rFonts w:ascii="Times New Roman;sans-serif" w:hAnsi="Times New Roman;sans-serif"/>
          <w:b w:val="false"/>
          <w:color w:val="000000"/>
          <w:sz w:val="20"/>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as currently enacted or as it may be amended in the future, and other healthcare reform measures that may be adopted in the future, could have a material adverse effect on our industry generally and on our ability to maintain or increase sales of our existing products. CMS budget neutrality requirements may impose cuts to the Medicare physician fee schedule, which may be mitigated by acts of Congress or other changes to regulations. Other federal laws, known as budget sequestration, further reduce Medicare’s payments to providers. Under current legislation, the</w:t>
      </w:r>
      <w:r>
        <w:rPr>
          <w:color w:val="000000"/>
        </w:rPr>
        <w:t xml:space="preserve"> </w:t>
      </w:r>
      <w:r>
        <w:rPr>
          <w:rFonts w:ascii="Times New Roman;sans-serif" w:hAnsi="Times New Roman;sans-serif"/>
          <w:b w:val="false"/>
          <w:color w:val="000000"/>
          <w:sz w:val="20"/>
        </w:rPr>
        <w:t>reduction in Medicare payments will vary from 2% under the Budget Control Act of 2011 (currently set to expire in 2031) to 4% if budget sequestration is triggered under the Statutory Pay-As-You-Go Act of 2010.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 which could adversely affect our business, results of operations and financial condition.</w:t>
      </w:r>
    </w:p>
    <w:p>
      <w:pPr>
        <w:pStyle w:val="TextBody"/>
        <w:spacing w:before="0" w:after="0"/>
        <w:ind w:left="0" w:right="0" w:firstLine="495"/>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 significant number of the largest U.S. payors that we track and target have issued positive coverage policies covering the patented design of our triangular iFuse implants and excluding coverage of other products that are intended to fuse the sacroiliac joint because of the clinical evidence supporting the use of triangular titanium implants and the lack of clinical evidence supporting the use of other products. We believe that payors have adopted these exclusive coverage decisions due to the strength of our clinical evidence and in part due to recommendations of specialty benefit managers and healthcare technology assessment organizations. Clinical trials of the type and size necessary to offer evidence of the safety and efficacy of competing products could be performed and could show that other products for sacroiliac joint fusion are as effective as, or more effective than, our triangular iFuse implants. Payors could also abandon their decisions to cover triangular implants exclusively for other reasons.</w:t>
      </w:r>
    </w:p>
    <w:p>
      <w:pPr>
        <w:pStyle w:val="TextBody"/>
        <w:spacing w:before="0" w:after="0"/>
        <w:ind w:left="0" w:right="0" w:firstLine="495"/>
        <w:jc w:val="both"/>
        <w:rPr/>
      </w:pPr>
      <w:r>
        <w:rPr/>
      </w:r>
    </w:p>
    <w:p>
      <w:pPr>
        <w:pStyle w:val="TextBody"/>
        <w:spacing w:lineRule="auto" w:line="276" w:before="0" w:after="0"/>
        <w:ind w:left="0" w:right="0" w:firstLine="495"/>
        <w:jc w:val="both"/>
        <w:rPr/>
      </w:pPr>
      <w:r>
        <w:rPr>
          <w:rFonts w:ascii="Times New Roman;sans-serif" w:hAnsi="Times New Roman;sans-serif"/>
          <w:b w:val="false"/>
          <w:color w:val="000000"/>
          <w:sz w:val="20"/>
          <w:highlight w:val="white"/>
        </w:rPr>
        <w:t xml:space="preserve">Healthcare payors which have adopted sacroiliac joint fusion coverage policies exclusive to titanium triangular implants could reverse the exclusive nature of their policies and allow surgeons to use other types of products when performing sacroiliac fusion procedures. For example, AIM, a clinical evidence evaluation organization which influences Anthem, among other payors, promulgated such a policy, effective September 11, 2022, that is no longer exclusive to titanium triangles. If healthcare payors covering a significant number of covered lives reverse their policies of covering minimally invasive sacroiliac joint fusion exclusively when performed with triangular titanium implants, sales of our triangular iFuse implants could decline or </w:t>
      </w:r>
      <w:r>
        <w:rPr>
          <w:rFonts w:ascii="Times New Roman;sans-serif" w:hAnsi="Times New Roman;sans-serif"/>
          <w:b w:val="false"/>
          <w:color w:val="000000"/>
          <w:sz w:val="20"/>
        </w:rPr>
        <w:t>fail to grow, which could adversely affect our business, results of operations and financial condition.</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Epidemic diseases, or the perception of their effects, may continue to adversely affect our business, financial condition, results of operations, or cash flows.</w: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As the COVID-19 global pandemic enters its fourth year, the impact of COVID-19 on our business remains highly dependent on future developments, which are uncertain and unpredictable. An outbreak of an infectious disease, or an escalation of COVID-19 infection rates could continue to divert medical resources toward the treatment of that disease, and negatively affect hospital admission rates and the decision by patients to undergo elective surgery, which could decrease demand for procedures using our implants and cause other disruptions to our business. Business disruptions have included, and could continue to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and ambulatory surgery centers.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an economic downturn that could affect demand for our products. Any of these events could negatively impact the number of procedures using our implants that are performed and have a material adverse effect on our business, financial condition, results of operations, or cash flows.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addition, COVID-19 has adversely affected, and may continue to adversely affect, the economies and financial markets of many countries, which may result in a period of regional, national, and global economic slowdown or regional, national, or global recessions that could curtail or delay spending by hospitals and affect demand for our products as well as increase risk of customer defaults or delays in payments. These market disruptions could impair our ability to raise capital, should our business experience a prolonged period of reduced revenue requiring additional capital to sustain the business. COVID-19 and the current financial, economic, and capital markets environment, and future developments in these and other areas present material uncertainty and risk with respect to our performance, financial condition, results of operations, and cash flows. Due to the uncertain scope and duration of the pandemic and uncertain timing of global recovery and economic normalization, we are unable to estimate the long-term impacts on our operations and financial results. </w:t>
      </w:r>
    </w:p>
    <w:p>
      <w:pPr>
        <w:pStyle w:val="TextBody"/>
        <w:spacing w:before="0" w:after="0"/>
        <w:ind w:left="0" w:right="0" w:firstLine="495"/>
        <w:jc w:val="both"/>
        <w:rPr/>
      </w:pPr>
      <w:r>
        <w:rPr/>
      </w:r>
    </w:p>
    <w:p>
      <w:pPr>
        <w:pStyle w:val="TextBody"/>
        <w:spacing w:lineRule="auto" w:line="276"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existence and further duration of the COVID-19 pandemic may also further exacerbate certain of the risks described herein.</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not be able to convince physicians that our products are attractive alternatives to our competitors’ products and that our procedures are attractive alternatives to existing surgical and non-surgical treatments for their respective indications.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Surgeons, in consultation with their patients, play the primary role in determining the course of treatment and, ultimately, any product that will be used in treatment. In order for us to sell our products successfully, we must demonstrate to surgeons through education and training that treatment with iFuse is beneficial, safe, and cost-effective for patients as compared to our competitors’ products. If we are not successful in demonstrating the merits of our products to surgeons, their use of our products may decline, adversely affecting our revenues and profitability.</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most spine surgeons did not include an evaluation of the sacroiliac joint in their diagnostic work-up because they did not have an adequate surgical procedure to perform for patients diagnosed with sacroiliac joint dysfunction. We believe that </w:t>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educating surgeons and other healthcare professionals about the clinical merits and patient benefits of iFuse is an important element of building our business. If we fail to effectively educate surgeons and other medical professionals, they may not include a sacroiliac joint evaluation as part of their diagnosis and, as a result, those patients may continue to receive unnecessary surgical procedures or only non-surgical treatment.</w:t>
      </w:r>
    </w:p>
    <w:p>
      <w:pPr>
        <w:pStyle w:val="TextBody"/>
        <w:spacing w:before="0" w:after="0"/>
        <w:ind w:left="0" w:right="0" w:firstLine="495"/>
        <w:jc w:val="both"/>
        <w:rPr/>
      </w:pPr>
      <w:r>
        <w:rPr/>
      </w:r>
    </w:p>
    <w:p>
      <w:pPr>
        <w:pStyle w:val="TextBody"/>
        <w:spacing w:lineRule="auto" w:line="276"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Surgeons may also hesitate to change their medical treatment practices for other reasons, including the following:</w:t>
      </w:r>
    </w:p>
    <w:p>
      <w:pPr>
        <w:pStyle w:val="TextBody"/>
        <w:spacing w:lineRule="auto" w:line="276" w:before="0" w:after="0"/>
        <w:ind w:left="0" w:right="0" w:firstLine="990"/>
        <w:rPr/>
      </w:pPr>
      <w:r>
        <w:rPr>
          <w:color w:val="000000"/>
        </w:rPr>
        <w:t xml:space="preserve">• </w:t>
      </w:r>
      <w:r>
        <w:rPr>
          <w:rFonts w:ascii="Times New Roman;sans-serif" w:hAnsi="Times New Roman;sans-serif"/>
          <w:b w:val="false"/>
          <w:color w:val="000000"/>
          <w:sz w:val="20"/>
        </w:rPr>
        <w:t>lack of experience with minimally invasive procedures;</w:t>
      </w:r>
    </w:p>
    <w:p>
      <w:pPr>
        <w:pStyle w:val="TextBody"/>
        <w:spacing w:lineRule="auto" w:line="276" w:before="0" w:after="0"/>
        <w:ind w:left="0" w:right="0" w:firstLine="990"/>
        <w:rPr/>
      </w:pPr>
      <w:r>
        <w:rPr>
          <w:color w:val="000000"/>
        </w:rPr>
        <w:t xml:space="preserve">• </w:t>
      </w:r>
      <w:r>
        <w:rPr>
          <w:rFonts w:ascii="Times New Roman;sans-serif" w:hAnsi="Times New Roman;sans-serif"/>
          <w:b w:val="false"/>
          <w:color w:val="000000"/>
          <w:sz w:val="20"/>
        </w:rPr>
        <w:t>perceived liability risks generally associated with the use of new products and procedures;</w:t>
      </w:r>
    </w:p>
    <w:p>
      <w:pPr>
        <w:pStyle w:val="TextBody"/>
        <w:spacing w:lineRule="auto" w:line="276" w:before="0" w:after="0"/>
        <w:ind w:left="0" w:right="0" w:firstLine="990"/>
        <w:rPr/>
      </w:pPr>
      <w:r>
        <w:rPr>
          <w:color w:val="000000"/>
        </w:rPr>
        <w:t xml:space="preserve">• </w:t>
      </w:r>
      <w:r>
        <w:rPr>
          <w:rFonts w:ascii="Times New Roman;sans-serif" w:hAnsi="Times New Roman;sans-serif"/>
          <w:b w:val="false"/>
          <w:color w:val="000000"/>
          <w:sz w:val="20"/>
        </w:rPr>
        <w:t xml:space="preserve">costs associated with the purchase of new products; and </w:t>
      </w:r>
    </w:p>
    <w:p>
      <w:pPr>
        <w:pStyle w:val="TextBody"/>
        <w:spacing w:lineRule="auto" w:line="276" w:before="0" w:after="0"/>
        <w:ind w:left="0" w:right="0" w:firstLine="990"/>
        <w:rPr/>
      </w:pPr>
      <w:r>
        <w:rPr>
          <w:color w:val="000000"/>
        </w:rPr>
        <w:t xml:space="preserve">• </w:t>
      </w:r>
      <w:r>
        <w:rPr>
          <w:rFonts w:ascii="Times New Roman;sans-serif" w:hAnsi="Times New Roman;sans-serif"/>
          <w:b w:val="false"/>
          <w:color w:val="000000"/>
          <w:sz w:val="20"/>
        </w:rPr>
        <w:t>time commitment that may be required for training.</w:t>
      </w:r>
    </w:p>
    <w:p>
      <w:pPr>
        <w:pStyle w:val="TextBody"/>
        <w:spacing w:before="0" w:after="0"/>
        <w:ind w:left="0" w:right="0" w:firstLine="990"/>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believe surgeons will not widely use our products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their benefits. If we are unable to provide that data, surgeons may not use our products. In such circumstances, we may not achieve expected sales and may be unable to achieve profitability.</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Many patients with sacroiliac joint dysfunction are cared for by pain physicians and other interventionalists, who are generally trained as anesthesiologists, interventional radiologists, or physical medicine and rehabilitation specialists. These physicians often offer a variety of non-surgical and surgical interventions to sacroiliac joint dysfunction patients, including, but not limited to, steroid injections, radiofrequency ablation of the nerves serving the sacroiliac joint and implantation of neurostimulation devices, allografts, and other products intended to treat the sacroiliac joint or the pain it can cause. Our professional education program seeks to teach these physicians, and other health care providers, about the benefits of our iFuse products, in order to prompt these providers to refer their patients with sacroiliac joint dysfunction to surgeons who have been trained to perform the iFuse procedure. These providers may, however, prefer to continue to treat these patients with the interventions they offer because they feel that these interventions are superior or because they have a financial interest in offering additional treatments to these patients. If we are unable to demonstrate to potential referring health care providers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Surgeons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products we currently market in the United States have either received premarket clearance under Section 510(k) of the United States Federal Food, Drug, and Cosmetic Act (“FDCA”), or are exempt from premarket review. Those marketed in the European Union (“EU”) have been the subject of a CE Certificate of Conformity. The 510(k) clearance process of the U.S. Food and Drug Administration (“FDA”) requires us to document that our product is “substantially equivalent” to another 510(k)-cleared product. The 510(k) process is shorter and typically requires the submission of less supporting documentation than other FDA approval processes, such as a premarket approval (“PMA”), and does not usually require pre-clinical or clinical studies. As a result, iFuse-TORQ and iFuse Bedrock Granite have been launched prior to gathering substantial prospective clinical trial evidence, and our post-market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w:t>
      </w:r>
    </w:p>
    <w:p>
      <w:pPr>
        <w:pStyle w:val="TextBody"/>
        <w:spacing w:before="0" w:after="0"/>
        <w:ind w:left="0" w:right="0" w:firstLine="495"/>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Pricing pressure from our competitors, changes in third-party coverage and reimbursement, healthcare provider consolidation, payor consolidation and the presence of “physician-owned distributorships” may impact our ability to sell our product at prices necessary to support our current business strategies.</w: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and revenue down and harm our ability to market and sell our products.</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 </w:t>
      </w:r>
    </w:p>
    <w:p>
      <w:pPr>
        <w:pStyle w:val="TextBody"/>
        <w:spacing w:before="0" w:after="0"/>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Practice trends or other factors, including the COVID-19 pandemic, have caused and may continue to cause procedures to shift from the hospital environment to ambulatory surgical centers, or ASCs, where pressure on the prices of our products is generally more acute.</w:t>
      </w:r>
    </w:p>
    <w:p>
      <w:pPr>
        <w:pStyle w:val="TextBody"/>
        <w:spacing w:before="0" w:after="0"/>
        <w:jc w:val="both"/>
        <w:rPr/>
      </w:pPr>
      <w:r>
        <w:rPr/>
      </w:r>
    </w:p>
    <w:p>
      <w:pPr>
        <w:pStyle w:val="TextBody"/>
        <w:spacing w:lineRule="auto" w:line="276" w:before="0" w:after="0"/>
        <w:ind w:left="0" w:right="0" w:firstLine="495"/>
        <w:jc w:val="both"/>
        <w:rPr/>
      </w:pPr>
      <w:r>
        <w:rPr>
          <w:rFonts w:ascii="Times New Roman;sans-serif" w:hAnsi="Times New Roman;sans-serif"/>
          <w:b w:val="false"/>
          <w:color w:val="000000"/>
          <w:sz w:val="20"/>
        </w:rPr>
        <w:t>We anticipate that more outpatient eligible procedures will be performed in ASCs as a cost control measure within the healthcare system. This shift accelerated during the COVID-19 pandemic, and we expect it to continue because ASCs are generally a more economically favorable site of service, and surgeons performing the procedures sometimes have ownership interests in the ASC. Because ASC facility fee reimbursement is typically less than facility fee reimbursement for hospitals and due to surgeons’ economic interest in ASCs, we typically experience more pressure on the pricing of our products by ASCs than by hospitals, and the average price for which we sell our products to ASCs is less than the average prices we charge to hospitals. In addition, some surgeons may choose to use fewer implants due to their interest in the profitability of the ASC. An accelerated shift of procedures using our products to ASCs could adversely impact the average selling prices of our products and our revenues could suffer as a result.</w:t>
      </w:r>
      <w:r>
        <w:rPr>
          <w:color w:val="000000"/>
        </w:rPr>
        <w:t xml:space="preserve"> </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operate in a very competitive business environment and if we are unable to compete successfully against our existing or potential competitors, our sales and operating results may be adversely affected.</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developing competing products.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competitors that we are aware of marketing sacroiliac joint fusion products in the United States has grown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 </w:t>
      </w:r>
    </w:p>
    <w:p>
      <w:pPr>
        <w:pStyle w:val="TextBody"/>
        <w:spacing w:before="0" w:after="0"/>
        <w:ind w:left="0" w:right="0" w:firstLine="495"/>
        <w:jc w:val="both"/>
        <w:rPr/>
      </w:pPr>
      <w:r>
        <w:rPr/>
      </w:r>
    </w:p>
    <w:p>
      <w:pPr>
        <w:pStyle w:val="TextBody"/>
        <w:spacing w:lineRule="auto" w:line="276" w:before="0" w:after="0"/>
        <w:ind w:left="0" w:right="0" w:firstLine="495"/>
        <w:jc w:val="both"/>
        <w:rPr/>
      </w:pPr>
      <w:r>
        <w:rPr>
          <w:rFonts w:ascii="Times New Roman;sans-serif" w:hAnsi="Times New Roman;sans-serif"/>
          <w:b w:val="false"/>
          <w:color w:val="000000"/>
          <w:sz w:val="20"/>
        </w:rPr>
        <w:t>In the United States, we believe that our primary competitors marketing implantable devices currently are Globus Medical, Inc. and Medtronic plc. Our primary competitors in Europe are Globus Medical, Inc. and SIGNUS Medizintechnik GmbH.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r>
        <w:rPr>
          <w:color w:val="000000"/>
        </w:rPr>
        <w:t xml:space="preserve"> </w:t>
      </w:r>
    </w:p>
    <w:p>
      <w:pPr>
        <w:pStyle w:val="TextBody"/>
        <w:spacing w:before="0" w:after="0"/>
        <w:ind w:left="0" w:right="0" w:firstLine="495"/>
        <w:jc w:val="both"/>
        <w:rPr/>
      </w:pPr>
      <w:r>
        <w:rPr/>
      </w:r>
    </w:p>
    <w:p>
      <w:pPr>
        <w:pStyle w:val="TextBody"/>
        <w:spacing w:before="0" w:after="0"/>
        <w:ind w:left="0" w:right="0" w:firstLine="495"/>
        <w:jc w:val="both"/>
        <w:rPr/>
      </w:pPr>
      <w:r>
        <w:rPr/>
      </w:r>
    </w:p>
    <w:p>
      <w:pPr>
        <w:pStyle w:val="TextBody"/>
        <w:spacing w:before="0" w:after="0"/>
        <w:ind w:left="0" w:right="0" w:firstLine="495"/>
        <w:jc w:val="both"/>
        <w:rPr/>
      </w:pPr>
      <w:r>
        <w:rPr/>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w:t>
      </w: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number of companies selling allograft implants for use by a variety of physicians have collectively become a much larger presence in our market. If customers view allograft implants and our products as interchangeable, we risk increased pricing pressure on our products. It is unclear how the creation of the Category III code for these procedures effective January 1, 2023, and the conversion of the Category III Code to a Category I Code effective January 1, 2024, will impact the market for these products and procedures. </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market share or product margins could decrease, thereby harming our business.</w:t>
      </w:r>
    </w:p>
    <w:p>
      <w:pPr>
        <w:pStyle w:val="TextBody"/>
        <w:spacing w:before="0" w:after="0"/>
        <w:ind w:left="0" w:right="0" w:firstLine="495"/>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are highly dependent on revenue from the sale of a single family of products focused on procedures, the goal of which is to stabilize and fuse the sacroiliac joint. Reliance on a single family of products and single family of procedures could negatively affect our results of operations and financial condition.</w: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comes from the sale of iFuse, iFuse-3D, iFuse-TORQ and iFuse Bedrock Granite implants, and related tools and instruments. Therefore, we are dependent on widespread market adoption of iFuse and we will continue to be dependent on the success of this single product family for some time. There can be no assurance that iFuse will maintain a substantial degree of market acceptance among surgeons, patients or healthcare providers. Our failure to successfully grow the market for iFuse and increase our share within that market or any other event impeding our ability to sell iFuse, could adversely affect our results of operations, financial condition and continuing operations.</w:t>
      </w:r>
    </w:p>
    <w:p>
      <w:pPr>
        <w:pStyle w:val="TextBody"/>
        <w:spacing w:before="0" w:after="0"/>
        <w:ind w:left="0" w:right="0" w:firstLine="495"/>
        <w:jc w:val="both"/>
        <w:rPr/>
      </w:pPr>
      <w:r>
        <w:rPr/>
      </w:r>
    </w:p>
    <w:p>
      <w:pPr>
        <w:pStyle w:val="TextBody"/>
        <w:spacing w:lineRule="auto" w:line="276" w:before="0" w:after="0"/>
        <w:rPr>
          <w:rFonts w:ascii="Times New Roman;sans-serif" w:hAnsi="Times New Roman;sans-serif"/>
          <w:b/>
          <w:i/>
          <w:color w:val="000000"/>
          <w:sz w:val="20"/>
        </w:rPr>
      </w:pPr>
      <w:r>
        <w:rPr>
          <w:rFonts w:ascii="Times New Roman;sans-serif" w:hAnsi="Times New Roman;sans-serif"/>
          <w:b/>
          <w:i/>
          <w:color w:val="000000"/>
          <w:sz w:val="20"/>
        </w:rPr>
        <w:t>If clinical experience with our iFuse Bedrock technique or our iFuse Bedrock Granite product does not result in positive outcomes for patients, or if clinical trials involving the use of iFuse Bedrock and/or iFuse Bedrock Granite fail to show meaningful patient benefit, sales of our iFuse, iFuse-3D, iFuse-TORQ, and/or iFuse Bedrock Granite implants could be adversely impacted.</w: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2018, we introduced our iFuse Bedrock technique, in which spine surgeons place iFuse triangular implants across the sacroiliac joint using a different surgical approach to treat sacroiliac joint dysfunction at the same time they are fusing multiple levels of the spine above and affixing those spinal fusion devices to the pelvis. In April 2019, the FDA cleared promotion of iFuse Bedrock for a broader and more general purpose, to provide additional stability and immobilization of the sacroiliac joint in connection with a thoracolumbar fusion procedure. In May 2022, we introduced iFuse Bedrock Granite, an implant which fuses the sacroiliac joint and attaches to the rods placed in a multi-segment spinal fusion construct, and which is used in substantially similar procedures as the iFuse Bedrock technique. To date, clinical experience with the iFuse Bedrock technique and with iFuse Bedrock Granite is limited and we have yet to complete a clinical trial to evaluate the iFuse Bedrock technique or the iFuse Bedrock Granite implant. Surgeons do not know if the addition of sacroiliac fusion devices to the implants used to fuse multiple levels of the lumbar spine will result in patient benefit. If surgeons' clinical experience with our implants in these procedures is not positive, or if our clinical trials do not show meaningful benefits to the patients undergoing this procedure, sale of our iFuse implants for this indication could be adversely impacted, which could negatively affect our operations and financial condition.</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are unable to maintain our network of direct sales representatives, third-party sales agents, and resellers, we may not be able to generate anticipated sales.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U.S. sales force consisted of 87 territory sales managers and 67 clinical support specialists directly employed by us, and 126 third-party sales agents. As of March 31, 2023, our international sales force consisted of 12 sales representatives directly employed by us and a total of 31 third-party sales agents and resellers, which together have had sales in 39 countries through March 31, 2023. Our operating results are directly dependent upon the sales and marketing efforts of both our direct sales force and of our third-party sales agents and resellers.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sales agents and resellers with significant technical knowledge in various areas, such as spine and pelvic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If a direct sales representative or third-party sales agent or reseller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agents and resellers. Because of the intense competition for their services, we may be unable to recruit or retain additional qualified third-party sales agents and resellers or to hire additional direct sales representatives to work with us. Furthermore, we may not be able to enter into agreements with them on favorable or commercially reasonable terms, if at all. Failure to hire or retain qualified direct sales representatives or third-party sales agents and resellers would prevent us from expanding our business and generating sales. If our direct sales representatives or third-party sales agents and resellers fail to adequately promote, market and sell our products or decide to leave or cease to do business with us, our sales could significantly decrease.</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business could suffer if we lose the services of key members of our senior management, key advisors or personnel.</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pStyle w:val="TextBody"/>
        <w:spacing w:before="0" w:after="0"/>
        <w:jc w:val="both"/>
        <w:rPr/>
      </w:pPr>
      <w:r>
        <w:rPr/>
      </w:r>
    </w:p>
    <w:p>
      <w:pPr>
        <w:pStyle w:val="TextBody"/>
        <w:spacing w:lineRule="auto" w:line="276" w:before="0" w:after="0"/>
        <w:ind w:left="0" w:right="0" w:firstLine="720"/>
        <w:jc w:val="both"/>
        <w:rPr/>
      </w:pPr>
      <w:r>
        <w:rPr>
          <w:rFonts w:ascii="Times New Roman;sans-serif" w:hAnsi="Times New Roman;sans-serif"/>
          <w:b w:val="false"/>
          <w:color w:val="000000"/>
          <w:sz w:val="20"/>
        </w:rPr>
        <w:t>Our business is highly reliant on a base of skilled employees, including those serving in engineering, information technology, operational, strategic marketing and sales functions.</w:t>
      </w:r>
      <w:r>
        <w:rPr>
          <w:color w:val="000000"/>
        </w:rPr>
        <w:t xml:space="preserve"> </w:t>
      </w:r>
      <w:r>
        <w:rPr>
          <w:rFonts w:ascii="Times New Roman;sans-serif" w:hAnsi="Times New Roman;sans-serif"/>
          <w:b w:val="false"/>
          <w:color w:val="000000"/>
          <w:sz w:val="20"/>
        </w:rPr>
        <w:t>Many of these employees have developed specialized skills which are valuable within the medical device and life sciences industry, and, in some cases, in a broader variety of industries.</w:t>
      </w:r>
      <w:r>
        <w:rPr>
          <w:color w:val="000000"/>
        </w:rPr>
        <w:t xml:space="preserve"> </w:t>
      </w:r>
      <w:r>
        <w:rPr>
          <w:rFonts w:ascii="Times New Roman;sans-serif" w:hAnsi="Times New Roman;sans-serif"/>
          <w:b w:val="false"/>
          <w:color w:val="000000"/>
          <w:sz w:val="20"/>
        </w:rPr>
        <w:t>Competition for skilled employees is significant, and some of the labor markets we compete in have experienced tightening in the past year.</w:t>
      </w:r>
      <w:r>
        <w:rPr>
          <w:color w:val="000000"/>
        </w:rPr>
        <w:t xml:space="preserve"> </w:t>
      </w:r>
      <w:r>
        <w:rPr>
          <w:rFonts w:ascii="Times New Roman;sans-serif" w:hAnsi="Times New Roman;sans-serif"/>
          <w:b w:val="false"/>
          <w:color w:val="000000"/>
          <w:sz w:val="20"/>
        </w:rPr>
        <w:t>In addition, rates of employee turnover have increased among our employees, consistent with the rates experienced by other companies in these industries.</w:t>
      </w:r>
      <w:r>
        <w:rPr>
          <w:color w:val="000000"/>
        </w:rPr>
        <w:t xml:space="preserve"> </w:t>
      </w:r>
      <w:r>
        <w:rPr>
          <w:rFonts w:ascii="Times New Roman;sans-serif" w:hAnsi="Times New Roman;sans-serif"/>
          <w:b w:val="false"/>
          <w:color w:val="000000"/>
          <w:sz w:val="20"/>
        </w:rPr>
        <w:t>If these conditions persist, we could experience further turnover among our employees which could become difficult and more costly to manage, adversely impacting our results of operation.</w:t>
      </w:r>
      <w:r>
        <w:rPr>
          <w:color w:val="000000"/>
        </w:rPr>
        <w:t xml:space="preserve"> </w:t>
      </w:r>
      <w:r>
        <w:rPr>
          <w:rFonts w:ascii="Times New Roman;sans-serif" w:hAnsi="Times New Roman;sans-serif"/>
          <w:b w:val="false"/>
          <w:color w:val="000000"/>
          <w:sz w:val="20"/>
        </w:rPr>
        <w:t>Sustained pressure in these labor markets could also cause prevailing wages to rise, which could adversely impact our business, results of operation and financial condition.</w:t>
      </w:r>
      <w:r>
        <w:rPr>
          <w:color w:val="000000"/>
        </w:rPr>
        <w:t xml:space="preserve"> </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use of our products results in adverse events, this may require them to be taken off the market, require them to include safety warnings or otherwise limit their sales.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pStyle w:val="TextBody"/>
        <w:spacing w:lineRule="auto" w:line="276" w:before="240" w:after="24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we or others later identify adverse events caused by our products: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sales of the product may decrease significantly, and we may not achieve the anticipated market share;</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regulatory authorities or our Notified Body may require changes to the labeling of our product. This may include the addition of labeling statements, specific warnings, and contraindications and issuing field alerts to physicians and patients;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we may be required to change instructions regarding the way the product is implanted or conduct additional clinical trials;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we may be subject to limitations on how we may promote the product;</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regulatory authorities may require us to temporarily or permanently take our approved product off the market or to conduct other field safety corrective actions;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we may be required to modify our product;</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we may be subject to litigation fines or product liability claims;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our reputation may suffer.</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Unfavorable media reports or other negative publicity concerning both alleged improper methods of tissue recovery from donors and disease transmission from donated tissue could limit widespread acceptance of some of our products.</w:t>
      </w:r>
    </w:p>
    <w:p>
      <w:pPr>
        <w:pStyle w:val="TextBody"/>
        <w:spacing w:before="0" w:after="0"/>
        <w:ind w:left="0" w:right="0" w:firstLine="45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introduced iFuse Bone, an implantable bone product manufactured from sterilized recovered cadaveric bone tissue, to meet the demand of some of our surgeon customers to use implantable bone products to support and augment the patient's own bone tissue in orthopedic procedures.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donors to become reluctant to donate tissue to for-profit tissue processors. These reports could have a negative effect on sales of iFuse Bone.</w:t>
      </w:r>
    </w:p>
    <w:p>
      <w:pPr>
        <w:pStyle w:val="TextBody"/>
        <w:spacing w:lineRule="auto" w:line="276" w:before="240" w:after="240"/>
        <w:rPr>
          <w:rFonts w:ascii="Times New Roman;sans-serif" w:hAnsi="Times New Roman;sans-serif"/>
          <w:b/>
          <w:i/>
          <w:color w:val="000000"/>
          <w:sz w:val="20"/>
        </w:rPr>
      </w:pPr>
      <w:r>
        <w:rPr>
          <w:rFonts w:ascii="Times New Roman;sans-serif" w:hAnsi="Times New Roman;sans-serif"/>
          <w:b/>
          <w:i/>
          <w:color w:val="000000"/>
          <w:sz w:val="20"/>
        </w:rPr>
        <w:t>Various factors outside our direct control may adversely affect manufacturing, sterilization, and distribution of our products.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failure to complete sterilization on time or in compliance with the required regulatory standards;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transportation and import and export risk;</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delays in analytical results or failure of analytical techniques that we depend on for quality control and release of products;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large-scale epidemics of communicable diseases such as COVID-19;</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supply chain disruptions, including those caused by material and labor supply shortages in the wake of COVID-19;</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latent defects that may become apparent after products have been released and that may result in a recall or field safety corrective action with respect to such products.</w:t>
      </w:r>
    </w:p>
    <w:p>
      <w:pPr>
        <w:pStyle w:val="TextBody"/>
        <w:spacing w:lineRule="auto" w:line="276" w:before="240" w:after="240"/>
        <w:ind w:left="0" w:right="0" w:firstLine="495"/>
        <w:jc w:val="both"/>
        <w:rPr/>
      </w:pPr>
      <w:r>
        <w:rPr>
          <w:rFonts w:ascii="Times New Roman;sans-serif" w:hAnsi="Times New Roman;sans-serif"/>
          <w:b w:val="false"/>
          <w:color w:val="000000"/>
          <w:sz w:val="20"/>
        </w:rPr>
        <w:t>If any of these risks were to materialize, our ability to provide our products to customers on a timely basis could be adversely impacted.</w:t>
      </w:r>
      <w:r>
        <w:rPr>
          <w:color w:val="000000"/>
        </w:rPr>
        <w:t> </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suppliers to manufacture and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use a small number of suppliers for our instruments and currently rely on RMS for iFuse-3D implants and Orchid for iFuse implants. Our dependence on such a limited number of suppliers exposes us to risks, including, among other things: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comply with regulatory requirements or make errors in manufacturing that could negatively affect the safety or effectiveness of our products or cause delays in shipments of our products;</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jc w:val="both"/>
        <w:rPr/>
      </w:pPr>
      <w:r>
        <w:rPr/>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not be able to respond to unanticipated changes in customer orders, and if orders do not match forecasts, we or our suppliers may have excess or inadequate inventory of materials and components;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be subject to price fluctuations due to a lack of long-term supply arrangements for key components;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and suppliers may lose access to critical services, raw materials and components, or experience significant delays in obtaining them, resulting in an interruption in the manufacture, assembly and shipment of our systems;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or our third-party manufacturers could experience plant closures due to local epidemics of communicable diseases, such as COVID-19, or local outbreaks of such diseases among their workforce, thereby shuttering a plant in which our products are manufactured;</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experience delays in delivery by our third-party manufacturers and suppliers due to changes in demand from us or their other customers;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fluctuations in demand for products that our third-party manufacturers and suppliers manufacture for others may affect their ability or willingness to deliver components to us in a timely manner;</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our third-party manufacturers and suppliers may wish to discontinue supplying components or services to us for risk management reasons;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not be able to find new or alternative components or reconfigure our system and manufacturing processes in a timely manner if the necessary components become unavailable; and</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our third-party manufacturers and suppliers may encounter financial hardships unrelated to our demand, which could inhibit their ability to fulfill our orders and meet our requirements.</w:t>
      </w:r>
    </w:p>
    <w:p>
      <w:pPr>
        <w:pStyle w:val="TextBody"/>
        <w:spacing w:lineRule="auto" w:line="276" w:before="240" w:after="240"/>
        <w:ind w:left="0" w:right="0" w:firstLine="495"/>
        <w:jc w:val="both"/>
        <w:rPr/>
      </w:pPr>
      <w:r>
        <w:rPr>
          <w:rFonts w:ascii="Times New Roman;sans-serif" w:hAnsi="Times New Roman;sans-serif"/>
          <w:b w:val="false"/>
          <w:color w:val="000000"/>
          <w:sz w:val="20"/>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r>
        <w:rPr>
          <w:color w:val="000000"/>
        </w:rPr>
        <w:t> </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have difficulty obtaining similar components from other suppliers that are acceptable to the FDA, our Notified Body and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each of our third-party suppliers operates at a facility in a single location and substantially all of our inventory of component supplies and finished goods is held at these locations. A local outbreak of COVID-19 cases,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encounter problems or delays in the assembly of our products or fail to meet certain regulatory requirements which could result in an adverse effect on our business and financial results.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pStyle w:val="TextBody"/>
        <w:spacing w:lineRule="auto" w:line="276" w:before="240" w:after="240"/>
        <w:ind w:left="0" w:right="0" w:hanging="450"/>
        <w:rPr/>
      </w:pPr>
      <w:r>
        <w:rPr>
          <w:color w:val="000000"/>
        </w:rPr>
        <w:t>•    </w:t>
      </w:r>
      <w:r>
        <w:rPr>
          <w:rFonts w:ascii="Times New Roman;sans-serif" w:hAnsi="Times New Roman;sans-serif"/>
          <w:b w:val="false"/>
          <w:color w:val="000000"/>
          <w:sz w:val="20"/>
        </w:rPr>
        <w:t>managing production yields;</w:t>
      </w:r>
      <w:r>
        <w:rPr>
          <w:color w:val="000000"/>
        </w:rPr>
        <w:t> </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maintaining quality control and assurance;</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providing component and service availability;</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maintaining adequate control policies and procedures;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hiring and retaining qualified personnel;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complying with state, federal, and foreign regulations.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satisfy commercial demand for our products due to our inability to assemble and test, our ability to generate revenue would be impaired, market acceptance of our products could be adversely affected and customers may instead purchase or use our competitors’ products.</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do not enhance and broaden our product offerings through our research and development efforts, we may be unable to compete effectively.</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increase our market share in the sacroiliac joint fusion and related markets,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properly identify and anticipate surgeon and patient needs;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develop and introduce new products or product enhancements in a timely manner;</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create sufficient product differentiation to expand overall market share and minimize cannibalization of existing product markets;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adequately protect our intellectual property and avoid infringing upon the intellectual property rights of third parties;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demonstrate the safety and effectiveness of new products; and</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obtain the necessary domestic and international regulatory clearances or approvals and CE Certificates of Conformity for new products or product enhancements.</w:t>
      </w:r>
    </w:p>
    <w:p>
      <w:pPr>
        <w:pStyle w:val="HorizontalLine"/>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jc w:val="both"/>
        <w:rPr/>
      </w:pPr>
      <w:r>
        <w:rPr/>
      </w:r>
    </w:p>
    <w:p>
      <w:pPr>
        <w:pStyle w:val="TextBody"/>
        <w:spacing w:lineRule="auto" w:line="276" w:before="0" w:after="0"/>
        <w:ind w:left="0" w:right="0" w:firstLine="495"/>
        <w:jc w:val="both"/>
        <w:rPr/>
      </w:pPr>
      <w:r>
        <w:rPr>
          <w:rFonts w:ascii="Times New Roman;sans-serif" w:hAnsi="Times New Roman;sans-serif"/>
          <w:b w:val="false"/>
          <w:color w:val="000000"/>
          <w:sz w:val="20"/>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w:t>
      </w:r>
      <w:r>
        <w:rPr>
          <w:color w:val="000000"/>
        </w:rPr>
        <w:t xml:space="preserve"> </w:t>
      </w:r>
      <w:r>
        <w:rPr>
          <w:rFonts w:ascii="Times New Roman;sans-serif" w:hAnsi="Times New Roman;sans-serif"/>
          <w:b w:val="false"/>
          <w:color w:val="000000"/>
          <w:sz w:val="20"/>
        </w:rPr>
        <w:t>In some cases, following a successful product development effort, we may need to invest substantial resources in surgical instrumentation and implant inventory, prior to launch of the product, and before we understand the demand for such product.</w:t>
      </w:r>
      <w:r>
        <w:rPr>
          <w:color w:val="000000"/>
        </w:rPr>
        <w:t xml:space="preserve"> </w:t>
      </w:r>
      <w:r>
        <w:rPr>
          <w:rFonts w:ascii="Times New Roman;sans-serif" w:hAnsi="Times New Roman;sans-serif"/>
          <w:b w:val="false"/>
          <w:color w:val="000000"/>
          <w:sz w:val="20"/>
        </w:rPr>
        <w:t>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maintain adequate levels of inventory, the failure of which could consume our resources and reduce our cash flows.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need to maintain adequate levels of inventory, we are subject to the risk of inventory obsolescence. Many of our products come in sets, which feature components in a variety of sizes so that the implant or device may be chosen for size based on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pStyle w:val="TextBody"/>
        <w:spacing w:before="0" w:after="0"/>
        <w:ind w:left="0" w:right="0" w:firstLine="495"/>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size and future growth in the market for minimally invasive sacroiliac fusion performed with a lateral approach, such as the iFuse procedure,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not aware of an independent third-party study that reliably reports the potential market size for minimally invasive sacroiliac fusion performed using a lateral approach or cost savings as a result of the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results of operations could suffer if we are unable to manage our international business effectively.</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U.S., including the Office of Foreign Asset Control of the U.S. Treasury. Any failure to comply with applicable legal and regulatory obligations in the U.S.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pStyle w:val="HorizontalLine"/>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jc w:val="both"/>
        <w:rPr/>
      </w:pPr>
      <w:r>
        <w:rPr/>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some of the countries in which we sell or plan to sell our products are, to some degree, subject to various risks, including:</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exposure to different legal and regulatory standards;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lack of stringent protection of intellectual property;</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inability of the local healthcare system to absorb prices for our product that would enable our business to become profitable in those markets;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obstacles to obtaining domestic and foreign export, import, and other governmental approvals, permits, and licenses and compliance with foreign laws;</w:t>
      </w:r>
    </w:p>
    <w:p>
      <w:pPr>
        <w:pStyle w:val="TextBody"/>
        <w:spacing w:lineRule="auto" w:line="276" w:before="240" w:after="240"/>
        <w:ind w:left="0" w:right="0" w:hanging="450"/>
        <w:rPr/>
      </w:pPr>
      <w:r>
        <w:rPr>
          <w:color w:val="000000"/>
        </w:rPr>
        <w:t>•</w:t>
      </w:r>
      <w:r>
        <w:rPr>
          <w:rFonts w:ascii="Times New Roman;sans-serif" w:hAnsi="Times New Roman;sans-serif"/>
          <w:b w:val="false"/>
          <w:color w:val="000000"/>
          <w:sz w:val="20"/>
        </w:rPr>
        <w:t>lower average selling prices of our implants in most foreign markets;</w:t>
      </w:r>
    </w:p>
    <w:p>
      <w:pPr>
        <w:pStyle w:val="TextBody"/>
        <w:spacing w:lineRule="auto" w:line="276" w:before="240" w:after="240"/>
        <w:ind w:left="0" w:right="0" w:hanging="450"/>
        <w:rPr/>
      </w:pPr>
      <w:r>
        <w:rPr>
          <w:color w:val="000000"/>
        </w:rPr>
        <w:t>•</w:t>
      </w:r>
      <w:r>
        <w:rPr>
          <w:rFonts w:ascii="Times New Roman;sans-serif" w:hAnsi="Times New Roman;sans-serif"/>
          <w:b w:val="false"/>
          <w:color w:val="000000"/>
          <w:sz w:val="20"/>
        </w:rPr>
        <w:t>reliance on a more concentrated surgeon base in international markets due to the surgeon acquisition costs relative to the selling price of our implants;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potentially adverse tax consequences and the complexities of foreign value-added tax systems;</w:t>
      </w:r>
    </w:p>
    <w:p>
      <w:pPr>
        <w:pStyle w:val="TextBody"/>
        <w:spacing w:lineRule="auto" w:line="276" w:before="240" w:after="240"/>
        <w:ind w:left="0" w:right="0" w:hanging="450"/>
        <w:rPr/>
      </w:pPr>
      <w:r>
        <w:rPr>
          <w:color w:val="000000"/>
        </w:rPr>
        <w:t>•    </w:t>
      </w:r>
      <w:r>
        <w:rPr>
          <w:rFonts w:ascii="Times New Roman;sans-serif" w:hAnsi="Times New Roman;sans-serif"/>
          <w:b w:val="false"/>
          <w:color w:val="000000"/>
          <w:sz w:val="20"/>
        </w:rPr>
        <w:t>adverse changes in tariffs and trade restrictions;</w:t>
      </w:r>
      <w:r>
        <w:rPr>
          <w:color w:val="000000"/>
        </w:rPr>
        <w:t> </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limitations on the repatriation of earnings;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difficulties in staffing and managing foreign operations;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insufficient numbers of patients requiring procedures that use our products;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transportation delays and difficulties of managing international distribution channels;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longer collection periods and difficulties in collecting receivables from foreign entities;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increased financing costs;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currency risks;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political, social, and economic instability and increased security concerns.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risks may limit or disrupt our expansion, restrict the movement of funds or result in the deprivation of contractual rights or the taking of property by nationalization or expropriation without fair compensation.</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In the future our products may become obsolete, which would negatively affect operations and financial condition.</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development involves a high degree of risk and there can be no assurance that our new product development efforts will result in any commercially successful products.</w:t>
      </w:r>
    </w:p>
    <w:p>
      <w:pPr>
        <w:pStyle w:val="HorizontalLine"/>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jc w:val="both"/>
        <w:rPr/>
      </w:pPr>
      <w:r>
        <w:rPr/>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experience significant disruptions in our information technology systems, our business, results of operations, and financial condition could be adversely affected.</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efficient operation of our business depends on our information technology systems. We rely on our information technology systems to effectively manage:</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sales and marketing, accounting, and financial functions;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customer relationship management;</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inventory management;</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compliance and regulatory reporting requirements;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engineering and product development tasks;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our research and development data.</w:t>
      </w:r>
    </w:p>
    <w:p>
      <w:pPr>
        <w:pStyle w:val="TextBody"/>
        <w:spacing w:lineRule="auto" w:line="276" w:before="240" w:after="24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information technology systems are vulnerable to damage or interruption from:</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earthquakes, fires, floods, and other natural disasters;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terrorist attacks and attacks by computer viruses or hackers or internal or external breaches of our cybersecurity;</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power losses; and</w:t>
      </w:r>
    </w:p>
    <w:p>
      <w:pPr>
        <w:pStyle w:val="TextBody"/>
        <w:spacing w:lineRule="auto" w:line="276" w:before="240" w:after="240"/>
        <w:ind w:left="0" w:right="0" w:hanging="450"/>
        <w:rPr/>
      </w:pPr>
      <w:r>
        <w:rPr>
          <w:color w:val="000000"/>
        </w:rPr>
        <w:t>•    </w:t>
      </w:r>
      <w:r>
        <w:rPr>
          <w:rFonts w:ascii="Times New Roman;sans-serif" w:hAnsi="Times New Roman;sans-serif"/>
          <w:b w:val="false"/>
          <w:color w:val="000000"/>
          <w:sz w:val="20"/>
        </w:rPr>
        <w:t>computer systems, internet, telecommunications, or data network failures.</w:t>
      </w:r>
      <w:r>
        <w:rPr>
          <w:color w:val="000000"/>
        </w:rPr>
        <w:t> </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Like other public companies, we have in the past, and in the future, could be subject to instances of phishing attacks on our email systems, other cyber-attacks, industrial espionage, insider threats, computer denial-of-service attacks, computer viruses, ransomware and other malware, wire fraud or other cyber incidents. The techniques used to obtain unauthorized access, or to sabotage systems, are becoming more sophisticated, frequent and adaptive, and therefore we may be unable to anticipate these techniques or to implement adequate preventative measures. Any security breach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In addition, the cost and operational consequences of implementing further data protection or data restoration measures could be significant.</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pStyle w:val="HorizontalLine"/>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jc w:val="both"/>
        <w:rPr/>
      </w:pPr>
      <w:r>
        <w:rPr/>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problems assimilating the purchased technologies, products, or business operations;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issues maintaining uniform standards, procedures, controls, and policies;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unanticipated costs and liabilities associated with acquisitions;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diversion of management’s attention from our core business;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adverse effects on existing business relationships with suppliers and customers;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risks associated with entering new markets in which we have limited or no experience;</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potential loss of key employees of acquired businesses;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increased legal and accounting compliance costs.</w:t>
      </w:r>
    </w:p>
    <w:p>
      <w:pPr>
        <w:pStyle w:val="TextBody"/>
        <w:spacing w:lineRule="auto" w:line="276" w:before="0" w:after="0"/>
        <w:ind w:left="0" w:right="0" w:firstLine="495"/>
        <w:jc w:val="both"/>
        <w:rPr/>
      </w:pPr>
      <w:r>
        <w:rPr>
          <w:rFonts w:ascii="Times New Roman;sans-serif" w:hAnsi="Times New Roman;sans-serif"/>
          <w:b w:val="false"/>
          <w:color w:val="000000"/>
          <w:sz w:val="20"/>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third-party sales agents and resellers.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r>
        <w:rPr>
          <w:color w:val="000000"/>
        </w:rPr>
        <w:t xml:space="preserve"> </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enter into collaborations, in-licensing arrangements, joint ventures, strategic alliances, or partnerships with third-parties that may not result in the development of commercially viable products or the generation of significant future revenue.</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w:t>
      </w:r>
    </w:p>
    <w:p>
      <w:pPr>
        <w:pStyle w:val="HorizontalLine"/>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spacing w:before="0" w:after="0"/>
        <w:jc w:val="both"/>
        <w:rPr/>
      </w:pPr>
      <w:r>
        <w:rPr/>
      </w:r>
    </w:p>
    <w:p>
      <w:pPr>
        <w:pStyle w:val="TextBody"/>
        <w:spacing w:lineRule="auto" w:line="276" w:before="240" w:after="24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Risks Related to Our Legal and Regulatory Environment</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our suppliers, and our third-party manufacturers are subject to extensive governmental regulation both in the U.S. and abroad, and failure to comply with applicable requirements could cause our business to suffer.</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design, development, and manufacturing;</w:t>
      </w:r>
    </w:p>
    <w:p>
      <w:pPr>
        <w:pStyle w:val="TextBody"/>
        <w:spacing w:lineRule="auto" w:line="276" w:before="240" w:after="240"/>
        <w:ind w:left="0" w:right="0" w:hanging="450"/>
        <w:rPr/>
      </w:pPr>
      <w:r>
        <w:rPr>
          <w:color w:val="000000"/>
        </w:rPr>
        <w:t>•    </w:t>
      </w:r>
      <w:r>
        <w:rPr>
          <w:rFonts w:ascii="Times New Roman;sans-serif" w:hAnsi="Times New Roman;sans-serif"/>
          <w:b w:val="false"/>
          <w:color w:val="000000"/>
          <w:sz w:val="20"/>
        </w:rPr>
        <w:t>testing, labeling, content, and language of instructions for use and storage;</w:t>
      </w:r>
      <w:r>
        <w:rPr>
          <w:color w:val="000000"/>
        </w:rPr>
        <w:t> </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clinical trials;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product safety;</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marketing, sales, and distribution;</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premarket clearance and approval;</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conformity assessment procedures;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record keeping procedures;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advertising and promotion;</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compliance with good manufacturing practices requirements;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recalls and field safety corrective actions;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post-market surveillance, including reporting of deaths or serious injuries and malfunctions that, if they were to recur, could lead to death or serious injury;</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post-market approval studies;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product import and export.</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pStyle w:val="HorizontalLine"/>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jc w:val="both"/>
        <w:rPr/>
      </w:pPr>
      <w:r>
        <w:rPr/>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Before we can market or sell a new regulated product or make a significant modification to an existing product in the U.S., with limited exceptions, we must obtain either clearance under Section 510(k) of the FDCA for Class II devices or approval of a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U.S.,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pStyle w:val="TextBody"/>
        <w:spacing w:lineRule="auto" w:line="276" w:before="240" w:after="24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or approval of a device for many reasons, including:</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we may not be able to demonstrate to the FDA’s satisfaction that our products are safe and effective for their intended uses;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data from our pre-clinical studies and clinical trials may be insufficient to support clearance or approval, where required;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the manufacturing process or facilities we use may not meet applicable requirements.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delay in, or failure to receive or maintain, clearance or approval for our products under development could prevent us from generating revenue from these products or achieving profitability.</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EEA, a single regulatory approval process exists, and conformity with its requirements is required to affix a CE mark to our medical devices, without which they cannot be marketed or sold in the EEA. To obtain a CE mark, defined products must meet minimum standards of performance, safety, and quality, and then, according to their classification, undergo a conformity assessment procedure. Except for low risk medical devices, a conformity assessment procedure requires the intervention of a third-party organization designated by the competent authorities of a EEA country, known as a Notified Body. The competent authorities of the E.U. countries separately regulate the clinical research for medical devices and the market surveillance of products once they are placed on the market. A new Medical Device Regulation was published by the E.U. in 2017 and became effective on May 26, 2021. Medical devices marketed in the EEA will require certification according to these new requirements, except that devices with valid CE certificates, issued pursuant to the Medical Device Directives before May 2020, can be placed on the market until May 2024. The new EU MDR includes significant additional premarket and post-market requirements. Penalties for regulatory non-compliance could be severe, including fines and revocation or suspension of a company’s business license, mandatory price reductions and criminal sanctions.</w:t>
      </w:r>
    </w:p>
    <w:p>
      <w:pPr>
        <w:pStyle w:val="HorizontalLine"/>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jc w:val="both"/>
        <w:rPr/>
      </w:pPr>
      <w:r>
        <w:rPr/>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other regulatory authorities, including foreign authorities, have broad enforcement powers. Regulatory enforcement or inquiries, or other increased scrutiny on us, could dissuade some surgeons from using our products and adversely affect our reputation and the perceived safety and effectiveness of our products.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regulations could jeopardize our ability to sell our products and result in enforcement actions such as: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warning letters;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fines;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injunctions;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civil penalties;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termination of distribution;</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recalls or seizures of products;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delays in the introduction of products into the market;</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total or partial suspension of production;</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facility closures;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refusal of the FDA or our Notified Body or other regulator to grant future clearances or approvals or to issue CE Certificates of Conformity;</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withdrawals, variation, or suspensions of current clearances or approvals and CE Certificates of Conformity, resulting in prohibitions on sales of our products;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in the most serious cases, criminal penalties.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 </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numerous U.S. federal and state laws pertaining to healthcare fraud and abuse, including anti-kickback and false claims laws. Our relationships and our third-party sales agents and resellers’ relationships with surgeons, other healthcare professionals, and hospitals are subject to scrutiny under these laws. For example, we are subject to the federal health care Anti-Kickback Statute, the federal civil False Claims Act, the Health Insurance Portability and Accountability Act (“HIPAA”) and the </w:t>
      </w:r>
    </w:p>
    <w:p>
      <w:pPr>
        <w:pStyle w:val="HorizontalLine"/>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Physician Payment Sunshine Act, each of which is described in detail in Item 1 Business - Healthcare Fraud and Abuse” and “-Data Privacy and Security Laws” in our Annual Report on Form 10-K filed with the SEC on March 2, 2023. </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 </w:t>
      </w:r>
    </w:p>
    <w:p>
      <w:pPr>
        <w:pStyle w:val="TextBody"/>
        <w:spacing w:before="0" w:after="0"/>
        <w:ind w:left="0" w:right="0" w:firstLine="495"/>
        <w:jc w:val="both"/>
        <w:rPr/>
      </w:pPr>
      <w:r>
        <w:rPr/>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pStyle w:val="TextBody"/>
        <w:spacing w:before="0" w:after="0"/>
        <w:ind w:left="0" w:right="0" w:firstLine="495"/>
        <w:jc w:val="both"/>
        <w:rPr/>
      </w:pPr>
      <w:r>
        <w:rPr/>
      </w:r>
    </w:p>
    <w:p>
      <w:pPr>
        <w:pStyle w:val="TextBody"/>
        <w:spacing w:lineRule="auto" w:line="276"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agreements and royalty agreements with physicians and healthcare executives, including some who are customers. We also engage in co-marketing arrangements with certain surgeons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pStyle w:val="TextBody"/>
        <w:spacing w:before="0" w:after="0"/>
        <w:ind w:left="0" w:right="0" w:firstLine="500"/>
        <w:jc w:val="both"/>
        <w:rPr/>
      </w:pPr>
      <w:r>
        <w:rPr/>
      </w:r>
    </w:p>
    <w:p>
      <w:pPr>
        <w:pStyle w:val="TextBody"/>
        <w:spacing w:lineRule="auto" w:line="276"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Various state and federal regulatory and enforcement agencies continue actively to investigate violations of health 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deferred or non-prosecution agreement,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pStyle w:val="TextBody"/>
        <w:spacing w:before="0" w:after="0"/>
        <w:ind w:left="0" w:right="0" w:firstLine="500"/>
        <w:jc w:val="both"/>
        <w:rPr/>
      </w:pPr>
      <w:r>
        <w:rPr/>
      </w:r>
    </w:p>
    <w:p>
      <w:pPr>
        <w:pStyle w:val="TextBody"/>
        <w:spacing w:lineRule="auto" w:line="276" w:before="0" w:after="0"/>
        <w:ind w:left="0" w:right="0" w:firstLine="500"/>
        <w:jc w:val="both"/>
        <w:rPr/>
      </w:pPr>
      <w:r>
        <w:rPr>
          <w:rFonts w:ascii="Times New Roman;sans-serif" w:hAnsi="Times New Roman;sans-serif"/>
          <w:b w:val="false"/>
          <w:color w:val="000000"/>
          <w:sz w:val="20"/>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r>
        <w:rPr>
          <w:color w:val="000000"/>
        </w:rPr>
        <w:t xml:space="preserve"> </w:t>
      </w:r>
    </w:p>
    <w:p>
      <w:pPr>
        <w:pStyle w:val="TextBody"/>
        <w:spacing w:lineRule="auto" w:line="276" w:before="240" w:after="240"/>
        <w:rPr>
          <w:rFonts w:ascii="Times New Roman;sans-serif" w:hAnsi="Times New Roman;sans-serif"/>
          <w:b/>
          <w:i/>
          <w:color w:val="000000"/>
          <w:sz w:val="20"/>
        </w:rPr>
      </w:pPr>
      <w:r>
        <w:rPr>
          <w:rFonts w:ascii="Times New Roman;sans-serif" w:hAnsi="Times New Roman;sans-serif"/>
          <w:b/>
          <w:i/>
          <w:color w:val="000000"/>
          <w:sz w:val="20"/>
        </w:rPr>
        <w:t>Our failure to adequately protect personal information in compliance with evolving legal requirements could harm our business.</w:t>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legally protected personally identifiable information. We collect this kind of information for billing, reimbursement support, marketing purposes, post-marketing safety vigilance, servicing potential warranty claims and during the course of clinical trials. In doing so, we are subject to various federal, state and foreign laws that protect the confidentiality of certain patient health information, including patient medical records, and restrict the use and disclosure of patient health information by healthcare providers, such as HIPAA in the U.S. and regulations in the European Union (“EU”), which are described in detail in Item 1 Business - Data Privacy and Security Laws” in our Annual Report on Form 10-K filed with the SEC on March 2, 2023.</w:t>
      </w:r>
    </w:p>
    <w:p>
      <w:pPr>
        <w:pStyle w:val="TextBody"/>
        <w:spacing w:before="0" w:after="0"/>
        <w:ind w:left="0" w:right="0" w:firstLine="495"/>
        <w:jc w:val="both"/>
        <w:rPr/>
      </w:pPr>
      <w:r>
        <w:rPr/>
      </w:r>
    </w:p>
    <w:p>
      <w:pPr>
        <w:pStyle w:val="TextBody"/>
        <w:spacing w:lineRule="auto" w:line="276" w:before="0" w:after="0"/>
        <w:ind w:left="0" w:right="0" w:firstLine="495"/>
        <w:jc w:val="both"/>
        <w:rPr/>
      </w:pPr>
      <w:r>
        <w:rPr>
          <w:rFonts w:ascii="Times New Roman;sans-serif" w:hAnsi="Times New Roman;sans-serif"/>
          <w:b w:val="false"/>
          <w:color w:val="000000"/>
          <w:sz w:val="20"/>
        </w:rPr>
        <w:t>The California Consumer Privacy Act, which became effective on January 1, 2020, as amended by the California Privacy Rights Act (“CCPA”), requires a broad range of businesses to honor the requests of California residents to access and require deletion of their personal information, opt out of certain personal information sharing, receive detailed information about how their personal information is used and shared, correct inaccurate personal information, and limit the use and disclosure of certain sensitive personal information. The CCPA provides for civil penalties of up to $7,500 for intentional violations, and a private right of action for data breaches that allows private plaintiffs to seek the greater of actual damages or statutory damages of up to $750 per consumer per data breach.</w:t>
      </w:r>
      <w:r>
        <w:rPr>
          <w:color w:val="000000"/>
        </w:rPr>
        <w:t xml:space="preserve"> </w:t>
      </w:r>
      <w:r>
        <w:rPr>
          <w:rFonts w:ascii="Times New Roman;sans-serif" w:hAnsi="Times New Roman;sans-serif"/>
          <w:b w:val="false"/>
          <w:color w:val="000000"/>
          <w:sz w:val="20"/>
        </w:rPr>
        <w:t xml:space="preserve">These remedies are expected to increase data breach litigation. Although the CCPA includes exemptions for certain clinical trials data, and protected health information governed by HIPAA, the law may increase our compliance costs and potential liability </w:t>
      </w:r>
    </w:p>
    <w:p>
      <w:pPr>
        <w:pStyle w:val="HorizontalLine"/>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other personal information we collect about California residents. Our compliance costs and potential liability with respect to personal information may also increase in response to other states adopting and considering initiative regarding protection of personal information. In March 2021, Virginia passed the Consumer Data Protection Act (“CDPA”) which will take effect on January 1, 2023. Virginia is the second state to pass comprehensive privacy litigation. Colorado passed the Colorado Privacy Act (“CPA”) on July 7, 2021 with enforcement to begin on July 1, 2023. In 2022, both Utah and Connecticut also enacted comprehensive data privacy legislation. While these laws are similar in certain respects, the laws differ and compliance with one law does not equate to compliance with the other laws. Several other states (including Washington, New York, and Minnesota) also are considering comprehensive privacy legislation that could further complicate and increase the cost of complying with various state privacy laws. If states pass a patchwork of privacy laws, this also could increase pressure on the U.S. Congress to harmonize privacy laws through federal legislation.</w:t>
      </w:r>
    </w:p>
    <w:p>
      <w:pPr>
        <w:pStyle w:val="TextBody"/>
        <w:spacing w:before="0" w:after="0"/>
        <w:ind w:left="0" w:right="0" w:firstLine="495"/>
        <w:jc w:val="both"/>
        <w:rPr/>
      </w:pPr>
      <w:r>
        <w:rPr/>
      </w:r>
    </w:p>
    <w:p>
      <w:pPr>
        <w:pStyle w:val="TextBody"/>
        <w:spacing w:lineRule="auto" w:line="268" w:before="0" w:after="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could be in the future, subject to data breaches. 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Evolving and changing definitions of personal data and personal information, within the European Union, the U.S.,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pStyle w:val="TextBody"/>
        <w:spacing w:lineRule="auto" w:line="276" w:before="240" w:after="240"/>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non-U.S. operations.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pStyle w:val="TextBody"/>
        <w:spacing w:before="0" w:after="0"/>
        <w:ind w:left="0" w:right="0" w:firstLine="495"/>
        <w:jc w:val="both"/>
        <w:rPr/>
      </w:pPr>
      <w:r>
        <w:rPr/>
      </w:r>
    </w:p>
    <w:p>
      <w:pPr>
        <w:pStyle w:val="TextBody"/>
        <w:spacing w:lineRule="auto" w:line="276" w:before="0" w:after="0"/>
        <w:ind w:left="0" w:right="0" w:firstLine="495"/>
        <w:jc w:val="both"/>
        <w:rPr/>
      </w:pPr>
      <w:r>
        <w:rPr>
          <w:rFonts w:ascii="Times New Roman;sans-serif" w:hAnsi="Times New Roman;sans-serif"/>
          <w:b w:val="false"/>
          <w:color w:val="000000"/>
          <w:sz w:val="20"/>
        </w:rPr>
        <w:t>Furthermore, we are subject to anti-boycott laws, anti-money laundering laws, and the export controls and economic embargo rules and regulations of the U.S.,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r>
        <w:rPr>
          <w:color w:val="000000"/>
        </w:rPr>
        <w:t xml:space="preserve"> </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any product for which we obtain regulatory clearance or approval, or a CE Certificate of Conformity,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pStyle w:val="HorizontalLine"/>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jc w:val="both"/>
        <w:rPr/>
      </w:pPr>
      <w:r>
        <w:rPr/>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untitled letters, warning letters, fines, injunctions, consent, and civil penalties;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unanticipated expenditures to address or defend such actions;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customer notifications for repair, replacement, refunds;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recall, detention, or seizure of our products;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operating restrictions or partial suspension or total shutdown of production;</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refusing or delaying our requests for 510(k) clearance or premarket approval and conformity assessments of new products or modified products;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limitations on the intended uses for which the product may be marketed;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operating restrictions;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withdrawing 510(k) clearances or PMA approvals that have already been granted;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suspension, variation or withdrawal of CE Certificates of Conformity;</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refusal to grant export approval for our products;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criminal prosecution.</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 Any of these actions would harm our reputation and cause our product sales and profitability to suffer and may prevent us from generating revenue.</w:t>
      </w:r>
    </w:p>
    <w:p>
      <w:pPr>
        <w:pStyle w:val="HorizontalLine"/>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jc w:val="both"/>
        <w:rPr/>
      </w:pPr>
      <w:r>
        <w:rPr/>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Our employees, independent contractors, consultants, manufacturers, and third-party sales agents and resellers may engage in misconduct or other improper activities, relating to regulatory standards and requirements. </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consultants, manufacturers, third-party sales agents and resellers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enforcement action, including fines, penalties or injunctions, if we are determined to be engaging in the off-label promotion of our products.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specific surgical procedures for which our products are marketed fall within the scope of the surgical applications that have been cleared by the FDA and our notified body. However, if the FDA or an equivalent third country authority determines that our promotional materials or training constitutes promotion of an off-label use, it could request that we modify our training or promotional materials, require us to stop promoting our products for those specific procedures until we obtain FDA or third country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required to report certain malfunctions, deaths, and serious injuries associated with our products, which can result in voluntary corrective actions or agency enforcement actions.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FDA’s medical device reporting, regulations, and equivalent rules of other countries we are required to report to the FDA or a similar authority in such other country, any information that our product may have caused or contributed to a death or serious injury or in which our product malfunctioned and, if the malfunction were to recur, would likely cause or contribute to death or serious injury. In the EEA, we must report serious incidents and field safety corrective actions through the Commission’s electronic system on vigilance and post-market surveillance, which reports are transmitted to the competent authority of the Member State in which the incident occurred. </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report these events to the FDA or applicable authority in another country within the required timeframes, or at all, FDA, or the applicable authority in the other country could take enforcement action against us. Any such adverse event involving our products or repeated product malfunctions may result in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pStyle w:val="HorizontalLine"/>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jc w:val="both"/>
        <w:rPr/>
      </w:pPr>
      <w:r>
        <w:rPr/>
      </w:r>
    </w:p>
    <w:p>
      <w:pPr>
        <w:pStyle w:val="TextBody"/>
        <w:spacing w:lineRule="auto" w:line="276" w:before="240" w:after="240"/>
        <w:ind w:left="0" w:right="0" w:firstLine="495"/>
        <w:jc w:val="both"/>
        <w:rPr/>
      </w:pPr>
      <w:r>
        <w:rPr>
          <w:rFonts w:ascii="Times New Roman;sans-serif" w:hAnsi="Times New Roman;sans-serif"/>
          <w:b w:val="false"/>
          <w:color w:val="000000"/>
          <w:sz w:val="20"/>
        </w:rPr>
        <w:t>Any adverse event involving our products, whether in the U.S.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r>
        <w:rPr>
          <w:color w:val="000000"/>
        </w:rPr>
        <w:t> </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sales agents or resellers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EEA, we must inform the Notified Body that carried out the conformity assessment of the medical devices we market or sell in the EEA of any planned substantial changes to our quality system, manufacturing process, or changes to our devices which could affect compliance with the essential requirements or the devices’ intended use. The Notified Body will then assess the changes </w:t>
      </w:r>
    </w:p>
    <w:p>
      <w:pPr>
        <w:pStyle w:val="HorizontalLine"/>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verify whether they affect the products’ conformity with Essential Requirements and related applicable laws. There can be no assurances that the assessment will be favorable and that the Notified Body will attest to our compliance with the essential requirements, which will prevent us from selling our products in the EEA. Moreover, any substantial changes that take place in the coming years may impact the continuing effectiveness of our CE Certificates of Conformity that were issued on the basis of the Medical Device Directive.</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Certificates of Conformity for our new products would have an adverse effect on our ability to expand our business.</w:t>
      </w:r>
    </w:p>
    <w:p>
      <w:pPr>
        <w:pStyle w:val="TextBody"/>
        <w:spacing w:lineRule="auto" w:line="276" w:before="240" w:after="240"/>
        <w:rPr>
          <w:rFonts w:ascii="Times New Roman;sans-serif" w:hAnsi="Times New Roman;sans-serif"/>
          <w:b/>
          <w:i/>
          <w:color w:val="000000"/>
          <w:sz w:val="20"/>
        </w:rPr>
      </w:pPr>
      <w:r>
        <w:rPr>
          <w:rFonts w:ascii="Times New Roman;sans-serif" w:hAnsi="Times New Roman;sans-serif"/>
          <w:b/>
          <w:i/>
          <w:color w:val="000000"/>
          <w:sz w:val="20"/>
        </w:rPr>
        <w:t>We may fail to obtain or maintain foreign regulatory approvals to market our products in other countries.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Clinical trials necessary to support a De Novo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or new indications for use for existing products, and will adversely affect our business, operating results and prospects.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Initiating and completing clinical trials necessary to support a De Novo 510(k) or PMA application for our possible future products or to support a conformity assessment procedure for a new CE Certificate of Conformity would be time consuming and expensive and the outcome uncertain. Moreover, the results of early clinical trials are not necessarily predictive of future results, and any product, or new indication for use, we advance into clinical trials may not have favorable results in later clinical trials.</w:t>
      </w:r>
    </w:p>
    <w:p>
      <w:pPr>
        <w:pStyle w:val="HorizontalLine"/>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jc w:val="both"/>
        <w:rPr/>
      </w:pPr>
      <w:r>
        <w:rPr/>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and support staff, the proximity of patients to clinical sites, and the ability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For example, COVID-19 caused substantial delays in site initiation and patient enrollment in our SILVIA trial designed to assess the safety and efficacy of our Bedrock technique.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The results of our clinical trials may not support our product candidate claims or may result in the occurrence of adverse events.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Moreover, the new Medical Device Regulation entered into application on May 26, 2021.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Leadership, personnel and structural changes within the FDA as well as recent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Another example can be found in the EEA. The Medical Devices Regulation (“MDR”) entered into application on May 26, 2021. MDR introduced substantial changes to the obligations with which medical device manufacturers must comply in the EEA. Examples of the changes which will be introduced by these regulations include the following:</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additional scrutiny during the conformity assessment procedure for high risk medical devices;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strengthening of the clinical data requirements related to medical devices;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strengthening of the designation and monitoring processes governing notified bodies;</w:t>
      </w:r>
    </w:p>
    <w:p>
      <w:pPr>
        <w:pStyle w:val="HorizontalLine"/>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jc w:val="both"/>
        <w:rPr/>
      </w:pPr>
      <w:r>
        <w:rPr/>
      </w:r>
    </w:p>
    <w:p>
      <w:pPr>
        <w:pStyle w:val="TextBody"/>
        <w:spacing w:lineRule="auto" w:line="276" w:before="240" w:after="240"/>
        <w:ind w:left="0" w:right="0" w:hanging="450"/>
        <w:jc w:val="both"/>
        <w:rPr/>
      </w:pPr>
      <w:r>
        <w:rPr>
          <w:color w:val="000000"/>
        </w:rPr>
        <w:t>•    </w:t>
      </w:r>
      <w:r>
        <w:rPr>
          <w:rFonts w:ascii="Times New Roman;sans-serif" w:hAnsi="Times New Roman;sans-serif"/>
          <w:b w:val="false"/>
          <w:color w:val="000000"/>
          <w:sz w:val="20"/>
        </w:rPr>
        <w:t>the obligation for manufacturers and authorized representative to have a person responsible for regulatory compliance continuously at their disposal;</w:t>
      </w:r>
      <w:r>
        <w:rPr>
          <w:color w:val="000000"/>
        </w:rPr>
        <w:t> </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authorized representatives held legally responsible and liable for defective products placed on the EU market;</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increased traceability of medical devices following the introduction of a Unique Device Identification (“UDI”), system;</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new rules governing the reprocessing of medical devices; and</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increased transparency with the establishment of European database on medical devices (“EUDAMED”) III as information from several databases concerning economic operators, CE Certificates of Conformity, conformity assessment, clinical investigations, the UDI system, adverse event reporting and market surveillance would be available to the public.</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Medical Device Regulation also substantially impacts clinical investigations of medical devices. Among other things, it imposes specific obligations concerning incapacitated subjects, minors, pregnant or breastfeeding women and clinical investigations in emergency situations. In addition to detailed provisions concerning the authorization and conduct of clinical investigations, the Regulation imposes on non-EU sponsors a responsibility to appoint a legal representative established in the EU and an obligation on EU Member States to ensure that systems for compensation for any damage suffered by a subject resulting from participation in a clinical investigation conducted on their territory are in place and places on sponsors and investigators the obligation to ensure they make use of these systems.</w:t>
      </w:r>
    </w:p>
    <w:p>
      <w:pPr>
        <w:pStyle w:val="TextBody"/>
        <w:spacing w:before="0" w:after="0"/>
        <w:ind w:left="0" w:right="0" w:firstLine="495"/>
        <w:jc w:val="both"/>
        <w:rPr/>
      </w:pPr>
      <w:r>
        <w:rPr/>
      </w:r>
    </w:p>
    <w:p>
      <w:pPr>
        <w:pStyle w:val="TextBody"/>
        <w:spacing w:lineRule="auto" w:line="256" w:before="0" w:after="0"/>
        <w:ind w:left="0" w:right="0" w:firstLine="495"/>
        <w:jc w:val="both"/>
        <w:rPr/>
      </w:pPr>
      <w:r>
        <w:rPr>
          <w:rFonts w:ascii="Times New Roman;sans-serif" w:hAnsi="Times New Roman;sans-serif"/>
          <w:b w:val="false"/>
          <w:color w:val="000000"/>
          <w:sz w:val="20"/>
        </w:rPr>
        <w:t>Transition from the regulation of our products under the Medical Device Directive, and implementing legislation in each EU Member State, to regulation under the Medical Devices Regulation has required and will continue to require a substantial transition effort by us.</w:t>
      </w:r>
      <w:r>
        <w:rPr>
          <w:color w:val="000000"/>
        </w:rPr>
        <w:t xml:space="preserve"> </w:t>
      </w:r>
      <w:r>
        <w:rPr>
          <w:rFonts w:ascii="Times New Roman;sans-serif" w:hAnsi="Times New Roman;sans-serif"/>
          <w:b w:val="false"/>
          <w:color w:val="000000"/>
          <w:sz w:val="20"/>
        </w:rPr>
        <w:t xml:space="preserve">In addition, detail as to how certain aspects of the Medical Devices Regulation will be applied remains unclear. Failure to update our quality system and regulatory documentation could delay our transition to compliance with the Medical Devices Regulation and delay or prevent us from obtaining new CE Certificates of Conformity under the Regulation. Transition from compliance with the Medical Device Directive to the Medical Devices Regulation could result in disruption to our business in the EEA which could adversely affect our business, results of operation and financial condition. </w:t>
      </w:r>
    </w:p>
    <w:p>
      <w:pPr>
        <w:pStyle w:val="TextBody"/>
        <w:spacing w:before="0" w:after="0"/>
        <w:ind w:left="0" w:right="0" w:firstLine="495"/>
        <w:rPr/>
      </w:pPr>
      <w:r>
        <w:rPr/>
      </w:r>
    </w:p>
    <w:p>
      <w:pPr>
        <w:pStyle w:val="TextBody"/>
        <w:spacing w:lineRule="auto" w:line="25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changes to the membership of the European Union, such as the departure of the United Kingdom from the EU, may impact the regulatory requirements for the impacted countries and impair our business operations and our ability to market products in such countries. For example, pursuant to guidance issued by the UK Government as a result of the UK formally withdrawing from the European Union, the Medicines and Healthcare products Regulatory Agency (“MHRA”) became the standalone medicines and medical devices regulator for the UK as of January 1, 2021. A new mark referred to as “UKCA” (UK Conformity Assessed) has also been introduced and will replace the CE conformity mark. Although CE conformity marketing and certificates issued by Notified Bodies will continue to be recognized in the UK through June 2023, all medical devices must be registered with the MHRA as of January 1, 2021. Complying with this new regulatory framework will require us to invest in additional resources and could be expensive, time-consuming and disruptive to our existing operations in the UK.</w:t>
      </w:r>
    </w:p>
    <w:p>
      <w:pPr>
        <w:pStyle w:val="TextBody"/>
        <w:spacing w:lineRule="auto" w:line="276" w:before="240" w:after="240"/>
        <w:rPr>
          <w:rFonts w:ascii="Times New Roman;sans-serif" w:hAnsi="Times New Roman;sans-serif"/>
          <w:b/>
          <w:i/>
          <w:color w:val="000000"/>
          <w:sz w:val="20"/>
        </w:rPr>
      </w:pPr>
      <w:r>
        <w:rPr>
          <w:rFonts w:ascii="Times New Roman;sans-serif" w:hAnsi="Times New Roman;sans-serif"/>
          <w:b/>
          <w:i/>
          <w:color w:val="000000"/>
          <w:sz w:val="20"/>
        </w:rPr>
        <w:t>We may incur product liability losses, and insurance coverage may be inadequate or unavailable to cover these losses.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pStyle w:val="HorizontalLine"/>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jc w:val="both"/>
        <w:rPr/>
      </w:pPr>
      <w:r>
        <w:rPr/>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are subject to environmental laws and regulations that can impose significant costs and expose us to potential financial liabilities.</w:t>
      </w:r>
    </w:p>
    <w:p>
      <w:pPr>
        <w:pStyle w:val="TextBody"/>
        <w:spacing w:lineRule="auto" w:line="276" w:before="0" w:after="0"/>
        <w:ind w:left="0" w:right="0" w:firstLine="495"/>
        <w:jc w:val="both"/>
        <w:rPr/>
      </w:pPr>
      <w:r>
        <w:rPr>
          <w:rFonts w:ascii="Times New Roman;sans-serif" w:hAnsi="Times New Roman;sans-serif"/>
          <w:b w:val="false"/>
          <w:color w:val="000000"/>
          <w:sz w:val="20"/>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w:t>
      </w:r>
      <w:r>
        <w:rPr>
          <w:color w:val="000000"/>
        </w:rPr>
        <w:t xml:space="preserve"> </w:t>
      </w:r>
      <w:r>
        <w:rPr>
          <w:rFonts w:ascii="Times New Roman;sans-serif" w:hAnsi="Times New Roman;sans-serif"/>
          <w:b w:val="false"/>
          <w:color w:val="000000"/>
          <w:sz w:val="20"/>
        </w:rPr>
        <w:t>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pStyle w:val="TextBody"/>
        <w:spacing w:before="0" w:after="0"/>
        <w:ind w:left="0" w:right="0" w:firstLine="495"/>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Certain of our products are derived from human tissue and are or could be subject to additional regulations and requirements.</w:t>
      </w:r>
    </w:p>
    <w:p>
      <w:pPr>
        <w:pStyle w:val="TextBody"/>
        <w:spacing w:before="0" w:after="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iFuse Bone product is derived from human bone tissue, and as a result is subject to FDA and certain state regulations regarding human cells, tissues and cellular or tissue-based products, or HCT/Ps. To date, iFuse Bone is our only HCT/P product, and as a product regulated under Section 361 of the Public Health Service Act, we have not been required to file a 510(k) with respect to iFuse Bone. However, the FDA could require us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pStyle w:val="TextBody"/>
        <w:spacing w:lineRule="auto" w:line="276" w:before="240" w:after="24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spacing w:lineRule="auto" w:line="276" w:before="24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rely primarily on patent, copyright, trademark and trade secret laws, as well as confidentiality and nondisclosure agreements and other methods, to protect our proprietary technologies and know-how. As of March 31, 2023, we owned 52 issued U.S. patents and had 29 pending U.S. patent applications, and we owned 16 issued foreign patents and had 18 pending foreign patent applications. We have focused the majority of our foreign patent efforts in China, Europe, and Japan. Our current U.S. patents on iFuse, including the triangular shape, expire in November 2024. Competitors may market similar triangular shaped devices upon the expiration of the patents in late 2024. Our current U.S. patents on iFuse-3D, including the fenestrated design, expire in September 2035. Our foreign patents will expire between August 2025 and September 2035.</w:t>
      </w:r>
    </w:p>
    <w:p>
      <w:pPr>
        <w:pStyle w:val="TextBody"/>
        <w:spacing w:lineRule="auto" w:line="276" w:before="240" w:after="24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have 19 registered trademarks in the U.S. and have filed for four more. We have sought protection for at least two of these trademarks in 60 countries including the 27 European member countries of the Madrid Protocol.</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U.S. Even if patents are granted outside the U.S., effective enforcement in those countries may not be available. Since most of our issued patents are for the U.S.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our employees, our third-party sales agents or resellers have wrongfully used or disclosed alleged trade secrets of our competitors or are in breach of non-competition or non-solicitation agreements with our competitors.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medical device companies, including our competitors or potential competitors, in some cases until recently. Some of our third-party sales agents or resellers sell, or in the past have sold, products of our competitors. We may be subject to claims that we, our employees, our third-party sales agents or resellers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will depend in part on not infringing the patents or violating the other proprietary rights of third parties. Significant litigation regarding patent rights exists in our industry. Our competitors in both the U.S.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generally indemnify our customers and third-party sales agents and resellers with respect to infringement by our products of the proprietary rights of third parties. Third parties may assert infringement claims against our customers or third-party sales agents and resellers. These claims may require us to initiate or defend protracted and costly litigation on behalf of our customers or third-party sales agents and resellers, regardless of the merits of these claims. If any of these claims succeed, we may be forced to pay damages on behalf of our customers or third-party sales agents and resellers or may be required to obtain licenses to intellectual property owned by such third parties. If we cannot obtain all necessary licenses on commercially reasonable terms, our customers and third-party sales agents and resellers may be forced to stop using or selling our products.</w:t>
      </w:r>
    </w:p>
    <w:p>
      <w:pPr>
        <w:pStyle w:val="TextBody"/>
        <w:spacing w:lineRule="auto" w:line="276" w:before="240" w:after="240"/>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spacing w:lineRule="auto" w:line="276" w:before="240" w:after="240"/>
        <w:rPr>
          <w:rFonts w:ascii="Times New Roman;sans-serif" w:hAnsi="Times New Roman;sans-serif"/>
          <w:b/>
          <w:i/>
          <w:color w:val="000000"/>
          <w:sz w:val="20"/>
        </w:rPr>
      </w:pPr>
      <w:r>
        <w:rPr>
          <w:rFonts w:ascii="Times New Roman;sans-serif" w:hAnsi="Times New Roman;sans-serif"/>
          <w:b/>
          <w:i/>
          <w:color w:val="000000"/>
          <w:sz w:val="20"/>
        </w:rPr>
        <w:t>The price of our common stock may be volatile, and the value of an investment in our common stock could decline.</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spacing w:lineRule="auto" w:line="276" w:before="240" w:after="240"/>
        <w:ind w:left="0" w:right="0" w:hanging="450"/>
        <w:rPr/>
      </w:pPr>
      <w:r>
        <w:rPr>
          <w:color w:val="000000"/>
        </w:rPr>
        <w:t>•</w:t>
      </w:r>
      <w:r>
        <w:rPr>
          <w:rFonts w:ascii="Times New Roman;sans-serif" w:hAnsi="Times New Roman;sans-serif"/>
          <w:b w:val="false"/>
          <w:color w:val="000000"/>
          <w:sz w:val="20"/>
        </w:rPr>
        <w:t>changes in interest rates, investor risk appetite and other macroeconomic factors impacting the market for securities issued by medical device companies;</w:t>
      </w:r>
    </w:p>
    <w:p>
      <w:pPr>
        <w:pStyle w:val="TextBody"/>
        <w:spacing w:lineRule="auto" w:line="276" w:before="240" w:after="240"/>
        <w:ind w:left="0" w:right="0" w:hanging="450"/>
        <w:rPr/>
      </w:pPr>
      <w:r>
        <w:rPr>
          <w:color w:val="000000"/>
        </w:rPr>
        <w:t>•</w:t>
      </w:r>
      <w:r>
        <w:rPr>
          <w:rFonts w:ascii="Times New Roman;sans-serif" w:hAnsi="Times New Roman;sans-serif"/>
          <w:b w:val="false"/>
          <w:color w:val="000000"/>
          <w:sz w:val="20"/>
        </w:rPr>
        <w:t>the risk of inflation, interest rate increases and other macroeconomic factors impacting patients’ economic ability and likelihood of undergoing elective procedures, whether real or as perceived by investors;</w:t>
      </w:r>
    </w:p>
    <w:p>
      <w:pPr>
        <w:pStyle w:val="TextBody"/>
        <w:spacing w:lineRule="auto" w:line="276" w:before="240" w:after="240"/>
        <w:ind w:left="0" w:right="0" w:hanging="450"/>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spacing w:lineRule="auto" w:line="276" w:before="240" w:after="240"/>
        <w:ind w:left="0" w:right="0" w:hanging="450"/>
        <w:rPr/>
      </w:pPr>
      <w:r>
        <w:rPr>
          <w:color w:val="000000"/>
        </w:rPr>
        <w:t>•</w:t>
      </w:r>
      <w:r>
        <w:rPr>
          <w:rFonts w:ascii="Times New Roman;sans-serif" w:hAnsi="Times New Roman;sans-serif"/>
          <w:b w:val="false"/>
          <w:color w:val="000000"/>
          <w:sz w:val="20"/>
        </w:rPr>
        <w:t>the impact of infectious diseases, and measures taken to combat them, on our business;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results of our clinical trials and that of our competitors’ products;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regulatory actions with respect to our products or our competitor’s products;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announcements of new offerings, products, services or technologies, commercial relationships, acquisitions, or other events by us or our competitors;</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 xml:space="preserve">price and volume fluctuations in the overall stock market from time to time; </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significant volatility in the market price and trading volume of healthcare companies, in general, and of companies in the medical device industry in particular;</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fluctuations in the trading volume of our shares or the size of our public float;</w:t>
      </w:r>
    </w:p>
    <w:p>
      <w:pPr>
        <w:pStyle w:val="HorizontalLine"/>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jc w:val="both"/>
        <w:rPr/>
      </w:pPr>
      <w:r>
        <w:rPr/>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negative publicity;</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whether our results of operations meet the expectations of securities analysts or investors or those expectations change;</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litigation involving us, our industry, or both;</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regulatory developments in the U.S., foreign countries, or both;</w:t>
      </w:r>
    </w:p>
    <w:p>
      <w:pPr>
        <w:pStyle w:val="TextBody"/>
        <w:spacing w:lineRule="auto" w:line="276" w:before="240" w:after="240"/>
        <w:ind w:left="0" w:right="0" w:hanging="450"/>
        <w:rPr/>
      </w:pPr>
      <w:r>
        <w:rPr>
          <w:color w:val="000000"/>
        </w:rPr>
        <w:t>•    </w:t>
      </w:r>
      <w:r>
        <w:rPr>
          <w:rFonts w:ascii="Times New Roman;sans-serif" w:hAnsi="Times New Roman;sans-serif"/>
          <w:b w:val="false"/>
          <w:color w:val="000000"/>
          <w:sz w:val="20"/>
        </w:rPr>
        <w:t>lock-up releases and sales of large blocks of our common stock;</w:t>
      </w:r>
      <w:r>
        <w:rPr>
          <w:color w:val="000000"/>
        </w:rPr>
        <w:t> </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additions or departures of key employees or scientific personnel; and</w:t>
      </w:r>
    </w:p>
    <w:p>
      <w:pPr>
        <w:pStyle w:val="TextBody"/>
        <w:spacing w:lineRule="auto" w:line="276" w:before="240" w:after="240"/>
        <w:ind w:left="0" w:right="0" w:hanging="450"/>
        <w:rPr>
          <w:color w:val="000000"/>
        </w:rPr>
      </w:pPr>
      <w:r>
        <w:rPr>
          <w:color w:val="000000"/>
        </w:rPr>
        <w:t>•    </w:t>
      </w:r>
      <w:r>
        <w:rPr>
          <w:rFonts w:ascii="Times New Roman;sans-serif" w:hAnsi="Times New Roman;sans-serif"/>
          <w:b w:val="false"/>
          <w:color w:val="000000"/>
          <w:sz w:val="20"/>
        </w:rPr>
        <w:t>general economic conditions and trends.</w:t>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TextBody"/>
        <w:spacing w:lineRule="auto" w:line="276" w:before="240" w:after="240"/>
        <w:rPr>
          <w:rFonts w:ascii="Times New Roman;sans-serif" w:hAnsi="Times New Roman;sans-serif"/>
          <w:b/>
          <w:i/>
          <w:color w:val="000000"/>
          <w:sz w:val="20"/>
        </w:rPr>
      </w:pPr>
      <w:r>
        <w:rPr>
          <w:rFonts w:ascii="Times New Roman;sans-serif" w:hAnsi="Times New Roman;sans-serif"/>
          <w:b/>
          <w:i/>
          <w:color w:val="000000"/>
          <w:sz w:val="20"/>
        </w:rPr>
        <w:t>Our sales volumes and our operating results may fluctuate over the course of the year, which could affect the price of our common stock.</w:t>
      </w:r>
    </w:p>
    <w:p>
      <w:pPr>
        <w:pStyle w:val="TextBody"/>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payor coverage and reimbursement;</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number of products sold in the quarter and our ability to drive increased sales of our products;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our ability to establish and maintain an effective and dedicated sales force;</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pricing pressure applicable to our products, including adverse third-party coverage and reimbursement outcomes;</w:t>
      </w:r>
    </w:p>
    <w:p>
      <w:pPr>
        <w:pStyle w:val="TextBody"/>
        <w:spacing w:lineRule="auto" w:line="268" w:before="0" w:after="0"/>
        <w:ind w:left="0" w:right="0" w:hanging="450"/>
        <w:rPr/>
      </w:pPr>
      <w:r>
        <w:rPr>
          <w:color w:val="000000"/>
        </w:rPr>
        <w:t>•</w:t>
      </w:r>
      <w:r>
        <w:rPr>
          <w:rFonts w:ascii="Times New Roman;sans-serif" w:hAnsi="Times New Roman;sans-serif"/>
          <w:b w:val="false"/>
          <w:color w:val="000000"/>
          <w:sz w:val="20"/>
        </w:rPr>
        <w:t>the impact of COVID-19 or other infectious disease outbreaks on our business;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results of clinical research and trials on our existing products and products in development;</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mix of our products sold because profit margins differ amongst our products;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timing of new product offerings, acquisitions, licenses or other significant events by us or our competitors;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ability of our suppliers to timely provide us with an adequate supply of materials and components;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evolving product offerings of our competitors;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demand for, and pricing of, our products and the products of our competitors;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factors that may affect the sale of our products, including seasonality and budgets of our customers;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domestic and international regulatory clearances or approvals, or CE Certificates of Conformity, and legislative changes affecting the products we may offer or those of our competitors;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interruption in the manufacturing or distribution of our products;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effect of competing technological, industry and market developments;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our ability to expand the geographic reach of our sales and marketing efforts;</w:t>
      </w:r>
    </w:p>
    <w:p>
      <w:pPr>
        <w:pStyle w:val="HorizontalLine"/>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jc w:val="both"/>
        <w:rPr/>
      </w:pPr>
      <w:r>
        <w:rPr/>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costs of maintaining adequate insurance coverage, including product liability insurance;</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availability and cost of components and materials;</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the number of selling days in the quarter;</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fluctuation in foreign currency exchange rates; and</w:t>
      </w:r>
    </w:p>
    <w:p>
      <w:pPr>
        <w:pStyle w:val="TextBody"/>
        <w:spacing w:lineRule="auto" w:line="276" w:before="240" w:after="240"/>
        <w:ind w:left="0" w:right="0" w:hanging="450"/>
        <w:jc w:val="both"/>
        <w:rPr/>
      </w:pPr>
      <w:r>
        <w:rPr>
          <w:color w:val="000000"/>
        </w:rPr>
        <w:t>•</w:t>
      </w:r>
      <w:r>
        <w:rPr>
          <w:rFonts w:ascii="Times New Roman;sans-serif" w:hAnsi="Times New Roman;sans-serif"/>
          <w:b w:val="false"/>
          <w:color w:val="000000"/>
          <w:sz w:val="20"/>
        </w:rPr>
        <w:t>impairment and other special charges.</w:t>
      </w:r>
    </w:p>
    <w:p>
      <w:pPr>
        <w:pStyle w:val="TextBody"/>
        <w:spacing w:lineRule="auto" w:line="276" w:before="240" w:after="240"/>
        <w:ind w:left="0" w:right="0" w:firstLine="50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products we may seek to develop and introduce in the future will require FDA clearance or approval before commercialization in the U.S., and commercialization of such products outside of the U.S.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We may be unable to utilize our federal and state net operating loss carryforwards to reduce our income taxes.</w:t>
      </w:r>
    </w:p>
    <w:p>
      <w:pPr>
        <w:pStyle w:val="TextBody"/>
        <w:spacing w:lineRule="auto" w:line="288" w:before="0" w:after="0"/>
        <w:ind w:left="0" w:right="0" w:firstLine="495"/>
        <w:jc w:val="both"/>
        <w:rPr/>
      </w:pPr>
      <w:r>
        <w:rPr>
          <w:rFonts w:ascii="Times New Roman;sans-serif" w:hAnsi="Times New Roman;sans-serif"/>
          <w:b w:val="false"/>
          <w:color w:val="000000"/>
          <w:sz w:val="20"/>
        </w:rPr>
        <w:t>As of December 31, 2022, we had net operating loss (“NOL”) carryforwards of $298.6 million and $238.7 million available to reduce future taxable income, if any, for U.S. federal income tax and state income tax purposes, respectively. If not utilized, our federal and state NOL carryforwards begin to expire in 2029 and 2022, respectively, subject to the recent California franchise tax law change affecting California state NOLs mentioned below. Portions of these NOL carryforwards could expire unused and be unavailable to offset future income tax liabilities. Under legislation enacted in 2017, as modified by legislation enacted in 2020, unused U.S. federal NOLs generated in tax years beginning after December 31, 2017</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will not expire and may be carried forward indefinitely, but the deductibility of such federal NOLs in taxable years beginning after December 31, 2020, is limited to 80% of taxable income. At the state level, there may be periods during which the use of NOLs is suspended or otherwise limited.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changes in 2010 and 2020. A total of $1.4 million of our NOLs and tax credit carryforwards are subject to limitation as a result of the ownership change. </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California Assembly Bill 85 (AB 85) was signed into law by Governor Gavin Newsom on June 29, 2020. The legislation suspends the California NOL deductions for 2020, 2021 and 2022 for certain taxpayers and imposes a limitation of certain California Tax Credits for 2020, 2021 and 2022. The legislation disallows the use of California NOL deductions if the taxpayer recognizes business income and its adjusted gross income is greater than $1.0 million. The carryover periods for NOL deductions disallowed by this provision will be extended. On February 9, 2022, California Senate Bill 133 (SB 133) was signed into law. The new bill lifted the limitation for California NOL and credit utilization disallowed by AB 85. We will continue to monitor the possible California NOLs and credit limitation in future periods.</w:t>
      </w:r>
    </w:p>
    <w:p>
      <w:pPr>
        <w:pStyle w:val="TextBody"/>
        <w:spacing w:lineRule="auto" w:line="276" w:before="240" w:after="240"/>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lead to management entrenchment.</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HorizontalLine"/>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0" w:after="0"/>
        <w:jc w:val="both"/>
        <w:rPr/>
      </w:pPr>
      <w:r>
        <w:rPr/>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spacing w:lineRule="auto" w:line="276" w:before="240" w:after="240"/>
        <w:ind w:left="0" w:right="0" w:hanging="450"/>
        <w:jc w:val="both"/>
        <w:rPr>
          <w:color w:val="000000"/>
        </w:rPr>
      </w:pPr>
      <w:r>
        <w:rPr>
          <w:color w:val="000000"/>
        </w:rPr>
        <w:t>•    </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pStyle w:val="TextBody"/>
        <w:spacing w:lineRule="auto" w:line="276" w:before="240" w:after="240"/>
        <w:ind w:left="0" w:right="0" w:hanging="450"/>
        <w:jc w:val="both"/>
        <w:rPr/>
      </w:pPr>
      <w:r>
        <w:rPr>
          <w:color w:val="000000"/>
        </w:rPr>
        <w:t>•    </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r>
        <w:rPr>
          <w:color w:val="000000"/>
        </w:rPr>
        <w:t> </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pStyle w:val="TextBody"/>
        <w:spacing w:lineRule="auto" w:line="276" w:before="240" w:after="24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also provides that the U.S. federal district courts are the exclusive forum for resolving any complaint asserting a cause of action arising under the Securities Act. </w:t>
      </w:r>
    </w:p>
    <w:p>
      <w:pPr>
        <w:pStyle w:val="TextBody"/>
        <w:spacing w:lineRule="auto" w:line="276" w:before="240" w:after="240"/>
        <w:jc w:val="both"/>
        <w:rPr>
          <w:rFonts w:ascii="Times New Roman;sans-serif" w:hAnsi="Times New Roman;sans-serif"/>
          <w:b/>
          <w:i/>
          <w:color w:val="000000"/>
          <w:sz w:val="20"/>
        </w:rPr>
      </w:pPr>
      <w:r>
        <w:rPr>
          <w:rFonts w:ascii="Times New Roman;sans-serif" w:hAnsi="Times New Roman;sans-serif"/>
          <w:b/>
          <w:i/>
          <w:color w:val="000000"/>
          <w:sz w:val="20"/>
        </w:rPr>
        <w:t>Adverse developments affecting the banking industry or the broader financial services industry, such as actual events or concerns involving liquidity, defaults or non-performance, could adversely affect our operations and liquidity.</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or SVB, was closed by the California Department of Financial Protection and Innovation, which appointed the Federal Deposit Insurance Corporation, or the FDIC, as receiver.</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have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any parties with whom we conduct business are unable to access funds held in uninsured deposit accounts or pursuant to lending arrangements with a financial institution that is placed in receivership by the FDIC, such parties’ ability to pay their obligations to us or to enter into new commercial arrangements requiring additional payments to us could be adversely affected.</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Our term loan contains covenants that may restrict our business and financing activities.</w:t>
      </w:r>
    </w:p>
    <w:p>
      <w:pPr>
        <w:pStyle w:val="TextBody"/>
        <w:spacing w:before="0" w:after="0"/>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Loan and Security Agreement (as amended, the "Amended Loan Agreement") with First-Citizens Bank &amp; Trust Company (“First-Citizens”) contains customary events of default, including bankruptcy, the failure to make payments when due, the occurrence of a material impairment on First-Citizens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is secured by substantially all our assets other than our intellectual property.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intellectual property to other parties, engaging in mergers or acquisitions, paying dividends or making other distributions, incurring indebtedness, transacting with affiliates, and entering into certain investments, in each case subject to certain exceptions.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access credit on favorable terms, if necessary, for the funding of our operations and capital projects may be limited due to changes in credit markets.</w:t>
      </w:r>
    </w:p>
    <w:p>
      <w:pPr>
        <w:pStyle w:val="TextBody"/>
        <w:spacing w:before="0" w:after="0"/>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Loan Agreement with First-Citizens provides for a secured revolving credit facility, or Revolver, in an aggregate principal amount of up to $15.0 million. The Revolver matures on July 6, 2025. As of March 31, 2023, we had not drawn on this credit facility. On March 10, 2023, we violated one of the terms of the Amended Loan Agreement by opening bank accounts with another financial institution and transferring funds from SVB. We entered into a letter agreement with Silicon Valley Bridge Bank waiving enforcement of this covenant and providing us the right to hold a portion of our cash at other financial institutions. Any future violation of any of the covenants could result in a default under the Amended Loan Agreement that would permit First-Citizens to restrict our ability to further access the Revolver for loans and require the immediate repayment of any outstanding loans under the </w:t>
      </w:r>
    </w:p>
    <w:p>
      <w:pPr>
        <w:pStyle w:val="HorizontalLine"/>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agreement. In addition, certain provisions in the these covenants are subject to renegotiation at the beginning of each fiscal year, which further reduces our ability to anticipate whether this source of capital will continue to be available in the near term. As of March 31, 2023, we had cash management accounts with a financial institution other than First-Citizens and instructed our customers to direct payments to us to these separate operating accounts. Until such operating accounts are closed and the funds moved back to cash collateral accounts held at First-Citizens, we will be unable to obtain credit advances under the Revolver. See “Note 7. Borrowings” to the “Notes to Condensed Consolidated Financial Statements” included in this report.</w:t>
      </w:r>
    </w:p>
    <w:p>
      <w:pPr>
        <w:pStyle w:val="TextBody"/>
        <w:spacing w:lineRule="auto" w:line="268" w:before="24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The Amended Loan Agreement terminates on December 1, 2027 and if we cannot renew or refinance this facility or obtain funding when needed, in each case on acceptable terms, such conditions may have an adverse effect on our ability to operate our business.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4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Nothing to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4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4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4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10, 2023, we violated one of the terms of the credit facility by opening bank accounts with another financial institution and transferring funds from SVB. On March 24, 2023, we entered into a letter agreement with Silicon Valley Bridge Bank waiving enforcement of this covenant and providing us the right to hold a portion of our cash at other financial institutions. A future violation of any covenants could result in a default under the Amended Loan Agreement that would permit First-Citizens to restrict our ability to further access our revolving line of credit for loans and require the immediate repayment of any outstanding loans under the agreement. As of March 31, 2023, we were in compliance with all debt covenants, provided, however, that in order to access future credit advances under our revolving line of credit, we will be required to transfer certain cash management accounts back to First-Citizens. As of March 31, 2023, we had cash management accounts with a financial institution other than First-Citizens and instructed our customers to direct payments to these separate operating accounts. Until such operating accounts are closed and the funds moved back to cash collateral accounts held at First-Citizens, we will be unable to obtain credit advances under our revolving line of credit.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center"/>
        <w:tblInd w:w="0" w:type="dxa"/>
        <w:tblCellMar>
          <w:top w:w="28" w:type="dxa"/>
          <w:left w:w="28" w:type="dxa"/>
          <w:bottom w:w="28" w:type="dxa"/>
          <w:right w:w="28" w:type="dxa"/>
        </w:tblCellMar>
      </w:tblPr>
      <w:tblGrid>
        <w:gridCol w:w="273"/>
        <w:gridCol w:w="241"/>
        <w:gridCol w:w="242"/>
        <w:gridCol w:w="109"/>
        <w:gridCol w:w="109"/>
        <w:gridCol w:w="109"/>
        <w:gridCol w:w="1469"/>
        <w:gridCol w:w="1372"/>
        <w:gridCol w:w="1386"/>
        <w:gridCol w:w="109"/>
        <w:gridCol w:w="109"/>
        <w:gridCol w:w="109"/>
        <w:gridCol w:w="173"/>
        <w:gridCol w:w="173"/>
        <w:gridCol w:w="174"/>
        <w:gridCol w:w="142"/>
        <w:gridCol w:w="142"/>
        <w:gridCol w:w="142"/>
        <w:gridCol w:w="349"/>
        <w:gridCol w:w="349"/>
        <w:gridCol w:w="350"/>
        <w:gridCol w:w="142"/>
        <w:gridCol w:w="142"/>
        <w:gridCol w:w="142"/>
        <w:gridCol w:w="274"/>
        <w:gridCol w:w="274"/>
        <w:gridCol w:w="278"/>
        <w:gridCol w:w="109"/>
        <w:gridCol w:w="109"/>
        <w:gridCol w:w="109"/>
        <w:gridCol w:w="289"/>
        <w:gridCol w:w="289"/>
        <w:gridCol w:w="417"/>
      </w:tblGrid>
      <w:tr>
        <w:trPr/>
        <w:tc>
          <w:tcPr>
            <w:tcW w:w="27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 File No.</w:t>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Reference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7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001-38701</w:t>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10/19/2018</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Form of Common Stock Certificate of the Company.</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333-227445</w:t>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10/5/2018</w:t>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Reference is made to Exhibits </w:t>
            </w:r>
            <w:hyperlink r:id="rId5">
              <w:r>
                <w:rPr>
                  <w:rStyle w:val="InternetLink"/>
                  <w:rFonts w:ascii="Times New Roman;sans-serif" w:hAnsi="Times New Roman;sans-serif"/>
                  <w:b w:val="false"/>
                  <w:color w:val="0000FF"/>
                  <w:sz w:val="20"/>
                  <w:u w:val="single"/>
                </w:rPr>
                <w:t>3.1</w:t>
              </w:r>
            </w:hyperlink>
            <w:r>
              <w:rPr>
                <w:color w:val="000000"/>
              </w:rPr>
              <w:t xml:space="preserve"> </w:t>
            </w:r>
            <w:r>
              <w:rPr>
                <w:rFonts w:ascii="Times New Roman;sans-serif" w:hAnsi="Times New Roman;sans-serif"/>
                <w:b w:val="false"/>
                <w:color w:val="000000"/>
                <w:sz w:val="20"/>
              </w:rPr>
              <w:t xml:space="preserve">and </w:t>
            </w:r>
            <w:hyperlink r:id="rId6">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0"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0"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0"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0"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20"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426"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confidentialmarkupxsvb_x.htm">
              <w:r>
                <w:rPr>
                  <w:rStyle w:val="InternetLink"/>
                  <w:rFonts w:ascii="Times New Roman;sans-serif" w:hAnsi="Times New Roman;sans-serif"/>
                  <w:b w:val="false"/>
                  <w:color w:val="0000FF"/>
                  <w:sz w:val="20"/>
                  <w:u w:val="single"/>
                </w:rPr>
                <w:t xml:space="preserve">First Amendment to Loan and Security Agreement, dated January 6, 2023, between SI-BONE, Inc. and Silicon Valley Bank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letteragreement.htm">
              <w:r>
                <w:rPr>
                  <w:rStyle w:val="InternetLink"/>
                  <w:rFonts w:ascii="Times New Roman;sans-serif" w:hAnsi="Times New Roman;sans-serif"/>
                  <w:b w:val="false"/>
                  <w:color w:val="0000FF"/>
                  <w:sz w:val="20"/>
                  <w:u w:val="single"/>
                </w:rPr>
                <w:t xml:space="preserve">Letter Agreement, dated March 24, 2023 between SI-BONE, Inc. and Silicon Valley Bridge Bank.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ibn-ex311_331202310xq.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ibn-ex312_331202310xq.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ibn-ex321_331202310xq.htm">
              <w:r>
                <w:rPr>
                  <w:rStyle w:val="InternetLink"/>
                  <w:rFonts w:ascii="Times New Roman;sans-serif" w:hAnsi="Times New Roman;sans-serif"/>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0" w:after="0"/>
        <w:ind w:left="0" w:right="0" w:hanging="360"/>
        <w:rPr/>
      </w:pPr>
      <w:r>
        <w:rPr>
          <w:rFonts w:ascii="Times New Roman;sans-serif" w:hAnsi="Times New Roman;sans-serif"/>
          <w:b w:val="false"/>
          <w:color w:val="000000"/>
          <w:sz w:val="20"/>
        </w:rPr>
        <w:t>**   Furnished herewith.</w:t>
      </w:r>
      <w:r>
        <w:rPr>
          <w:color w:val="000000"/>
        </w:rPr>
        <w:t> </w:t>
      </w:r>
      <w:r>
        <w:rPr>
          <w:rFonts w:ascii="Times New Roman;sans-serif" w:hAnsi="Times New Roman;sans-serif"/>
          <w:b w:val="false"/>
          <w:color w:val="000000"/>
          <w:sz w:val="20"/>
        </w:rPr>
        <w:t>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spacing w:before="0" w:after="0"/>
        <w:ind w:left="0" w:right="0" w:hanging="360"/>
        <w:rPr/>
      </w:pPr>
      <w:r>
        <w:rPr/>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 in Santa Clara, California, on May 2, 2023.</w:t>
      </w:r>
    </w:p>
    <w:p>
      <w:pPr>
        <w:pStyle w:val="TextBody"/>
        <w:spacing w:lineRule="auto" w:line="288" w:before="0" w:after="0"/>
        <w:rPr>
          <w:color w:val="000000"/>
        </w:rPr>
      </w:pPr>
      <w:r>
        <w:rPr>
          <w:color w:val="000000"/>
        </w:rPr>
        <w:t> </w:t>
      </w:r>
    </w:p>
    <w:tbl>
      <w:tblPr>
        <w:tblW w:w="8457" w:type="dxa"/>
        <w:jc w:val="center"/>
        <w:tblInd w:w="0" w:type="dxa"/>
        <w:tblCellMar>
          <w:top w:w="28" w:type="dxa"/>
          <w:left w:w="28" w:type="dxa"/>
          <w:bottom w:w="28" w:type="dxa"/>
          <w:right w:w="28" w:type="dxa"/>
        </w:tblCellMar>
      </w:tblPr>
      <w:tblGrid>
        <w:gridCol w:w="216"/>
        <w:gridCol w:w="191"/>
        <w:gridCol w:w="192"/>
        <w:gridCol w:w="379"/>
        <w:gridCol w:w="379"/>
        <w:gridCol w:w="381"/>
        <w:gridCol w:w="200"/>
        <w:gridCol w:w="200"/>
        <w:gridCol w:w="200"/>
        <w:gridCol w:w="1777"/>
        <w:gridCol w:w="1777"/>
        <w:gridCol w:w="2565"/>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2565"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(Duly Authorized Officer and Principal Executive Officer</w:t>
            </w:r>
            <w:r>
              <w:rPr>
                <w:rFonts w:ascii="Times New Roman;sans-serif" w:hAnsi="Times New Roman;sans-serif"/>
                <w:b w:val="false"/>
                <w:color w:val="000000"/>
                <w:sz w:val="16"/>
              </w:rPr>
              <w:t xml:space="preserve">) </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SI-BONE, Inc.</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and Accounting Officer)</w:t>
            </w:r>
          </w:p>
        </w:tc>
      </w:tr>
    </w:tbl>
    <w:p>
      <w:pPr>
        <w:pStyle w:val="TextBody"/>
        <w:spacing w:before="0" w:after="0"/>
        <w:rPr/>
      </w:pPr>
      <w:r>
        <w:rPr/>
      </w:r>
    </w:p>
    <w:p>
      <w:pPr>
        <w:pStyle w:val="TextBody"/>
        <w:spacing w:before="0" w:after="0"/>
        <w:jc w:val="right"/>
        <w:rPr/>
      </w:pPr>
      <w:r>
        <w:rPr/>
      </w:r>
    </w:p>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spacing w:before="0" w:after="0"/>
        <w:jc w:val="right"/>
        <w:rPr/>
      </w:pPr>
      <w:r>
        <w:rPr/>
      </w:r>
    </w:p>
    <w:p>
      <w:pPr>
        <w:pStyle w:val="TextBody"/>
        <w:spacing w:before="0" w:after="0"/>
        <w:jc w:val="right"/>
        <w:rPr/>
      </w:pPr>
      <w:r>
        <w:rPr/>
      </w:r>
    </w:p>
    <w:p>
      <w:pPr>
        <w:pStyle w:val="TextBody"/>
        <w:spacing w:before="0" w:after="0"/>
        <w:jc w:val="center"/>
        <w:rPr/>
      </w:pPr>
      <w:r>
        <w:rPr/>
      </w:r>
    </w:p>
    <w:p>
      <w:pPr>
        <w:pStyle w:val="TextBody"/>
        <w:spacing w:lineRule="auto" w:line="240"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CERTAIN INFORMATION IDENTIFIED BY “[***]” HAS BEEN EXCLUDED FROM THE EXHIBIT BECAUSE IT IS BOTH NOT MATERIAL AND IS THE TYPE OF INFORMATION THAT THE REGISTRANT TREATS AS PRIVATE OR CONFIDENTIAL.</w:t>
      </w:r>
    </w:p>
    <w:p>
      <w:pPr>
        <w:pStyle w:val="TextBody"/>
        <w:spacing w:before="0" w:after="0"/>
        <w:jc w:val="center"/>
        <w:rPr/>
      </w:pPr>
      <w:r>
        <w:rPr/>
      </w:r>
    </w:p>
    <w:p>
      <w:pPr>
        <w:pStyle w:val="TextBody"/>
        <w:spacing w:before="0" w:after="0"/>
        <w:jc w:val="center"/>
        <w:rPr/>
      </w:pPr>
      <w:r>
        <w:rPr/>
      </w:r>
    </w:p>
    <w:p>
      <w:pPr>
        <w:pStyle w:val="TextBody"/>
        <w:spacing w:lineRule="auto" w:line="240" w:before="0" w:after="0"/>
        <w:ind w:left="0" w:right="0" w:firstLine="645"/>
        <w:rPr>
          <w:rFonts w:ascii="Times New Roman;sans-serif" w:hAnsi="Times New Roman;sans-serif"/>
          <w:b/>
          <w:color w:val="000000"/>
          <w:sz w:val="22"/>
        </w:rPr>
      </w:pPr>
      <w:r>
        <w:rPr>
          <w:rFonts w:ascii="Times New Roman;sans-serif" w:hAnsi="Times New Roman;sans-serif"/>
          <w:b/>
          <w:color w:val="000000"/>
          <w:sz w:val="22"/>
        </w:rPr>
        <w:t>FIRST AMENDMENT TO LOAN AND SECURITY AGREEMENT</w:t>
      </w:r>
    </w:p>
    <w:p>
      <w:pPr>
        <w:pStyle w:val="TextBody"/>
        <w:spacing w:before="10" w:after="283"/>
        <w:rPr/>
      </w:pPr>
      <w:r>
        <w:rPr/>
      </w:r>
    </w:p>
    <w:p>
      <w:pPr>
        <w:pStyle w:val="TextBody"/>
        <w:spacing w:lineRule="auto" w:line="240" w:before="0" w:after="0"/>
        <w:ind w:left="0" w:right="0" w:firstLine="678"/>
        <w:jc w:val="both"/>
        <w:rPr/>
      </w:pPr>
      <w:r>
        <w:rPr>
          <w:rFonts w:ascii="Times New Roman;sans-serif" w:hAnsi="Times New Roman;sans-serif"/>
          <w:b w:val="false"/>
          <w:color w:val="000000"/>
          <w:sz w:val="22"/>
        </w:rPr>
        <w:t>This First Amendment to Loan and Security Agreement (this “</w:t>
      </w:r>
      <w:r>
        <w:rPr>
          <w:rFonts w:ascii="Times New Roman;sans-serif" w:hAnsi="Times New Roman;sans-serif"/>
          <w:b/>
          <w:color w:val="000000"/>
          <w:sz w:val="22"/>
        </w:rPr>
        <w:t>Amendment</w:t>
      </w:r>
      <w:r>
        <w:rPr>
          <w:color w:val="000000"/>
        </w:rPr>
        <w:t>”</w:t>
      </w:r>
      <w:r>
        <w:rPr>
          <w:rFonts w:ascii="Times New Roman;sans-serif" w:hAnsi="Times New Roman;sans-serif"/>
          <w:b w:val="false"/>
          <w:color w:val="000000"/>
          <w:sz w:val="22"/>
        </w:rPr>
        <w:t xml:space="preserve">) is entered into as of January 6, 2023, by and between (i) </w:t>
      </w:r>
      <w:r>
        <w:rPr>
          <w:rFonts w:ascii="Times New Roman;sans-serif" w:hAnsi="Times New Roman;sans-serif"/>
          <w:b/>
          <w:color w:val="000000"/>
          <w:sz w:val="22"/>
        </w:rPr>
        <w:t>SILICON VALLEY BANK</w:t>
      </w:r>
      <w:r>
        <w:rPr>
          <w:rFonts w:ascii="Times New Roman;sans-serif" w:hAnsi="Times New Roman;sans-serif"/>
          <w:b w:val="false"/>
          <w:color w:val="000000"/>
          <w:sz w:val="22"/>
        </w:rPr>
        <w:t>, a California corporation (“</w:t>
      </w:r>
      <w:r>
        <w:rPr>
          <w:rFonts w:ascii="Times New Roman;sans-serif" w:hAnsi="Times New Roman;sans-serif"/>
          <w:b/>
          <w:color w:val="000000"/>
          <w:sz w:val="22"/>
        </w:rPr>
        <w:t>Bank</w:t>
      </w:r>
      <w:r>
        <w:rPr>
          <w:color w:val="000000"/>
        </w:rPr>
        <w:t>”</w:t>
      </w:r>
      <w:r>
        <w:rPr>
          <w:rFonts w:ascii="Times New Roman;sans-serif" w:hAnsi="Times New Roman;sans-serif"/>
          <w:b w:val="false"/>
          <w:color w:val="000000"/>
          <w:sz w:val="22"/>
        </w:rPr>
        <w:t>), and</w:t>
      </w:r>
    </w:p>
    <w:p>
      <w:pPr>
        <w:pStyle w:val="TextBody"/>
        <w:spacing w:lineRule="auto" w:line="240" w:before="3" w:after="283"/>
        <w:rPr/>
      </w:pPr>
      <w:r>
        <w:rPr>
          <w:rFonts w:ascii="Times New Roman;sans-serif" w:hAnsi="Times New Roman;sans-serif"/>
          <w:b w:val="false"/>
          <w:color w:val="000000"/>
          <w:sz w:val="22"/>
        </w:rPr>
        <w:t xml:space="preserve">(ii) </w:t>
      </w:r>
      <w:r>
        <w:rPr>
          <w:rFonts w:ascii="Times New Roman;sans-serif" w:hAnsi="Times New Roman;sans-serif"/>
          <w:b/>
          <w:color w:val="000000"/>
          <w:sz w:val="22"/>
        </w:rPr>
        <w:t>SI-BONE, INC.</w:t>
      </w:r>
      <w:r>
        <w:rPr>
          <w:rFonts w:ascii="Times New Roman;sans-serif" w:hAnsi="Times New Roman;sans-serif"/>
          <w:b w:val="false"/>
          <w:color w:val="000000"/>
          <w:sz w:val="22"/>
        </w:rPr>
        <w:t>, a Delaware corporation (“</w:t>
      </w:r>
      <w:r>
        <w:rPr>
          <w:rFonts w:ascii="Times New Roman;sans-serif" w:hAnsi="Times New Roman;sans-serif"/>
          <w:b/>
          <w:color w:val="000000"/>
          <w:sz w:val="22"/>
        </w:rPr>
        <w:t>Borrower</w:t>
      </w:r>
      <w:r>
        <w:rPr>
          <w:color w:val="000000"/>
        </w:rPr>
        <w:t>”</w:t>
      </w:r>
      <w:r>
        <w:rPr>
          <w:rFonts w:ascii="Times New Roman;sans-serif" w:hAnsi="Times New Roman;sans-serif"/>
          <w:b w:val="false"/>
          <w:color w:val="000000"/>
          <w:sz w:val="22"/>
        </w:rPr>
        <w:t>).</w:t>
      </w:r>
    </w:p>
    <w:p>
      <w:pPr>
        <w:pStyle w:val="TextBody"/>
        <w:spacing w:before="9" w:after="283"/>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Recitals</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color w:val="000000"/>
          <w:sz w:val="24"/>
        </w:rPr>
        <w:t>A.</w:t>
      </w:r>
      <w:r>
        <w:rPr>
          <w:rFonts w:ascii="Times New Roman;sans-serif" w:hAnsi="Times New Roman;sans-serif"/>
          <w:b w:val="false"/>
          <w:color w:val="000000"/>
          <w:sz w:val="22"/>
        </w:rPr>
        <w:t>Bank and Borrower have entered into that certain Loan and Security Agreement dated as of August 12, 2021 (the “</w:t>
      </w:r>
      <w:r>
        <w:rPr>
          <w:rFonts w:ascii="Times New Roman;sans-serif" w:hAnsi="Times New Roman;sans-serif"/>
          <w:b/>
          <w:color w:val="000000"/>
          <w:sz w:val="22"/>
        </w:rPr>
        <w:t>Existing Loan Agreement</w:t>
      </w:r>
      <w:r>
        <w:rPr>
          <w:color w:val="000000"/>
        </w:rPr>
        <w:t>”</w:t>
      </w:r>
      <w:r>
        <w:rPr>
          <w:rFonts w:ascii="Times New Roman;sans-serif" w:hAnsi="Times New Roman;sans-serif"/>
          <w:b w:val="false"/>
          <w:color w:val="000000"/>
          <w:sz w:val="22"/>
        </w:rPr>
        <w:t>; the Existing Loan Agreement, as amended, restated, amended and restated, modified, or supplemented from time to time, the “</w:t>
      </w:r>
      <w:r>
        <w:rPr>
          <w:rFonts w:ascii="Times New Roman;sans-serif" w:hAnsi="Times New Roman;sans-serif"/>
          <w:b/>
          <w:color w:val="000000"/>
          <w:sz w:val="22"/>
        </w:rPr>
        <w:t>Loan Agreement</w:t>
      </w:r>
      <w:r>
        <w:rPr>
          <w:color w:val="000000"/>
        </w:rPr>
        <w:t>”</w:t>
      </w:r>
      <w:r>
        <w:rPr>
          <w:rFonts w:ascii="Times New Roman;sans-serif" w:hAnsi="Times New Roman;sans-serif"/>
          <w:b w:val="false"/>
          <w:color w:val="000000"/>
          <w:sz w:val="22"/>
        </w:rPr>
        <w:t>).</w:t>
      </w:r>
    </w:p>
    <w:p>
      <w:pPr>
        <w:pStyle w:val="TextBody"/>
        <w:spacing w:before="6" w:after="283"/>
        <w:rPr/>
      </w:pPr>
      <w:r>
        <w:rPr/>
      </w:r>
    </w:p>
    <w:p>
      <w:pPr>
        <w:pStyle w:val="TextBody"/>
        <w:spacing w:lineRule="auto" w:line="240" w:before="0" w:after="0"/>
        <w:ind w:left="0" w:right="0" w:hanging="720"/>
        <w:rPr/>
      </w:pPr>
      <w:r>
        <w:rPr>
          <w:rFonts w:ascii="Times New Roman;sans-serif" w:hAnsi="Times New Roman;sans-serif"/>
          <w:b/>
          <w:color w:val="000000"/>
          <w:sz w:val="24"/>
        </w:rPr>
        <w:t>B.</w:t>
      </w:r>
      <w:r>
        <w:rPr>
          <w:rFonts w:ascii="Times New Roman;sans-serif" w:hAnsi="Times New Roman;sans-serif"/>
          <w:b w:val="false"/>
          <w:color w:val="000000"/>
          <w:sz w:val="22"/>
        </w:rPr>
        <w:t>Bank has extended credit to Borrower for the purposes permitted in the Loan Agreement.</w:t>
      </w:r>
    </w:p>
    <w:p>
      <w:pPr>
        <w:pStyle w:val="TextBody"/>
        <w:spacing w:before="10" w:after="283"/>
        <w:rPr/>
      </w:pPr>
      <w:r>
        <w:rPr/>
      </w:r>
    </w:p>
    <w:p>
      <w:pPr>
        <w:pStyle w:val="TextBody"/>
        <w:spacing w:lineRule="auto" w:line="276" w:before="0" w:after="0"/>
        <w:ind w:left="0" w:right="0" w:firstLine="720"/>
        <w:jc w:val="both"/>
        <w:rPr/>
      </w:pPr>
      <w:r>
        <w:rPr>
          <w:rFonts w:ascii="Times New Roman;sans-serif" w:hAnsi="Times New Roman;sans-serif"/>
          <w:b/>
          <w:color w:val="000000"/>
          <w:sz w:val="24"/>
        </w:rPr>
        <w:t>C.</w:t>
      </w:r>
      <w:r>
        <w:rPr>
          <w:rFonts w:ascii="Times New Roman;sans-serif" w:hAnsi="Times New Roman;sans-serif"/>
          <w:b w:val="false"/>
          <w:color w:val="000000"/>
          <w:sz w:val="22"/>
        </w:rPr>
        <w:t>Borrower has requested that Bank amend the Loan Agreement to make certain revisions to the Loan Agreement as more fully set forth herein.</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color w:val="000000"/>
          <w:sz w:val="24"/>
        </w:rPr>
        <w:t>D.</w:t>
      </w:r>
      <w:r>
        <w:rPr>
          <w:rFonts w:ascii="Times New Roman;sans-serif" w:hAnsi="Times New Roman;sans-serif"/>
          <w:b w:val="false"/>
          <w:color w:val="000000"/>
          <w:sz w:val="22"/>
        </w:rPr>
        <w:t>Bank has agreed to so amend certain provisions of the Loan Agreement, but only to the extent, in accordance with the terms, subject to the conditions and in reliance upon the representations and warranties set forth below.</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Agreement</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2"/>
        </w:rPr>
        <w:t xml:space="preserve">Now, Therefore, </w:t>
      </w:r>
      <w:r>
        <w:rPr>
          <w:rFonts w:ascii="Times New Roman;sans-serif" w:hAnsi="Times New Roman;sans-serif"/>
          <w:b w:val="false"/>
          <w:color w:val="000000"/>
          <w:sz w:val="22"/>
        </w:rPr>
        <w:t>in consideration of the foregoing recitals and other good and valuable consideration, the receipt and adequacy of which is hereby acknowledged, and intending to be legally bound, the parties hereto agree as follows:</w:t>
      </w:r>
    </w:p>
    <w:p>
      <w:pPr>
        <w:pStyle w:val="TextBody"/>
        <w:spacing w:before="9"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2"/>
        </w:rPr>
        <w:t xml:space="preserve">1.Definitions. </w:t>
      </w:r>
      <w:r>
        <w:rPr>
          <w:rFonts w:ascii="Times New Roman;sans-serif" w:hAnsi="Times New Roman;sans-serif"/>
          <w:b w:val="false"/>
          <w:color w:val="000000"/>
          <w:sz w:val="22"/>
        </w:rPr>
        <w:t>Capitalized terms used but not defined in this Amendment shall have the meanings given to them in the Loan Agreement.</w:t>
      </w:r>
    </w:p>
    <w:p>
      <w:pPr>
        <w:pStyle w:val="TextBody"/>
        <w:spacing w:before="1" w:after="283"/>
        <w:rPr/>
      </w:pPr>
      <w:r>
        <w:rPr/>
      </w:r>
    </w:p>
    <w:p>
      <w:pPr>
        <w:pStyle w:val="TextBody"/>
        <w:spacing w:lineRule="auto" w:line="240" w:before="0" w:after="0"/>
        <w:ind w:left="0" w:right="0" w:hanging="720"/>
        <w:rPr/>
      </w:pPr>
      <w:r>
        <w:rPr>
          <w:rFonts w:ascii="Times New Roman;sans-serif" w:hAnsi="Times New Roman;sans-serif"/>
          <w:b/>
          <w:color w:val="000000"/>
          <w:sz w:val="22"/>
        </w:rPr>
        <w:t>2.Amendments to Loan Agreement</w:t>
      </w:r>
      <w:r>
        <w:rPr>
          <w:rFonts w:ascii="Times New Roman;sans-serif" w:hAnsi="Times New Roman;sans-serif"/>
          <w:b w:val="false"/>
          <w:color w:val="000000"/>
          <w:sz w:val="22"/>
        </w:rPr>
        <w:t>.</w:t>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color w:val="000000"/>
          <w:sz w:val="22"/>
        </w:rPr>
        <w:t>2.1</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hereto, sets forth a clean copy of the Loan Agreement as amended hereby.</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color w:val="000000"/>
          <w:sz w:val="22"/>
        </w:rPr>
        <w:t>2.2</w:t>
      </w:r>
      <w:r>
        <w:rPr>
          <w:rFonts w:ascii="Times New Roman;sans-serif" w:hAnsi="Times New Roman;sans-serif"/>
          <w:b w:val="false"/>
          <w:color w:val="000000"/>
          <w:sz w:val="22"/>
          <w:u w:val="single"/>
        </w:rPr>
        <w:t>Exhibit B</w:t>
      </w:r>
      <w:r>
        <w:rPr>
          <w:color w:val="000000"/>
        </w:rPr>
        <w:t xml:space="preserve"> </w:t>
      </w:r>
      <w:r>
        <w:rPr>
          <w:rFonts w:ascii="Times New Roman;sans-serif" w:hAnsi="Times New Roman;sans-serif"/>
          <w:b w:val="false"/>
          <w:color w:val="000000"/>
          <w:sz w:val="22"/>
        </w:rPr>
        <w:t xml:space="preserve">attached hereto, shows deletions of the text in the Existing Loan Agreement pursuant to this Amendment (including, to the extent included in such </w:t>
      </w:r>
      <w:r>
        <w:rPr>
          <w:rFonts w:ascii="Times New Roman;sans-serif" w:hAnsi="Times New Roman;sans-serif"/>
          <w:b w:val="false"/>
          <w:color w:val="000000"/>
          <w:sz w:val="22"/>
          <w:u w:val="single"/>
        </w:rPr>
        <w:t>Exhibit B</w:t>
      </w:r>
      <w:r>
        <w:rPr>
          <w:rFonts w:ascii="Times New Roman;sans-serif" w:hAnsi="Times New Roman;sans-serif"/>
          <w:b w:val="false"/>
          <w:color w:val="000000"/>
          <w:sz w:val="22"/>
        </w:rPr>
        <w:t xml:space="preserve">, each Schedule or Exhibit to the Existing Loan Agreement), which are indicated by </w:t>
      </w:r>
      <w:r>
        <w:rPr>
          <w:rFonts w:ascii="Times New Roman;sans-serif" w:hAnsi="Times New Roman;sans-serif"/>
          <w:b w:val="false"/>
          <w:strike/>
          <w:color w:val="FF0000"/>
          <w:sz w:val="22"/>
        </w:rPr>
        <w:t>struck-through text</w:t>
      </w:r>
      <w:r>
        <w:rPr>
          <w:rFonts w:ascii="Times New Roman;sans-serif" w:hAnsi="Times New Roman;sans-serif"/>
          <w:b w:val="false"/>
          <w:color w:val="000000"/>
          <w:sz w:val="22"/>
        </w:rPr>
        <w:t xml:space="preserve">, and insertions of text, which are indicated by </w:t>
      </w:r>
      <w:r>
        <w:rPr>
          <w:rFonts w:ascii="Times New Roman;sans-serif" w:hAnsi="Times New Roman;sans-serif"/>
          <w:b/>
          <w:color w:val="0000FF"/>
          <w:sz w:val="22"/>
          <w:u w:val="single"/>
        </w:rPr>
        <w:t>bold, double-underlined text</w:t>
      </w:r>
      <w:r>
        <w:rPr>
          <w:rFonts w:ascii="Times New Roman;sans-serif" w:hAnsi="Times New Roman;sans-serif"/>
          <w:b w:val="false"/>
          <w:color w:val="000000"/>
          <w:sz w:val="22"/>
        </w:rPr>
        <w:t>.</w:t>
      </w:r>
    </w:p>
    <w:p>
      <w:pPr>
        <w:pStyle w:val="TextBody"/>
        <w:spacing w:before="0" w:after="0"/>
        <w:rPr/>
      </w:pPr>
      <w:r>
        <w:rPr/>
      </w:r>
    </w:p>
    <w:p>
      <w:pPr>
        <w:pStyle w:val="TextBody"/>
        <w:spacing w:lineRule="auto" w:line="240" w:before="91" w:after="283"/>
        <w:ind w:left="0" w:right="0" w:firstLine="720"/>
        <w:rPr/>
      </w:pPr>
      <w:r>
        <w:rPr>
          <w:rFonts w:ascii="Times New Roman;sans-serif" w:hAnsi="Times New Roman;sans-serif"/>
          <w:b/>
          <w:color w:val="000000"/>
          <w:sz w:val="22"/>
        </w:rPr>
        <w:t>3.Representations and Warranties.    </w:t>
      </w:r>
      <w:r>
        <w:rPr>
          <w:rFonts w:ascii="Times New Roman;sans-serif" w:hAnsi="Times New Roman;sans-serif"/>
          <w:b w:val="false"/>
          <w:color w:val="000000"/>
          <w:sz w:val="22"/>
        </w:rPr>
        <w:t>To induce Bank to enter into this Amendment, Borrower hereby represents and warrants to Bank as follows:</w:t>
      </w:r>
    </w:p>
    <w:p>
      <w:pPr>
        <w:pStyle w:val="TextBody"/>
        <w:spacing w:before="8" w:after="283"/>
        <w:rPr/>
      </w:pPr>
      <w:r>
        <w:rPr/>
      </w:r>
    </w:p>
    <w:p>
      <w:pPr>
        <w:pStyle w:val="TextBody"/>
        <w:spacing w:lineRule="auto" w:line="280" w:before="0" w:after="0"/>
        <w:ind w:left="0" w:right="0" w:firstLine="1440"/>
        <w:jc w:val="both"/>
        <w:rPr/>
      </w:pPr>
      <w:r>
        <w:rPr>
          <w:rFonts w:ascii="Times New Roman;sans-serif" w:hAnsi="Times New Roman;sans-serif"/>
          <w:b/>
          <w:color w:val="000000"/>
          <w:sz w:val="22"/>
        </w:rPr>
        <w:t>3.1</w:t>
      </w:r>
      <w:r>
        <w:rPr>
          <w:rFonts w:ascii="Times New Roman;sans-serif" w:hAnsi="Times New Roman;sans-serif"/>
          <w:b w:val="false"/>
          <w:color w:val="000000"/>
          <w:sz w:val="22"/>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color w:val="000000"/>
          <w:sz w:val="22"/>
        </w:rPr>
        <w:t>3.2</w:t>
      </w:r>
      <w:r>
        <w:rPr>
          <w:rFonts w:ascii="Times New Roman;sans-serif" w:hAnsi="Times New Roman;sans-serif"/>
          <w:b w:val="false"/>
          <w:color w:val="000000"/>
          <w:sz w:val="22"/>
        </w:rPr>
        <w:t>Borrower has the power and authority to execute and deliver this Amendment and to perform its obligations under the Loan Agreement, as affected by this Amendment;</w:t>
      </w:r>
    </w:p>
    <w:p>
      <w:pPr>
        <w:pStyle w:val="TextBody"/>
        <w:spacing w:lineRule="auto" w:line="280"/>
        <w:ind w:left="0" w:right="0" w:firstLine="1440"/>
        <w:jc w:val="both"/>
        <w:rPr/>
      </w:pPr>
      <w:r>
        <w:rPr>
          <w:rFonts w:ascii="Times New Roman;sans-serif" w:hAnsi="Times New Roman;sans-serif"/>
          <w:b/>
          <w:color w:val="000000"/>
          <w:sz w:val="22"/>
        </w:rPr>
        <w:t>3.3</w:t>
      </w:r>
      <w:r>
        <w:rPr>
          <w:rFonts w:ascii="Times New Roman;sans-serif" w:hAnsi="Times New Roman;sans-serif"/>
          <w:b w:val="false"/>
          <w:color w:val="000000"/>
          <w:sz w:val="22"/>
        </w:rPr>
        <w:t>The organizational documents of Borrower delivered to Bank on the Effective Date remain true, accurate and complete and have not been amended, supplemented or restated and are and continue to be in full force and effect;</w:t>
      </w:r>
      <w:r>
        <w:br w:type="page"/>
      </w:r>
    </w:p>
    <w:p>
      <w:pPr>
        <w:pStyle w:val="TextBody"/>
        <w:spacing w:before="0" w:after="0"/>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2" w:after="283"/>
        <w:rPr/>
      </w:pPr>
      <w:r>
        <w:rPr/>
      </w:r>
    </w:p>
    <w:p>
      <w:pPr>
        <w:pStyle w:val="TextBody"/>
        <w:spacing w:lineRule="auto" w:line="240" w:before="0" w:after="0"/>
        <w:ind w:left="0" w:right="0" w:firstLine="1440"/>
        <w:jc w:val="both"/>
        <w:rPr/>
      </w:pPr>
      <w:r>
        <w:rPr>
          <w:rFonts w:ascii="Times New Roman;sans-serif" w:hAnsi="Times New Roman;sans-serif"/>
          <w:b/>
          <w:color w:val="000000"/>
          <w:sz w:val="22"/>
        </w:rPr>
        <w:t>3.4</w:t>
      </w:r>
      <w:r>
        <w:rPr>
          <w:rFonts w:ascii="Times New Roman;sans-serif" w:hAnsi="Times New Roman;sans-serif"/>
          <w:b w:val="false"/>
          <w:color w:val="000000"/>
          <w:sz w:val="22"/>
        </w:rPr>
        <w:t>The execution and delivery by Borrower of this Amendment and the performance by Borrower of its obligations under the Loan Agreement, as affected by this Amendment, have been duly authorized;</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color w:val="000000"/>
          <w:sz w:val="22"/>
        </w:rPr>
        <w:t>3.5</w:t>
      </w:r>
      <w:r>
        <w:rPr>
          <w:rFonts w:ascii="Times New Roman;sans-serif" w:hAnsi="Times New Roman;sans-serif"/>
          <w:b w:val="false"/>
          <w:color w:val="000000"/>
          <w:sz w:val="22"/>
        </w:rPr>
        <w:t>The execution and delivery by Borrower of this Amendment and the performance by Borrower of its obligations under the Loan Agreement, as affected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or applicable consents or waivers have been obtained;</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color w:val="000000"/>
          <w:sz w:val="22"/>
        </w:rPr>
        <w:t>3.6</w:t>
      </w:r>
      <w:r>
        <w:rPr>
          <w:rFonts w:ascii="Times New Roman;sans-serif" w:hAnsi="Times New Roman;sans-serif"/>
          <w:b w:val="false"/>
          <w:color w:val="000000"/>
          <w:sz w:val="22"/>
        </w:rPr>
        <w:t>The execution and delivery by Borrower of this Amendment and the performance by Borrower of its obligations under the Loan Agreement, as affected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color w:val="000000"/>
          <w:sz w:val="22"/>
        </w:rPr>
        <w:t>3.7</w:t>
      </w:r>
      <w:r>
        <w:rPr>
          <w:rFonts w:ascii="Times New Roman;sans-serif" w:hAnsi="Times New Roman;sans-serif"/>
          <w:b w:val="false"/>
          <w:color w:val="000000"/>
          <w:sz w:val="22"/>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2"/>
        </w:rPr>
        <w:t>4.Updated Perfection Certificate</w:t>
      </w:r>
      <w:r>
        <w:rPr>
          <w:rFonts w:ascii="Times New Roman;sans-serif" w:hAnsi="Times New Roman;sans-serif"/>
          <w:b w:val="false"/>
          <w:color w:val="000000"/>
          <w:sz w:val="22"/>
        </w:rPr>
        <w:t>. Borrower has delivered an updated Perfection Certificate dated as of the date hereof in connection with this Amendment (the “</w:t>
      </w:r>
      <w:r>
        <w:rPr>
          <w:rFonts w:ascii="Times New Roman;sans-serif" w:hAnsi="Times New Roman;sans-serif"/>
          <w:b/>
          <w:color w:val="000000"/>
          <w:sz w:val="22"/>
        </w:rPr>
        <w:t>Updated Perfection Certificate</w:t>
      </w:r>
      <w:r>
        <w:rPr>
          <w:color w:val="000000"/>
        </w:rPr>
        <w:t>”</w:t>
      </w:r>
      <w:r>
        <w:rPr>
          <w:rFonts w:ascii="Times New Roman;sans-serif" w:hAnsi="Times New Roman;sans-serif"/>
          <w:b w:val="false"/>
          <w:color w:val="000000"/>
          <w:sz w:val="22"/>
        </w:rPr>
        <w:t>), which Updated Perfection Certificate shall supersede in all respects that certain Perfection Certificate delivered to Bank on the Effective Date. Borrower and Bank acknowledge and agree that all references in the Loan Agreement to the “Perfection Certificate” shall hereinafter be deemed to be a reference to the Updated Perfection Certificate.</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2"/>
        </w:rPr>
        <w:t>5.Integration</w:t>
      </w:r>
      <w:r>
        <w:rPr>
          <w:rFonts w:ascii="Times New Roman;sans-serif" w:hAnsi="Times New Roman;sans-serif"/>
          <w:b w:val="false"/>
          <w:color w:val="000000"/>
          <w:sz w:val="22"/>
        </w:rPr>
        <w:t>. This Amendment and the Loan Documents represent the entire agreement about this 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2"/>
        </w:rPr>
        <w:t xml:space="preserve">6.Counterparts. </w:t>
      </w:r>
      <w:r>
        <w:rPr>
          <w:rFonts w:ascii="Times New Roman;sans-serif" w:hAnsi="Times New Roman;sans-serif"/>
          <w:b w:val="false"/>
          <w:color w:val="000000"/>
          <w:sz w:val="22"/>
        </w:rPr>
        <w:t>This Amendment may be executed in any number of counterparts and all of such counterparts taken together shall be deemed to constitute one and the same instrument.</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color w:val="000000"/>
          <w:sz w:val="22"/>
        </w:rPr>
        <w:t>7.Effectiveness</w:t>
      </w:r>
      <w:r>
        <w:rPr>
          <w:rFonts w:ascii="Times New Roman;sans-serif" w:hAnsi="Times New Roman;sans-serif"/>
          <w:b w:val="false"/>
          <w:color w:val="000000"/>
          <w:sz w:val="22"/>
        </w:rPr>
        <w:t>. As a condition precedent to the effectiveness of this Amendment and Bank’s obligation to make further Credit Extensions, Bank shall have received the following prior to or concurrently with this Amendment, each in form and substance satisfactory to Bank:</w:t>
      </w:r>
    </w:p>
    <w:p>
      <w:pPr>
        <w:pStyle w:val="TextBody"/>
        <w:spacing w:before="1" w:after="283"/>
        <w:rPr/>
      </w:pPr>
      <w:r>
        <w:rPr/>
      </w:r>
    </w:p>
    <w:p>
      <w:pPr>
        <w:pStyle w:val="TextBody"/>
        <w:spacing w:lineRule="auto" w:line="240" w:before="91" w:after="283"/>
        <w:ind w:left="0" w:right="0" w:hanging="720"/>
        <w:rPr/>
      </w:pPr>
      <w:r>
        <w:rPr>
          <w:rFonts w:ascii="Times New Roman;sans-serif" w:hAnsi="Times New Roman;sans-serif"/>
          <w:b/>
          <w:color w:val="000000"/>
          <w:sz w:val="22"/>
        </w:rPr>
        <w:t>7.1</w:t>
      </w:r>
      <w:r>
        <w:rPr>
          <w:rFonts w:ascii="Times New Roman;sans-serif" w:hAnsi="Times New Roman;sans-serif"/>
          <w:b w:val="false"/>
          <w:color w:val="000000"/>
          <w:sz w:val="22"/>
        </w:rPr>
        <w:t>The due execution and delivery to Bank of this Amendment by each party</w:t>
      </w:r>
    </w:p>
    <w:p>
      <w:pPr>
        <w:pStyle w:val="TextBody"/>
        <w:spacing w:lineRule="auto" w:line="240" w:before="2" w:after="283"/>
        <w:rPr>
          <w:rFonts w:ascii="Times New Roman;sans-serif" w:hAnsi="Times New Roman;sans-serif"/>
          <w:b w:val="false"/>
          <w:color w:val="000000"/>
          <w:sz w:val="22"/>
        </w:rPr>
      </w:pPr>
      <w:r>
        <w:rPr>
          <w:rFonts w:ascii="Times New Roman;sans-serif" w:hAnsi="Times New Roman;sans-serif"/>
          <w:b w:val="false"/>
          <w:color w:val="000000"/>
          <w:sz w:val="22"/>
        </w:rPr>
        <w:t>thereto;</w:t>
      </w:r>
    </w:p>
    <w:p>
      <w:pPr>
        <w:pStyle w:val="TextBody"/>
        <w:spacing w:before="7" w:after="283"/>
        <w:rPr/>
      </w:pPr>
      <w:r>
        <w:rPr/>
      </w:r>
    </w:p>
    <w:p>
      <w:pPr>
        <w:pStyle w:val="TextBody"/>
        <w:spacing w:lineRule="auto" w:line="240" w:before="91" w:after="283"/>
        <w:ind w:left="0" w:right="0" w:firstLine="1440"/>
        <w:jc w:val="both"/>
        <w:rPr/>
      </w:pPr>
      <w:r>
        <w:rPr>
          <w:rFonts w:ascii="Times New Roman;sans-serif" w:hAnsi="Times New Roman;sans-serif"/>
          <w:b/>
          <w:color w:val="000000"/>
          <w:sz w:val="22"/>
        </w:rPr>
        <w:t>7.2</w:t>
      </w:r>
      <w:r>
        <w:rPr>
          <w:rFonts w:ascii="Times New Roman;sans-serif" w:hAnsi="Times New Roman;sans-serif"/>
          <w:b w:val="false"/>
          <w:color w:val="000000"/>
          <w:sz w:val="22"/>
        </w:rPr>
        <w:t>copies, certified in a certificate executed by a duly authorized officer of Borrower, to be true and complete as of the date of such certificate, of each of (i) the governing documents of Borrower, as in effect on the date of such certificate, (ii) the resolutions of Borrower authorizing the execution and delivery of this Amendment, all documents executed by it in connection herewith, and Borrower’s performance of all of the transactions contemplated hereby, and (iii) an incumbency certificate giving the name and bearing a specimen signature of each individual who shall be so authorized;</w:t>
      </w:r>
    </w:p>
    <w:p>
      <w:pPr>
        <w:pStyle w:val="TextBody"/>
        <w:spacing w:before="0" w:after="0"/>
        <w:ind w:left="0" w:right="0" w:firstLine="1800"/>
        <w:jc w:val="both"/>
        <w:rPr/>
      </w:pPr>
      <w:r>
        <w:rPr/>
      </w:r>
    </w:p>
    <w:p>
      <w:pPr>
        <w:pStyle w:val="TextBody"/>
        <w:spacing w:lineRule="auto" w:line="240" w:before="0" w:after="0"/>
        <w:ind w:left="0" w:right="0" w:firstLine="1440"/>
        <w:jc w:val="both"/>
        <w:rPr/>
      </w:pPr>
      <w:r>
        <w:rPr>
          <w:rFonts w:ascii="Times New Roman;sans-serif" w:hAnsi="Times New Roman;sans-serif"/>
          <w:b/>
          <w:color w:val="000000"/>
          <w:sz w:val="22"/>
        </w:rPr>
        <w:t>7.3</w:t>
      </w:r>
      <w:r>
        <w:rPr>
          <w:rFonts w:ascii="Times New Roman;sans-serif" w:hAnsi="Times New Roman;sans-serif"/>
          <w:b w:val="false"/>
          <w:color w:val="000000"/>
          <w:sz w:val="22"/>
        </w:rPr>
        <w:t>a good standing certificate of Borrower, certified by the Secretary of State of the state of formation of Borrower, and each jurisdiction in which Borrower is qualified to do business required by Bank, dated as of a date no earlier than thirty (30) days prior to the date hereof;</w:t>
      </w:r>
    </w:p>
    <w:p>
      <w:pPr>
        <w:pStyle w:val="TextBody"/>
        <w:spacing w:before="0" w:after="0"/>
        <w:ind w:left="0" w:right="0" w:firstLine="1800"/>
        <w:jc w:val="both"/>
        <w:rPr/>
      </w:pPr>
      <w:r>
        <w:rPr/>
      </w:r>
    </w:p>
    <w:p>
      <w:pPr>
        <w:pStyle w:val="TextBody"/>
        <w:spacing w:lineRule="auto" w:line="240" w:before="0" w:after="0"/>
        <w:ind w:left="0" w:right="0" w:firstLine="1440"/>
        <w:jc w:val="both"/>
        <w:rPr/>
      </w:pPr>
      <w:r>
        <w:rPr>
          <w:rFonts w:ascii="Times New Roman;sans-serif" w:hAnsi="Times New Roman;sans-serif"/>
          <w:b/>
          <w:color w:val="000000"/>
          <w:sz w:val="22"/>
        </w:rPr>
        <w:t>7.4</w:t>
      </w:r>
      <w:r>
        <w:rPr>
          <w:rFonts w:ascii="Times New Roman;sans-serif" w:hAnsi="Times New Roman;sans-serif"/>
          <w:b w:val="false"/>
          <w:color w:val="000000"/>
          <w:sz w:val="22"/>
        </w:rPr>
        <w:t>repayment of all Obligations constituting Term Loan Advances (as defined in the Existing Loan Agreement) outstanding immediately prior to the First Amendment Effective Date;</w:t>
      </w:r>
    </w:p>
    <w:p>
      <w:pPr>
        <w:pStyle w:val="TextBody"/>
        <w:spacing w:lineRule="auto" w:line="240"/>
        <w:ind w:left="0" w:right="0" w:firstLine="1440"/>
        <w:jc w:val="both"/>
        <w:rPr/>
      </w:pPr>
      <w:r>
        <w:rPr>
          <w:rFonts w:ascii="Times New Roman;sans-serif" w:hAnsi="Times New Roman;sans-serif"/>
          <w:b/>
          <w:color w:val="000000"/>
          <w:sz w:val="22"/>
        </w:rPr>
        <w:t>7.5</w:t>
      </w:r>
      <w:r>
        <w:rPr>
          <w:rFonts w:ascii="Times New Roman;sans-serif" w:hAnsi="Times New Roman;sans-serif"/>
          <w:b w:val="false"/>
          <w:color w:val="000000"/>
          <w:sz w:val="22"/>
        </w:rPr>
        <w:t>certified copies, dated as of a recent date, of UCC and other lien searches of Borrower, as Bank may request and which shall be obtained by Bank, accompanied by written evidence (including any UCC termination statements) that the Liens revealed in any such searched either (i) will be terminated prior to or in connection with this Amendment, or (ii) will constitute Permitted Liens;</w:t>
      </w:r>
      <w:r>
        <w:br w:type="page"/>
      </w:r>
    </w:p>
    <w:p>
      <w:pPr>
        <w:pStyle w:val="TextBody"/>
        <w:spacing w:before="0" w:after="0"/>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ind w:left="0" w:right="0" w:firstLine="1800"/>
        <w:jc w:val="both"/>
        <w:rPr/>
      </w:pPr>
      <w:r>
        <w:rPr/>
      </w:r>
    </w:p>
    <w:p>
      <w:pPr>
        <w:pStyle w:val="TextBody"/>
        <w:spacing w:lineRule="auto" w:line="240" w:before="0" w:after="0"/>
        <w:ind w:left="0" w:right="0" w:firstLine="1440"/>
        <w:jc w:val="both"/>
        <w:rPr/>
      </w:pPr>
      <w:r>
        <w:rPr>
          <w:rFonts w:ascii="Times New Roman;sans-serif" w:hAnsi="Times New Roman;sans-serif"/>
          <w:b/>
          <w:color w:val="000000"/>
          <w:sz w:val="22"/>
        </w:rPr>
        <w:t>7.6</w:t>
      </w:r>
      <w:r>
        <w:rPr>
          <w:rFonts w:ascii="Times New Roman;sans-serif" w:hAnsi="Times New Roman;sans-serif"/>
          <w:b w:val="false"/>
          <w:color w:val="000000"/>
          <w:sz w:val="22"/>
        </w:rPr>
        <w:t>the Updated Perfection Certificate of Borrower;</w:t>
      </w:r>
    </w:p>
    <w:p>
      <w:pPr>
        <w:pStyle w:val="TextBody"/>
        <w:spacing w:before="0" w:after="0"/>
        <w:ind w:left="0" w:right="0" w:firstLine="1800"/>
        <w:jc w:val="both"/>
        <w:rPr/>
      </w:pPr>
      <w:r>
        <w:rPr/>
      </w:r>
    </w:p>
    <w:p>
      <w:pPr>
        <w:pStyle w:val="TextBody"/>
        <w:spacing w:lineRule="auto" w:line="240" w:before="0" w:after="0"/>
        <w:ind w:left="0" w:right="0" w:firstLine="1440"/>
        <w:jc w:val="both"/>
        <w:rPr/>
      </w:pPr>
      <w:r>
        <w:rPr>
          <w:rFonts w:ascii="Times New Roman;sans-serif" w:hAnsi="Times New Roman;sans-serif"/>
          <w:b/>
          <w:color w:val="000000"/>
          <w:sz w:val="22"/>
        </w:rPr>
        <w:t>7.7</w:t>
      </w:r>
      <w:r>
        <w:rPr>
          <w:rFonts w:ascii="Times New Roman;sans-serif" w:hAnsi="Times New Roman;sans-serif"/>
          <w:b w:val="false"/>
          <w:color w:val="000000"/>
          <w:sz w:val="22"/>
        </w:rPr>
        <w:t>Borrower’s payment of Bank’s legal fees and expenses incurred in connection with this Amendment; and</w:t>
      </w:r>
    </w:p>
    <w:p>
      <w:pPr>
        <w:pStyle w:val="TextBody"/>
        <w:spacing w:before="0" w:after="0"/>
        <w:ind w:left="0" w:right="0" w:firstLine="1800"/>
        <w:jc w:val="both"/>
        <w:rPr/>
      </w:pPr>
      <w:r>
        <w:rPr/>
      </w:r>
    </w:p>
    <w:p>
      <w:pPr>
        <w:pStyle w:val="TextBody"/>
        <w:spacing w:lineRule="auto" w:line="240" w:before="0" w:after="0"/>
        <w:ind w:left="0" w:right="0" w:firstLine="1440"/>
        <w:jc w:val="both"/>
        <w:rPr/>
      </w:pPr>
      <w:r>
        <w:rPr>
          <w:rFonts w:ascii="Times New Roman;sans-serif" w:hAnsi="Times New Roman;sans-serif"/>
          <w:b/>
          <w:color w:val="000000"/>
          <w:sz w:val="22"/>
        </w:rPr>
        <w:t>7.8</w:t>
      </w:r>
      <w:r>
        <w:rPr>
          <w:rFonts w:ascii="Times New Roman;sans-serif" w:hAnsi="Times New Roman;sans-serif"/>
          <w:b w:val="false"/>
          <w:color w:val="000000"/>
          <w:sz w:val="22"/>
        </w:rPr>
        <w:t>such other documents as Bank may reasonably request to effectuate the terms of this Amendment.</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color w:val="000000"/>
          <w:sz w:val="22"/>
        </w:rPr>
        <w:t>8.Governing Law</w:t>
      </w:r>
      <w:r>
        <w:rPr>
          <w:rFonts w:ascii="Times New Roman;sans-serif" w:hAnsi="Times New Roman;sans-serif"/>
          <w:b w:val="false"/>
          <w:color w:val="000000"/>
          <w:sz w:val="22"/>
        </w:rPr>
        <w:t>. This Amendment and any claim, controversy, dispute or cause of action (whether in contract or tort or otherwise) based upon, arising out of or relating to this Amendment and the transactions contemplated hereby and thereby shall be governed by, and construed in accordance with, the laws of the State of California, without giving effect to any choice or conflict of law provision or rule (whether of the State of California or any other jurisdiction).</w:t>
      </w:r>
    </w:p>
    <w:p>
      <w:pPr>
        <w:pStyle w:val="TextBody"/>
        <w:spacing w:before="1" w:after="283"/>
        <w:rPr/>
      </w:pPr>
      <w:r>
        <w:rPr/>
      </w:r>
    </w:p>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4" w:after="283"/>
        <w:rPr/>
      </w:pPr>
      <w:r>
        <w:rPr/>
      </w:r>
    </w:p>
    <w:p>
      <w:pPr>
        <w:pStyle w:val="TextBody"/>
        <w:spacing w:lineRule="auto" w:line="240" w:before="0" w:after="0"/>
        <w:ind w:left="0" w:right="0" w:firstLine="720"/>
        <w:rPr/>
      </w:pPr>
      <w:r>
        <w:rPr>
          <w:rFonts w:ascii="Times New Roman;sans-serif" w:hAnsi="Times New Roman;sans-serif"/>
          <w:b/>
          <w:color w:val="000000"/>
          <w:sz w:val="22"/>
        </w:rPr>
        <w:t xml:space="preserve">In Witness Whereof, </w:t>
      </w:r>
      <w:r>
        <w:rPr>
          <w:rFonts w:ascii="Times New Roman;sans-serif" w:hAnsi="Times New Roman;sans-serif"/>
          <w:b w:val="false"/>
          <w:color w:val="000000"/>
          <w:sz w:val="22"/>
        </w:rPr>
        <w:t>the parties hereto have caused this Amendment to be duly executed and delivered as of the date first written above.</w:t>
      </w:r>
    </w:p>
    <w:p>
      <w:pPr>
        <w:pStyle w:val="TextBody"/>
        <w:spacing w:before="0" w:after="0"/>
        <w:rPr/>
      </w:pPr>
      <w:r>
        <w:rPr/>
      </w:r>
    </w:p>
    <w:tbl>
      <w:tblPr>
        <w:tblW w:w="5696" w:type="dxa"/>
        <w:jc w:val="left"/>
        <w:tblInd w:w="0" w:type="dxa"/>
        <w:tblCellMar>
          <w:top w:w="28" w:type="dxa"/>
          <w:left w:w="28" w:type="dxa"/>
          <w:bottom w:w="28" w:type="dxa"/>
          <w:right w:w="28" w:type="dxa"/>
        </w:tblCellMar>
      </w:tblPr>
      <w:tblGrid>
        <w:gridCol w:w="965"/>
        <w:gridCol w:w="847"/>
        <w:gridCol w:w="858"/>
        <w:gridCol w:w="109"/>
        <w:gridCol w:w="109"/>
        <w:gridCol w:w="109"/>
        <w:gridCol w:w="789"/>
        <w:gridCol w:w="789"/>
        <w:gridCol w:w="1121"/>
      </w:tblGrid>
      <w:tr>
        <w:trPr/>
        <w:tc>
          <w:tcPr>
            <w:tcW w:w="965"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top w:val="dotted" w:sz="4" w:space="0" w:color="000000"/>
              <w:left w:val="dotted" w:sz="4" w:space="0" w:color="000000"/>
            </w:tcBorders>
            <w:shd w:fill="auto" w:val="clear"/>
            <w:tcMar>
              <w:top w:w="30" w:type="dxa"/>
              <w:left w:w="127"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BANK:</w:t>
            </w:r>
          </w:p>
        </w:tc>
        <w:tc>
          <w:tcPr>
            <w:tcW w:w="327" w:type="dxa"/>
            <w:gridSpan w:val="3"/>
            <w:vMerge w:val="restart"/>
            <w:tcBorders>
              <w:top w:val="dotted" w:sz="4" w:space="0" w:color="000000"/>
              <w:left w:val="dotted" w:sz="4" w:space="0" w:color="000000"/>
              <w:bottom w:val="dotted" w:sz="4" w:space="0" w:color="000000"/>
            </w:tcBorders>
            <w:shd w:fill="auto" w:val="clear"/>
            <w:tcMar>
              <w:right w:w="0" w:type="dxa"/>
            </w:tcMar>
            <w:vAlign w:val="center"/>
          </w:tcPr>
          <w:p>
            <w:pPr>
              <w:pStyle w:val="TableContents"/>
              <w:spacing w:before="0" w:after="283"/>
              <w:rPr>
                <w:sz w:val="4"/>
                <w:szCs w:val="4"/>
              </w:rPr>
            </w:pPr>
            <w:r>
              <w:rPr>
                <w:sz w:val="4"/>
                <w:szCs w:val="4"/>
              </w:rPr>
            </w:r>
          </w:p>
        </w:tc>
        <w:tc>
          <w:tcPr>
            <w:tcW w:w="2699" w:type="dxa"/>
            <w:gridSpan w:val="3"/>
            <w:tcBorders>
              <w:top w:val="dotted" w:sz="4" w:space="0" w:color="000000"/>
              <w:left w:val="dotted" w:sz="4" w:space="0" w:color="000000"/>
              <w:right w:val="dotted" w:sz="4" w:space="0" w:color="000000"/>
            </w:tcBorders>
            <w:shd w:fill="auto" w:val="clear"/>
            <w:tcMar>
              <w:top w:w="30" w:type="dxa"/>
              <w:left w:w="127" w:type="dxa"/>
              <w:bottom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BORROWER:</w:t>
            </w:r>
          </w:p>
        </w:tc>
      </w:tr>
      <w:tr>
        <w:trPr/>
        <w:tc>
          <w:tcPr>
            <w:tcW w:w="2670" w:type="dxa"/>
            <w:gridSpan w:val="3"/>
            <w:tcBorders>
              <w:left w:val="dotted" w:sz="4" w:space="0" w:color="000000"/>
              <w:right w:val="dotted" w:sz="4" w:space="0" w:color="000000"/>
            </w:tcBorders>
            <w:shd w:fill="auto" w:val="clear"/>
            <w:tcMar>
              <w:top w:w="0" w:type="dxa"/>
              <w:bottom w:w="0" w:type="dxa"/>
            </w:tcMar>
            <w:vAlign w:val="center"/>
          </w:tcPr>
          <w:p>
            <w:pPr>
              <w:pStyle w:val="TableContents"/>
              <w:spacing w:lineRule="auto" w:line="240" w:before="117"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SILICON VALLEY BANK</w:t>
            </w:r>
          </w:p>
        </w:tc>
        <w:tc>
          <w:tcPr>
            <w:tcW w:w="327" w:type="dxa"/>
            <w:gridSpan w:val="3"/>
            <w:vMerge w:val="continue"/>
            <w:tcBorders>
              <w:top w:val="dotted" w:sz="4" w:space="0" w:color="000000"/>
              <w:left w:val="dotted" w:sz="4" w:space="0" w:color="000000"/>
              <w:bottom w:val="dotted" w:sz="4" w:space="0" w:color="000000"/>
            </w:tcBorders>
            <w:shd w:fill="auto" w:val="clear"/>
            <w:tcMar>
              <w:right w:w="0" w:type="dxa"/>
            </w:tcMar>
            <w:vAlign w:val="center"/>
          </w:tcPr>
          <w:p>
            <w:pPr>
              <w:pStyle w:val="Normal"/>
              <w:rPr/>
            </w:pPr>
            <w:r>
              <w:rPr/>
            </w:r>
          </w:p>
        </w:tc>
        <w:tc>
          <w:tcPr>
            <w:tcW w:w="2699" w:type="dxa"/>
            <w:gridSpan w:val="3"/>
            <w:tcBorders>
              <w:left w:val="dotted" w:sz="4" w:space="0" w:color="000000"/>
              <w:right w:val="dotted" w:sz="4" w:space="0" w:color="000000"/>
            </w:tcBorders>
            <w:shd w:fill="auto" w:val="clear"/>
            <w:tcMar>
              <w:top w:w="0" w:type="dxa"/>
              <w:bottom w:w="0" w:type="dxa"/>
            </w:tcMar>
            <w:vAlign w:val="center"/>
          </w:tcPr>
          <w:p>
            <w:pPr>
              <w:pStyle w:val="TableContents"/>
              <w:spacing w:lineRule="auto" w:line="240" w:before="117"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SI-BONE, INC.</w:t>
            </w:r>
          </w:p>
        </w:tc>
      </w:tr>
      <w:tr>
        <w:trPr/>
        <w:tc>
          <w:tcPr>
            <w:tcW w:w="2670" w:type="dxa"/>
            <w:gridSpan w:val="3"/>
            <w:tcBorders>
              <w:left w:val="dotted" w:sz="4" w:space="0" w:color="000000"/>
              <w:bottom w:val="dotted" w:sz="4" w:space="0" w:color="000000"/>
              <w:right w:val="dotted" w:sz="4" w:space="0" w:color="000000"/>
            </w:tcBorders>
            <w:shd w:fill="auto" w:val="clear"/>
            <w:tcMar>
              <w:top w:w="0" w:type="dxa"/>
              <w:bottom w:w="30" w:type="dxa"/>
            </w:tcMar>
            <w:vAlign w:val="center"/>
          </w:tcPr>
          <w:p>
            <w:pPr>
              <w:pStyle w:val="TableContents"/>
              <w:spacing w:before="1" w:after="283"/>
              <w:jc w:val="left"/>
              <w:rPr/>
            </w:pPr>
            <w:r>
              <w:rPr/>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/s/ Mark Davis</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Mark Davis</w:t>
            </w:r>
          </w:p>
          <w:p>
            <w:pPr>
              <w:pStyle w:val="TableContents"/>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Senior Vice President</w:t>
            </w:r>
          </w:p>
        </w:tc>
        <w:tc>
          <w:tcPr>
            <w:tcW w:w="327" w:type="dxa"/>
            <w:gridSpan w:val="3"/>
            <w:vMerge w:val="continue"/>
            <w:tcBorders>
              <w:top w:val="dotted" w:sz="4" w:space="0" w:color="000000"/>
              <w:left w:val="dotted" w:sz="4" w:space="0" w:color="000000"/>
              <w:bottom w:val="dotted" w:sz="4" w:space="0" w:color="000000"/>
            </w:tcBorders>
            <w:shd w:fill="auto" w:val="clear"/>
            <w:tcMar>
              <w:right w:w="0" w:type="dxa"/>
            </w:tcMar>
            <w:vAlign w:val="center"/>
          </w:tcPr>
          <w:p>
            <w:pPr>
              <w:pStyle w:val="Normal"/>
              <w:rPr/>
            </w:pPr>
            <w:r>
              <w:rPr/>
            </w:r>
          </w:p>
        </w:tc>
        <w:tc>
          <w:tcPr>
            <w:tcW w:w="2699" w:type="dxa"/>
            <w:gridSpan w:val="3"/>
            <w:tcBorders>
              <w:left w:val="dotted" w:sz="4" w:space="0" w:color="000000"/>
              <w:bottom w:val="dotted" w:sz="4" w:space="0" w:color="000000"/>
              <w:right w:val="dotted" w:sz="4" w:space="0" w:color="000000"/>
            </w:tcBorders>
            <w:shd w:fill="auto" w:val="clear"/>
            <w:tcMar>
              <w:top w:w="0" w:type="dxa"/>
              <w:bottom w:w="30" w:type="dxa"/>
            </w:tcMar>
            <w:vAlign w:val="center"/>
          </w:tcPr>
          <w:p>
            <w:pPr>
              <w:pStyle w:val="TableContents"/>
              <w:spacing w:before="1" w:after="283"/>
              <w:jc w:val="left"/>
              <w:rPr/>
            </w:pPr>
            <w:r>
              <w:rPr/>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/s/ Anshul Maheshwari</w:t>
            </w:r>
          </w:p>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Anshul Maheshwari</w:t>
            </w:r>
          </w:p>
          <w:p>
            <w:pPr>
              <w:pStyle w:val="TableContents"/>
              <w:spacing w:lineRule="auto" w:line="240"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CFO</w:t>
            </w:r>
          </w:p>
        </w:tc>
      </w:tr>
    </w:tbl>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7" w:after="283"/>
        <w:rPr/>
      </w:pPr>
      <w:r>
        <w:rPr/>
      </w:r>
    </w:p>
    <w:p>
      <w:pPr>
        <w:pStyle w:val="TextBody"/>
        <w:spacing w:lineRule="auto" w:line="240" w:before="9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spacing w:before="0" w:after="0"/>
        <w:rPr/>
      </w:pPr>
      <w:r>
        <w:rPr/>
      </w:r>
    </w:p>
    <w:p>
      <w:pPr>
        <w:pStyle w:val="TextBody"/>
        <w:spacing w:before="6" w:after="283"/>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[Attached.]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LOAN AND SECURITY AGREEMENT</w:t>
      </w:r>
    </w:p>
    <w:p>
      <w:pPr>
        <w:pStyle w:val="TextBody"/>
        <w:spacing w:before="0" w:after="0"/>
        <w:rPr/>
      </w:pPr>
      <w:r>
        <w:rPr/>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This </w:t>
      </w:r>
      <w:r>
        <w:rPr>
          <w:rFonts w:ascii="Times New Roman;sans-serif" w:hAnsi="Times New Roman;sans-serif"/>
          <w:b/>
          <w:color w:val="000000"/>
          <w:sz w:val="20"/>
        </w:rPr>
        <w:t xml:space="preserve">LOAN AND SECURITY AGREEMENT </w:t>
      </w:r>
      <w:r>
        <w:rPr>
          <w:rFonts w:ascii="Times New Roman;sans-serif" w:hAnsi="Times New Roman;sans-serif"/>
          <w:b w:val="false"/>
          <w:color w:val="000000"/>
          <w:sz w:val="20"/>
        </w:rPr>
        <w:t>(this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is dated as of the Effective Date between </w:t>
      </w:r>
      <w:r>
        <w:rPr>
          <w:rFonts w:ascii="Times New Roman;sans-serif" w:hAnsi="Times New Roman;sans-serif"/>
          <w:b/>
          <w:color w:val="000000"/>
          <w:sz w:val="20"/>
        </w:rPr>
        <w:t>SILICON VALLEY BANK</w:t>
      </w:r>
      <w:r>
        <w:rPr>
          <w:rFonts w:ascii="Times New Roman;sans-serif" w:hAnsi="Times New Roman;sans-serif"/>
          <w:b w:val="false"/>
          <w:color w:val="000000"/>
          <w:sz w:val="20"/>
        </w:rPr>
        <w:t>, a California corporation (“</w:t>
      </w:r>
      <w:r>
        <w:rPr>
          <w:rFonts w:ascii="Times New Roman;sans-serif" w:hAnsi="Times New Roman;sans-serif"/>
          <w:b/>
          <w:color w:val="000000"/>
          <w:sz w:val="20"/>
        </w:rPr>
        <w:t>Bank</w:t>
      </w:r>
      <w:r>
        <w:rPr>
          <w:color w:val="000000"/>
        </w:rPr>
        <w:t>”</w:t>
      </w:r>
      <w:r>
        <w:rPr>
          <w:rFonts w:ascii="Times New Roman;sans-serif" w:hAnsi="Times New Roman;sans-serif"/>
          <w:b w:val="false"/>
          <w:color w:val="000000"/>
          <w:sz w:val="20"/>
        </w:rPr>
        <w:t>), and the borrower listed on Schedule I hereto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 The parties agree as follows:</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color w:val="000000"/>
          <w:sz w:val="20"/>
        </w:rPr>
        <w:t>1.</w:t>
      </w:r>
      <w:r>
        <w:rPr>
          <w:rFonts w:ascii="Times New Roman;sans-serif" w:hAnsi="Times New Roman;sans-serif"/>
          <w:b/>
          <w:color w:val="000000"/>
          <w:sz w:val="20"/>
          <w:u w:val="single"/>
        </w:rPr>
        <w:t>LOAN AND TERMS OF PAYMENT</w:t>
      </w:r>
    </w:p>
    <w:p>
      <w:pPr>
        <w:pStyle w:val="TextBody"/>
        <w:spacing w:before="0" w:after="0"/>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1.1Term Loan Advance.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Availability</w:t>
      </w:r>
      <w:r>
        <w:rPr>
          <w:rFonts w:ascii="Times New Roman;sans-serif" w:hAnsi="Times New Roman;sans-serif"/>
          <w:b w:val="false"/>
          <w:color w:val="000000"/>
          <w:sz w:val="20"/>
        </w:rPr>
        <w:t>. Subject to the terms and conditions of this Agreement, on or about the First Amendment Effective Date or, Bank shall make one (1) term loan advance to Borrower in an original principal amount equal to the Term Loan Availability Amount (the “</w:t>
      </w:r>
      <w:r>
        <w:rPr>
          <w:rFonts w:ascii="Times New Roman;sans-serif" w:hAnsi="Times New Roman;sans-serif"/>
          <w:b/>
          <w:color w:val="000000"/>
          <w:sz w:val="20"/>
        </w:rPr>
        <w:t>Term Loan Advance</w:t>
      </w:r>
      <w:r>
        <w:rPr>
          <w:color w:val="000000"/>
        </w:rPr>
        <w:t>”</w:t>
      </w:r>
      <w:r>
        <w:rPr>
          <w:rFonts w:ascii="Times New Roman;sans-serif" w:hAnsi="Times New Roman;sans-serif"/>
          <w:b w:val="false"/>
          <w:color w:val="000000"/>
          <w:sz w:val="20"/>
        </w:rPr>
        <w:t>) which shall be used to (i) refinance the Term Loan Advance (as defined in the Agreement prior to the First Amendment Effective Date) outstanding as of the First Amendment Effective Date, (ii) satisfy the Final Payment (as defined in the Agreement prior to the First Amendment Effective Date), which is with respect to the Term Loan Advance (as defined in the Agreement prior to the First Amendment Effective Date), and (iii) thereafter, used for working capital purposes. Bank and Borrower acknowledge and agree that prior to the First Amendment Effective Date, the amount Borrower accrued and owed to Bank in connection with the Final Payment (as defined in the Agreement prior to the First Amendment Effective Date) was Two Hundred Seventy Four Thousand Nine Hundred Ninety Dollars and 88/100 ($274,990.88). After repayment (in whole or in part), the Term Loan Advance may not be reborrowed.</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Additionally, at any time during the applicable draw period agreed to by Borrower and Bank, Borrower may request that Bank make additional term loan advances available to Borrower in an aggregate original principal amount of up to Fifteen Million Dollars ($15,000,000) (the “</w:t>
      </w:r>
      <w:r>
        <w:rPr>
          <w:rFonts w:ascii="Times New Roman;sans-serif" w:hAnsi="Times New Roman;sans-serif"/>
          <w:b/>
          <w:color w:val="000000"/>
          <w:sz w:val="20"/>
        </w:rPr>
        <w:t>Uncommitted Accordion</w:t>
      </w:r>
      <w:r>
        <w:rPr>
          <w:color w:val="000000"/>
        </w:rPr>
        <w:t>”</w:t>
      </w:r>
      <w:r>
        <w:rPr>
          <w:rFonts w:ascii="Times New Roman;sans-serif" w:hAnsi="Times New Roman;sans-serif"/>
          <w:b w:val="false"/>
          <w:color w:val="000000"/>
          <w:sz w:val="20"/>
        </w:rPr>
        <w:t>). Bank, in its sole and absolute discretion, may grant or deny any such request from Borrower for a term loan advance under the Uncommitted Accordion. If, and only if, Bank, in its sole discretion, agrees to provide any additional term loan advance(s) to Borrower under the Uncommitted Accordion, each such term loan advance shall each be considered a “Term Loan Advance” hereunder and added to the definition thereof; provided that the terms of the making of any advance under the Uncommitted Accordion shall be outlined in an amendment to this Agreement to be entered into by the parties hereto.</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Repayment</w:t>
      </w:r>
      <w:r>
        <w:rPr>
          <w:rFonts w:ascii="Times New Roman;sans-serif" w:hAnsi="Times New Roman;sans-serif"/>
          <w:b w:val="false"/>
          <w:color w:val="000000"/>
          <w:sz w:val="20"/>
        </w:rPr>
        <w:t>. Borrower shall repay the Term Loan Advance as set forth in Schedule I hereto. All outstanding principal and accrued and unpaid interest under the Term Loan Advance, and all other outstanding Obligations with respect to such Term Loan Advance, are due and payable in full on the Term Loan Maturity Date.</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Permitted Prepayment</w:t>
      </w:r>
      <w:r>
        <w:rPr>
          <w:rFonts w:ascii="Times New Roman;sans-serif" w:hAnsi="Times New Roman;sans-serif"/>
          <w:b w:val="false"/>
          <w:color w:val="000000"/>
          <w:sz w:val="20"/>
        </w:rPr>
        <w:t>. Borrower shall have the option to prepay all, but not less than all, of the Term Loan Advance, provided Borrower (i) delivers written notice to Bank of its election to prepay the Term Loan Advance at least five (5) Business Days prior to such prepayment, and (ii) pays, on the date of such prepayment</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the outstanding principal plus accrued and unpaid interest with respect to the Term Loan Advance, (B) the applicable Prepayment Fee, if any, (C) the Final Payment, and (D) all other sums, if any, that shall have become due and payable with respect to the Term Loan Advance, including interest at the Default Rate with respect to any past due amounts.</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Mandatory Prepayment Upon an Acceleration</w:t>
      </w:r>
      <w:r>
        <w:rPr>
          <w:rFonts w:ascii="Times New Roman;sans-serif" w:hAnsi="Times New Roman;sans-serif"/>
          <w:b w:val="false"/>
          <w:color w:val="000000"/>
          <w:sz w:val="20"/>
        </w:rPr>
        <w:t>. If the Term Loan Advance is accelerated by Bank following the occurrence and during the continuance of an Event of Default, Borrower shall immediately pay to Bank an amount equal to the sum of (i) all outstanding principal plus accrued and unpaid interest with respect to the Term Loan Advance, (ii) the applicable Prepayment Fee, if any, (iii) the Final Payment, and (iv) all other sums, if any, that shall have become due and payable with respect to the Term Loan Advance, including interest at the Default Rate with respect to any past due amounts.</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1.1.ARevolving 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Availability</w:t>
      </w:r>
      <w:r>
        <w:rPr>
          <w:rFonts w:ascii="Times New Roman;sans-serif" w:hAnsi="Times New Roman;sans-serif"/>
          <w:b w:val="false"/>
          <w:color w:val="000000"/>
          <w:sz w:val="20"/>
        </w:rPr>
        <w:t>. Subject to the terms and conditions of this Agreement and to deduction of Reserves, Bank shall make Advances under the Revolving Line upon Borrower’s request not exceeding the Availability Amount. Amounts borrowed under the Revolving Line may be prepaid or repaid as set forth on Schedule I hereto.</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Termination; Repayment</w:t>
      </w:r>
      <w:r>
        <w:rPr>
          <w:rFonts w:ascii="Times New Roman;sans-serif" w:hAnsi="Times New Roman;sans-serif"/>
          <w:b w:val="false"/>
          <w:color w:val="000000"/>
          <w:sz w:val="20"/>
        </w:rPr>
        <w:t>. The Revolving Line terminates on the Revolving Line Maturity Date, at which time the outstanding principal amount of all Advances, the accrued and unpaid interest thereon, and all other outstanding Obligations relating to the Revolving Line shall be immediately due and payable.</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1.1.B</w:t>
      </w:r>
      <w:r>
        <w:rPr>
          <w:rFonts w:ascii="Times New Roman;sans-serif" w:hAnsi="Times New Roman;sans-serif"/>
          <w:b/>
          <w:color w:val="000000"/>
          <w:sz w:val="20"/>
        </w:rPr>
        <w:t xml:space="preserve">Overadvances. </w:t>
      </w:r>
      <w:r>
        <w:rPr>
          <w:rFonts w:ascii="Times New Roman;sans-serif" w:hAnsi="Times New Roman;sans-serif"/>
          <w:b w:val="false"/>
          <w:color w:val="000000"/>
          <w:sz w:val="20"/>
        </w:rPr>
        <w:t>If, at any time, the sum of the aggregate outstanding principal amount of any Advances exceeds the lesser of (i) the Revolving Line or (ii) the Borrowing Base, Borrower shall immediately pay to Bank in cash the amount of such excess (such excess, the “</w:t>
      </w:r>
      <w:r>
        <w:rPr>
          <w:rFonts w:ascii="Times New Roman;sans-serif" w:hAnsi="Times New Roman;sans-serif"/>
          <w:b/>
          <w:color w:val="000000"/>
          <w:sz w:val="20"/>
        </w:rPr>
        <w:t>Overadvance</w:t>
      </w:r>
      <w:r>
        <w:rPr>
          <w:color w:val="000000"/>
        </w:rPr>
        <w:t>”</w:t>
      </w:r>
      <w:r>
        <w:rPr>
          <w:rFonts w:ascii="Times New Roman;sans-serif" w:hAnsi="Times New Roman;sans-serif"/>
          <w:b w:val="false"/>
          <w:color w:val="000000"/>
          <w:sz w:val="20"/>
        </w:rPr>
        <w:t>). Without limiting Borrower’s obligation to repay Bank any Overadvance, at Bank’s sole option, Borrower shall pay Bank interest on the outstanding amount of any Overadvance, on demand, at a rate per annum equal to the rate that is otherwise applicable to Advances plus three percent (3.0%).</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1.2Payment of Interest on the Credit Extensions.</w:t>
      </w:r>
    </w:p>
    <w:p>
      <w:pPr>
        <w:pStyle w:val="TextBody"/>
        <w:spacing w:before="10" w:after="283"/>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Interest Payments</w:t>
      </w:r>
      <w:r>
        <w:rPr>
          <w:rFonts w:ascii="Times New Roman;sans-serif" w:hAnsi="Times New Roman;sans-serif"/>
          <w:b w:val="false"/>
          <w:color w:val="000000"/>
          <w:sz w:val="20"/>
        </w:rPr>
        <w:t>.</w:t>
      </w:r>
    </w:p>
    <w:p>
      <w:pPr>
        <w:pStyle w:val="TextBody"/>
        <w:spacing w:before="10" w:after="283"/>
        <w:rPr/>
      </w:pPr>
      <w:r>
        <w:rPr/>
      </w:r>
    </w:p>
    <w:p>
      <w:pPr>
        <w:pStyle w:val="TextBody"/>
        <w:spacing w:lineRule="auto" w:line="240" w:before="91" w:after="283"/>
        <w:ind w:left="0" w:right="0" w:firstLine="720"/>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Advances</w:t>
      </w:r>
      <w:r>
        <w:rPr>
          <w:rFonts w:ascii="Times New Roman;sans-serif" w:hAnsi="Times New Roman;sans-serif"/>
          <w:b w:val="false"/>
          <w:color w:val="000000"/>
          <w:sz w:val="20"/>
        </w:rPr>
        <w:t>. Interest on the principal amount of each Advance is payable as set forth on Schedule I hereto.</w:t>
      </w:r>
    </w:p>
    <w:p>
      <w:pPr>
        <w:pStyle w:val="TextBody"/>
        <w:spacing w:before="10" w:after="283"/>
        <w:rPr/>
      </w:pPr>
      <w:r>
        <w:rPr/>
      </w:r>
    </w:p>
    <w:p>
      <w:pPr>
        <w:pStyle w:val="TextBody"/>
        <w:spacing w:lineRule="auto" w:line="240" w:before="0" w:after="0"/>
        <w:ind w:left="0" w:right="0" w:firstLine="720"/>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Term Loan Advances</w:t>
      </w:r>
      <w:r>
        <w:rPr>
          <w:rFonts w:ascii="Times New Roman;sans-serif" w:hAnsi="Times New Roman;sans-serif"/>
          <w:b w:val="false"/>
          <w:color w:val="000000"/>
          <w:sz w:val="20"/>
        </w:rPr>
        <w:t>. Interest on the outstanding principal amount of each Term Loan Advance is payable as set forth on Schedule I hereto.</w:t>
      </w:r>
    </w:p>
    <w:p>
      <w:pPr>
        <w:pStyle w:val="TextBody"/>
        <w:spacing w:before="11" w:after="283"/>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Interest Rate</w:t>
      </w:r>
      <w:r>
        <w:rPr>
          <w:rFonts w:ascii="Times New Roman;sans-serif" w:hAnsi="Times New Roman;sans-serif"/>
          <w:b w:val="false"/>
          <w:color w:val="000000"/>
          <w:sz w:val="20"/>
        </w:rPr>
        <w:t>.</w:t>
      </w:r>
    </w:p>
    <w:p>
      <w:pPr>
        <w:pStyle w:val="TextBody"/>
        <w:spacing w:before="9" w:after="283"/>
        <w:rPr/>
      </w:pPr>
      <w:r>
        <w:rPr/>
      </w:r>
    </w:p>
    <w:p>
      <w:pPr>
        <w:pStyle w:val="TextBody"/>
        <w:spacing w:lineRule="auto" w:line="240" w:before="91" w:after="283"/>
        <w:ind w:left="0" w:right="0" w:firstLine="288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Advances</w:t>
      </w:r>
      <w:r>
        <w:rPr>
          <w:rFonts w:ascii="Times New Roman;sans-serif" w:hAnsi="Times New Roman;sans-serif"/>
          <w:b w:val="false"/>
          <w:color w:val="000000"/>
          <w:sz w:val="20"/>
        </w:rPr>
        <w:t>. Subject to Section 1.2(c), the outstanding principal amount of any Advance shall accrue interest as set forth on Schedule I hereto.</w:t>
      </w:r>
    </w:p>
    <w:p>
      <w:pPr>
        <w:pStyle w:val="TextBody"/>
        <w:spacing w:before="0" w:after="0"/>
        <w:rPr/>
      </w:pPr>
      <w:r>
        <w:rPr/>
      </w:r>
    </w:p>
    <w:p>
      <w:pPr>
        <w:pStyle w:val="TextBody"/>
        <w:spacing w:lineRule="auto" w:line="240" w:before="0" w:after="0"/>
        <w:ind w:left="0" w:right="0" w:firstLine="288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u w:val="single"/>
        </w:rPr>
        <w:t>Term Loan Advances</w:t>
      </w:r>
      <w:r>
        <w:rPr>
          <w:rFonts w:ascii="Times New Roman;sans-serif" w:hAnsi="Times New Roman;sans-serif"/>
          <w:b w:val="false"/>
          <w:color w:val="000000"/>
          <w:sz w:val="20"/>
        </w:rPr>
        <w:t>. Subject to Section 1.2(c), the outstanding principal amount of the Term Loan Advance shall accrue interest as set forth on Schedule I hereto.</w:t>
      </w:r>
    </w:p>
    <w:p>
      <w:pPr>
        <w:pStyle w:val="TextBody"/>
        <w:spacing w:before="10" w:after="283"/>
        <w:rPr/>
      </w:pPr>
      <w:r>
        <w:rPr/>
      </w:r>
    </w:p>
    <w:p>
      <w:pPr>
        <w:pStyle w:val="TextBody"/>
        <w:spacing w:lineRule="auto" w:line="240" w:before="0" w:after="0"/>
        <w:ind w:left="0" w:right="0" w:firstLine="288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u w:val="single"/>
        </w:rPr>
        <w:t>All-In Rate</w:t>
      </w:r>
      <w:r>
        <w:rPr>
          <w:rFonts w:ascii="Times New Roman;sans-serif" w:hAnsi="Times New Roman;sans-serif"/>
          <w:b w:val="false"/>
          <w:color w:val="000000"/>
          <w:sz w:val="20"/>
        </w:rPr>
        <w:t>. Notwithstanding any terms in this Agreement to the contrary, if at any time the interest rate applicable to any Obligations is less than zero percent (0.0%), such interest rate shall be deemed to be zero percent (0.0%) for all purposes of this Agreement.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Default Rate</w:t>
      </w:r>
      <w:r>
        <w:rPr>
          <w:rFonts w:ascii="Times New Roman;sans-serif" w:hAnsi="Times New Roman;sans-serif"/>
          <w:b w:val="false"/>
          <w:color w:val="000000"/>
          <w:sz w:val="20"/>
        </w:rPr>
        <w:t>. Immediately upon the occurrence and during the continuance of an Event of Default, the outstanding Obligations shall bear interest at a rate per annum which is three percent (3.0%) above the rate that is otherwise applicable thereto (the “</w:t>
      </w:r>
      <w:r>
        <w:rPr>
          <w:rFonts w:ascii="Times New Roman;sans-serif" w:hAnsi="Times New Roman;sans-serif"/>
          <w:b/>
          <w:color w:val="000000"/>
          <w:sz w:val="20"/>
        </w:rPr>
        <w:t>Default Rate</w:t>
      </w:r>
      <w:r>
        <w:rPr>
          <w:color w:val="000000"/>
        </w:rPr>
        <w:t>”</w:t>
      </w:r>
      <w:r>
        <w:rPr>
          <w:rFonts w:ascii="Times New Roman;sans-serif" w:hAnsi="Times New Roman;sans-serif"/>
          <w:b w:val="false"/>
          <w:color w:val="000000"/>
          <w:sz w:val="20"/>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1.2(c) is not a permitted alternative to timely payment and shall not constitute a waiver of any Event of Default or otherwise prejudice or limit any rights or remedies of Bank.</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Adjustment to Interest Rate</w:t>
      </w:r>
      <w:r>
        <w:rPr>
          <w:rFonts w:ascii="Times New Roman;sans-serif" w:hAnsi="Times New Roman;sans-serif"/>
          <w:b w:val="false"/>
          <w:color w:val="000000"/>
          <w:sz w:val="20"/>
        </w:rPr>
        <w:t>. Each change in the interest rate applicable to any amounts payable under the Loan Documents based on changes to the Prime Rate shall be effective on the effective date of any change to the Prime Rate and to the extent of such change.</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Interest Computation</w:t>
      </w:r>
      <w:r>
        <w:rPr>
          <w:rFonts w:ascii="Times New Roman;sans-serif" w:hAnsi="Times New Roman;sans-serif"/>
          <w:b w:val="false"/>
          <w:color w:val="000000"/>
          <w:sz w:val="20"/>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hanging="720"/>
        <w:rPr/>
      </w:pPr>
      <w:r>
        <w:rPr>
          <w:rFonts w:ascii="Times New Roman;sans-serif" w:hAnsi="Times New Roman;sans-serif"/>
          <w:b/>
          <w:color w:val="000000"/>
          <w:sz w:val="20"/>
        </w:rPr>
        <w:t xml:space="preserve">1.3Fees and Expenses. </w:t>
      </w:r>
      <w:r>
        <w:rPr>
          <w:rFonts w:ascii="Times New Roman;sans-serif" w:hAnsi="Times New Roman;sans-serif"/>
          <w:b w:val="false"/>
          <w:color w:val="000000"/>
          <w:sz w:val="20"/>
        </w:rPr>
        <w:t>Borrower shall pay to Bank:</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Prepayment Fee</w:t>
      </w:r>
      <w:r>
        <w:rPr>
          <w:rFonts w:ascii="Times New Roman;sans-serif" w:hAnsi="Times New Roman;sans-serif"/>
          <w:b w:val="false"/>
          <w:color w:val="000000"/>
          <w:sz w:val="20"/>
        </w:rPr>
        <w:t>. The Prepayment Fee, if and when due hereunder, which shall be fully earned and non-refundable as of the applicable prepayment date; provided, however, if Borrower refinances the Term Loan Advance with another credit facility from Bank, Bank shall waive the Prepayment Fee;</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Final Payment</w:t>
      </w:r>
      <w:r>
        <w:rPr>
          <w:rFonts w:ascii="Times New Roman;sans-serif" w:hAnsi="Times New Roman;sans-serif"/>
          <w:b w:val="false"/>
          <w:color w:val="000000"/>
          <w:sz w:val="20"/>
        </w:rPr>
        <w:t>. The Final Payment, when due hereunder, which shall be fully earned and non-refundable as of such date, provided however, for the avoidance of doubt, the Final Payment due under the terms of this original Agreement with respect to the original Term Loan Advances shall be pro-rated and accrued and payable only through the date such original Term Loan Advances are repaid on or around the First Amendment Effective Date, in accordance with Section 1.1(a);</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Revolving Line Commitment Fee</w:t>
      </w:r>
      <w:r>
        <w:rPr>
          <w:rFonts w:ascii="Times New Roman;sans-serif" w:hAnsi="Times New Roman;sans-serif"/>
          <w:b w:val="false"/>
          <w:color w:val="000000"/>
          <w:sz w:val="20"/>
        </w:rPr>
        <w:t>. A fully earned, as of the First Amendment Effective Date, non-refundable commitment fee as set forth on Schedule I hereto; and</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Termination Fee</w:t>
      </w:r>
      <w:r>
        <w:rPr>
          <w:rFonts w:ascii="Times New Roman;sans-serif" w:hAnsi="Times New Roman;sans-serif"/>
          <w:b w:val="false"/>
          <w:color w:val="000000"/>
          <w:sz w:val="20"/>
        </w:rPr>
        <w:t>. Upon termination of this Agreement or the termination of the Revolving Line for any reason prior to the Revolving Line Maturity Date, in addition to the payment of any other amounts then- owing, a termination fee in an amount equal to One Hundred Fifty Thousand Dollars ($150,000), which shall be fully earned and non-refundable as of such date; provided that no termination fee shall be charged if the credit facility hereunder is replaced with a new facility from Bank;</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Bank Expenses</w:t>
      </w:r>
      <w:r>
        <w:rPr>
          <w:rFonts w:ascii="Times New Roman;sans-serif" w:hAnsi="Times New Roman;sans-serif"/>
          <w:b w:val="false"/>
          <w:color w:val="000000"/>
          <w:sz w:val="20"/>
        </w:rPr>
        <w:t>. All Bank Expenses incurred through and after the First Amendment Effective Date, when due (or, if no stated due date, upon demand by Bank). Borrower has paid to Bank a good faith deposit of Seventy-Five Thousand Dollars ($75,000) (the “</w:t>
      </w:r>
      <w:r>
        <w:rPr>
          <w:rFonts w:ascii="Times New Roman;sans-serif" w:hAnsi="Times New Roman;sans-serif"/>
          <w:b/>
          <w:color w:val="000000"/>
          <w:sz w:val="20"/>
        </w:rPr>
        <w:t>Good Faith Deposit</w:t>
      </w:r>
      <w:r>
        <w:rPr>
          <w:color w:val="000000"/>
        </w:rPr>
        <w:t>”</w:t>
      </w:r>
      <w:r>
        <w:rPr>
          <w:rFonts w:ascii="Times New Roman;sans-serif" w:hAnsi="Times New Roman;sans-serif"/>
          <w:b w:val="false"/>
          <w:color w:val="000000"/>
          <w:sz w:val="20"/>
        </w:rPr>
        <w:t>), in connection with the First Amendment, to initiate Bank’s due diligence review process. The Good Faith Deposit will be applied to Bank Expenses as of the Effective Date.</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the terms of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1.4(c).</w:t>
        </w:r>
      </w:hyperlink>
      <w:r>
        <w:rPr>
          <w:rFonts w:ascii="Times New Roman;sans-serif" w:hAnsi="Times New Roman;sans-serif"/>
          <w:b w:val="false"/>
          <w:color w:val="000000"/>
          <w:sz w:val="20"/>
        </w:rPr>
        <w:t xml:space="preserve"> Bank shall provide Borrower written notice of deductions made pursuant to the terms of the clauses of this Section 1.3.</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1.4Payments; Application of Payments; Debit of Accounts.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(b)Subject to the payment terms of this Agreement and Section 8.4, Bank has the exclusive right in its reasonable discretion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(c)Bank may debit the Designated Deposit Account (or if insufficient funds are contained therein, or if an Event of Default has occurred and is continuing, any of Borrower’s other accounts at Bank), for principal and interest payments or any other amounts Borrower owes Bank when as and when due under this Agreement. These debits shall not constitute a set-off.</w:t>
      </w:r>
    </w:p>
    <w:p>
      <w:pPr>
        <w:pStyle w:val="TextBody"/>
        <w:spacing w:before="9"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1.5Change in Circumstances.</w:t>
      </w:r>
    </w:p>
    <w:p>
      <w:pPr>
        <w:pStyle w:val="TextBody"/>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Increased Costs</w:t>
      </w:r>
      <w:r>
        <w:rPr>
          <w:rFonts w:ascii="Times New Roman;sans-serif" w:hAnsi="Times New Roman;sans-serif"/>
          <w:b w:val="false"/>
          <w:color w:val="000000"/>
          <w:sz w:val="20"/>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Capital Requirements</w:t>
      </w:r>
      <w:r>
        <w:rPr>
          <w:rFonts w:ascii="Times New Roman;sans-serif" w:hAnsi="Times New Roman;sans-serif"/>
          <w:b w:val="false"/>
          <w:color w:val="000000"/>
          <w:sz w:val="20"/>
        </w:rPr>
        <w:t>. If Bank determines that any Change in Law affecting Bank regarding capital or liquidity requirements, has or would have the effect of reducing the rate of return on Bank’s capital as a consequence of this Agreement, the Revolving Line,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Delay in Requests</w:t>
      </w:r>
      <w:r>
        <w:rPr>
          <w:rFonts w:ascii="Times New Roman;sans-serif" w:hAnsi="Times New Roman;sans-serif"/>
          <w:b w:val="false"/>
          <w:color w:val="000000"/>
          <w:sz w:val="20"/>
        </w:rPr>
        <w:t>. Failure or delay on the part of Bank to demand compensation pursuant to this Section 1.5 shall not constitute a waiver of Bank’s right to demand such compensation; provided that Borrower compensate Bank pursuant to subsection (a) for any increased costs incurred or reductions suffered more than nine (9) months prior to the date that Bank notifies Borrower of the Change in Law giving rise to such increased costs or reductions (except that if the Change in Law giving rise to such increased costs or reductions is retroactive, then the nine (9) month period shall be extended to include the period of retroactive effect).</w:t>
      </w:r>
    </w:p>
    <w:p>
      <w:pPr>
        <w:pStyle w:val="TextBody"/>
        <w:spacing w:before="9" w:after="283"/>
        <w:rPr/>
      </w:pPr>
      <w:r>
        <w:rPr/>
      </w:r>
    </w:p>
    <w:p>
      <w:pPr>
        <w:pStyle w:val="TextBody"/>
        <w:spacing w:lineRule="auto" w:line="240" w:before="1" w:after="283"/>
        <w:ind w:left="0" w:right="0" w:hanging="720"/>
        <w:rPr>
          <w:rFonts w:ascii="Times New Roman;sans-serif" w:hAnsi="Times New Roman;sans-serif"/>
          <w:b/>
          <w:color w:val="000000"/>
          <w:sz w:val="20"/>
        </w:rPr>
      </w:pPr>
      <w:r>
        <w:rPr>
          <w:rFonts w:ascii="Times New Roman;sans-serif" w:hAnsi="Times New Roman;sans-serif"/>
          <w:b/>
          <w:color w:val="000000"/>
          <w:sz w:val="20"/>
        </w:rPr>
        <w:t>1.6Taxes.</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Payments Free of Taxes</w:t>
      </w:r>
      <w:r>
        <w:rPr>
          <w:rFonts w:ascii="Times New Roman;sans-serif" w:hAnsi="Times New Roman;sans-serif"/>
          <w:b w:val="false"/>
          <w:color w:val="000000"/>
          <w:sz w:val="20"/>
        </w:rPr>
        <w:t>. Any and all payments by or on account of any obligation of Borrower under any Loan Document shall be made without deduction or withholding for any Taxes, except as required by Applicable Law. If any Applicable Law (as determined in the commercially reasonable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Section 1.6) Bank receives an amount equal to the sum it would have received had no such deduction or withholding been made.</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Payment of Other Taxes by Borrower</w:t>
      </w:r>
      <w:r>
        <w:rPr>
          <w:rFonts w:ascii="Times New Roman;sans-serif" w:hAnsi="Times New Roman;sans-serif"/>
          <w:b w:val="false"/>
          <w:color w:val="000000"/>
          <w:sz w:val="20"/>
        </w:rPr>
        <w:t>. Without limiting the provisions of subsection (a) above, Borrower shall timely pay any Other Taxes to the relevant Governmental Authority in accordance with Applicable Law.</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Tax Indemnification</w:t>
      </w:r>
      <w:r>
        <w:rPr>
          <w:rFonts w:ascii="Times New Roman;sans-serif" w:hAnsi="Times New Roman;sans-serif"/>
          <w:b w:val="false"/>
          <w:color w:val="000000"/>
          <w:sz w:val="20"/>
        </w:rPr>
        <w:t>. Without limiting the provisions of subsections (a) and (b) above, Borrower shall, and does hereby, indemnify Bank, within ten (10)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Evidence of Payments</w:t>
      </w:r>
      <w:r>
        <w:rPr>
          <w:rFonts w:ascii="Times New Roman;sans-serif" w:hAnsi="Times New Roman;sans-serif"/>
          <w:b w:val="false"/>
          <w:color w:val="000000"/>
          <w:sz w:val="20"/>
        </w:rPr>
        <w:t>. As soon as practicable after any payment of Taxes by Borrower to a Governmental Authority pursuant to this Section 1.6, Borrower shall deliver to Bank a certified copy of a receipt</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issued by such Governmental Authority evidencing such payment, a copy of the return reporting such payment or other evidence of such payment reasonably satisfactory to Bank.</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Status of Bank</w:t>
      </w:r>
      <w:r>
        <w:rPr>
          <w:rFonts w:ascii="Times New Roman;sans-serif" w:hAnsi="Times New Roman;sans-serif"/>
          <w:b w:val="false"/>
          <w:color w:val="000000"/>
          <w:sz w:val="20"/>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IRS Form W-8IMY is applicable, as well as any applicable supporting documentation or certifications. If a payment made to Bank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its obligations under FATCA or to determine the amount, if any, to deduct and withhold from such payment. Solely for purposes of the preceding sentence, “FATCA” shall include any amendments made to FATCA after the date of this Agreement.</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Treatment of Certain Refunds</w:t>
      </w:r>
      <w:r>
        <w:rPr>
          <w:rFonts w:ascii="Times New Roman;sans-serif" w:hAnsi="Times New Roman;sans-serif"/>
          <w:b w:val="false"/>
          <w:color w:val="000000"/>
          <w:sz w:val="20"/>
        </w:rPr>
        <w:t>. If Bank determines, in its sole discretion exercised in good faith, that it has received a refund of any Taxes as to which it has been indemnified pursuant to this Section 1.6 (including by the payment of additional amounts pursuant to this Section 1.6), it shall pay to Borrower an amount equal to such refund (but only to the extent of indemnity payments made under this Section 1.6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(f) (plus any penalties, interest or other charges imposed by the relevant Governmental Authority) in the event that Bank is required to repay such refund to such Governmental Authority. Notwithstanding anything to the contrary in this paragraph (f), in no event will Bank be required to pay any amount to Borrower pursuant to this paragraph (f)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 respect to such Tax had never been paid. This paragraph (f) shall not be construed to require Bank to make available its Tax returns (or any other information relating to its Taxes that it deems confidential) to Borrower or any other Person.</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1.7Procedures for Borrowing.</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Advances</w:t>
      </w:r>
      <w:r>
        <w:rPr>
          <w:rFonts w:ascii="Times New Roman;sans-serif" w:hAnsi="Times New Roman;sans-serif"/>
          <w:b w:val="false"/>
          <w:color w:val="000000"/>
          <w:sz w:val="20"/>
        </w:rPr>
        <w:t>. Subject to the prior satisfaction of all other applicable conditions to the making of an Advance set forth in this Agreement (which must be satisfied no later than 12:00 p.m. Pacific time on the applicable Funding Date), to obtain an Advance, Borrower (via an individual duly authorized by an Administrator) shall notify Bank (which notice shall be irrevocable) by 12:00 p.m. Pacific time on the Funding Date of the Advance. Such notice shall be made through Bank’s online banking program, provided, however, if Borrower is not utilizing Bank’s online banking program, then such notice shall be in a written format acceptable to Bank that is executed by an Authorized Signer. In connection with any such notification, Borrower shall deliver to Bank by electronic mail or through Bank’s online banking program such reports and information, including without limitation, accounts receivable aging reports, as Bank may reasonably request. Bank shall have received satisfactory evidence that the Board has approved that such Authorized Signer may provide such notices and request Advances (which requirement may be deemed satisfied by the prior delivery of Borrowing Resolutions or a secretary’s certificate that certifies as to such Board approval).</w:t>
      </w:r>
    </w:p>
    <w:p>
      <w:pPr>
        <w:pStyle w:val="TextBody"/>
        <w:spacing w:before="7"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Term Loan Advances</w:t>
      </w:r>
      <w:r>
        <w:rPr>
          <w:rFonts w:ascii="Times New Roman;sans-serif" w:hAnsi="Times New Roman;sans-serif"/>
          <w:b w:val="false"/>
          <w:color w:val="000000"/>
          <w:sz w:val="20"/>
        </w:rPr>
        <w:t>. Subject to the prior satisfaction of all other applicable conditions to the making of the Term Loan Advance set forth in this Agreement (which must be satisfied no later than 12:00 p.m.</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Pacific time on the applicable Funding Date), to obtain the Term Loan Advance, Borrower shall notify Bank (which notice shall be irrevocable) by 12:00 p.m. Pacific time on the Funding Date of the Term Loan Advance. Such notice shall be made by electronic mail or by telephone and, together with any such notification, Borrower shall deliver to Bank by electronic mail a completed Payment/Advance Form executed by an Authorized Signer. Bank may rely on any telephone notice given by a person whom Bank reasonably believes is an Authorized Signer. Borrower will indemnify Bank for any loss Bank suffers due to such reasonable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(c)Bank shall credit proceeds of a Credit Extension to the Designated Deposit Account. Bank may make Advances and Term Loan Advances under this Agreement based on instructions from an Authorized Signer or without instructions if such Advances or Term Loan Advances are necessary to meet Obligations which have become due.</w:t>
      </w:r>
    </w:p>
    <w:p>
      <w:pPr>
        <w:pStyle w:val="TextBody"/>
        <w:spacing w:before="0" w:after="0"/>
        <w:rPr/>
      </w:pPr>
      <w:r>
        <w:rPr/>
      </w:r>
    </w:p>
    <w:p>
      <w:pPr>
        <w:pStyle w:val="TextBody"/>
        <w:spacing w:lineRule="auto" w:line="240" w:before="0" w:after="0"/>
        <w:ind w:left="0" w:right="0" w:hanging="720"/>
        <w:rPr/>
      </w:pPr>
      <w:r>
        <w:rPr>
          <w:rFonts w:ascii="Times New Roman;sans-serif" w:hAnsi="Times New Roman;sans-serif"/>
          <w:b/>
          <w:color w:val="000000"/>
          <w:sz w:val="20"/>
        </w:rPr>
        <w:t>2.</w:t>
      </w:r>
      <w:r>
        <w:rPr>
          <w:rFonts w:ascii="Times New Roman;sans-serif" w:hAnsi="Times New Roman;sans-serif"/>
          <w:b/>
          <w:color w:val="000000"/>
          <w:sz w:val="20"/>
          <w:u w:val="single"/>
        </w:rPr>
        <w:t>CONDITIONS OF CREDIT EXTENSIONS</w:t>
      </w:r>
    </w:p>
    <w:p>
      <w:pPr>
        <w:pStyle w:val="TextBody"/>
        <w:spacing w:before="9" w:after="283"/>
        <w:rPr/>
      </w:pPr>
      <w:r>
        <w:rPr/>
      </w:r>
    </w:p>
    <w:p>
      <w:pPr>
        <w:pStyle w:val="TextBody"/>
        <w:spacing w:lineRule="auto" w:line="240" w:before="91" w:after="283"/>
        <w:ind w:left="0" w:right="0" w:firstLine="720"/>
        <w:jc w:val="both"/>
        <w:rPr/>
      </w:pPr>
      <w:r>
        <w:rPr>
          <w:rFonts w:ascii="Times New Roman;sans-serif" w:hAnsi="Times New Roman;sans-serif"/>
          <w:b/>
          <w:color w:val="000000"/>
          <w:sz w:val="20"/>
        </w:rPr>
        <w:t xml:space="preserve">2.1Conditions Precedent to Initial Credit Extension. </w:t>
      </w:r>
      <w:r>
        <w:rPr>
          <w:rFonts w:ascii="Times New Roman;sans-serif" w:hAnsi="Times New Roman;sans-serif"/>
          <w:b w:val="false"/>
          <w:color w:val="000000"/>
          <w:sz w:val="20"/>
        </w:rPr>
        <w:t>Bank’s obligation to make the initial Credit Extension is subject to the condition precedent that Bank shall have received, in form and substance satisfactory to Bank, such documents, and completion of such other matters, as Bank may reasonably deem necessary or appropriate, including, without limitation:</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(a)duly executed Loan Documents;</w:t>
      </w:r>
    </w:p>
    <w:p>
      <w:pPr>
        <w:pStyle w:val="TextBody"/>
        <w:spacing w:before="10" w:after="283"/>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 duly executed Control Agreement with U.S. Bank;</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Operating Documents of Borrower and its Subsidiaries and long-form good standing certificates of Borrower certified by the Secretary of State of the State of Delaware and the Secretary of State (or equivalent agency) of each other jurisdiction in which Borrower is qualified to conduct business, in each case as of a date no earlier than thirty (30) days prior to the Effective Date;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(d)a certificate duly executed by a Responsible Officer or secretary of Borrower with respect to Borrower’s (i) Operating Documents and (ii) Borrowing Resolutions;</w:t>
      </w:r>
    </w:p>
    <w:p>
      <w:pPr>
        <w:pStyle w:val="TextBody"/>
        <w:spacing w:before="8" w:after="283"/>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(e)a duly executed payoff letter from Solar Capital;</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(f)evidence that (i) the Liens securing Indebtedness owed by Borrower to Solar Capital will be terminated and (ii) the documents and/or filings evidencing the perfection of such Liens, including without limitation any financing statements and/or control agreements, have or will, concurrently with the initial Credit Extension, be terminated;</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(h)a duly executed Perfection Certificate of Borrower;</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(i)a duly executed landlord’s consent in favor of Bank for Borrower’s leased location at 471 El Camino Real, Suite 101, Santa Clara, CA 95050;</w:t>
      </w:r>
    </w:p>
    <w:p>
      <w:pPr>
        <w:pStyle w:val="TextBody"/>
        <w:spacing w:before="8"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(j)a legal opinion of Borrower’s counsel dated as of the Effective Date;</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(k)with respect to initial Advance, a completed Borrowing Base Certificate;</w:t>
      </w:r>
    </w:p>
    <w:p>
      <w:pPr>
        <w:pStyle w:val="TextBody"/>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(l)the completion of the Initial Audit with respect to the initial Advance;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(m)evidence satisfactory to Bank that the insurance policies and endorsements required by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5.8</w:t>
        </w:r>
      </w:hyperlink>
      <w:r>
        <w:rPr>
          <w:rFonts w:ascii="Times New Roman;sans-serif" w:hAnsi="Times New Roman;sans-serif"/>
          <w:b w:val="false"/>
          <w:color w:val="000000"/>
          <w:sz w:val="20"/>
        </w:rPr>
        <w:t xml:space="preserve"> hereof are in full force and effect, together with appropriate evidence showing lender loss payable and additional insured clauses or endorsements in favor of Bank; and</w:t>
      </w:r>
    </w:p>
    <w:p>
      <w:pPr>
        <w:pStyle w:val="TextBody"/>
        <w:spacing w:before="9"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(n)payment of the fees and Bank Expenses then due as specified in Section 1.3 hereof.</w:t>
      </w:r>
    </w:p>
    <w:p>
      <w:pPr>
        <w:pStyle w:val="TextBody"/>
        <w:spacing w:before="10" w:after="283"/>
        <w:rPr/>
      </w:pPr>
      <w:r>
        <w:rPr/>
      </w:r>
    </w:p>
    <w:p>
      <w:pPr>
        <w:pStyle w:val="TextBody"/>
        <w:spacing w:lineRule="auto" w:line="240" w:before="0" w:after="0"/>
        <w:ind w:left="0" w:right="0" w:firstLine="720"/>
        <w:rPr/>
      </w:pPr>
      <w:r>
        <w:rPr>
          <w:rFonts w:ascii="Times New Roman;sans-serif" w:hAnsi="Times New Roman;sans-serif"/>
          <w:b/>
          <w:color w:val="000000"/>
          <w:sz w:val="20"/>
        </w:rPr>
        <w:t xml:space="preserve">2.2Conditions Precedent to all Credit Extensions. </w:t>
      </w:r>
      <w:r>
        <w:rPr>
          <w:rFonts w:ascii="Times New Roman;sans-serif" w:hAnsi="Times New Roman;sans-serif"/>
          <w:b w:val="false"/>
          <w:color w:val="000000"/>
          <w:sz w:val="20"/>
        </w:rPr>
        <w:t>Bank’s obligation to make each Credit Extension, including the initial Credit Extension, is subject to the following conditions precedent:</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(a)receipt of Borrower’s Credit Extension request and the related materials and documents as required by and in accordance with Section 1.7;</w:t>
      </w:r>
    </w:p>
    <w:p>
      <w:pPr>
        <w:pStyle w:val="TextBody"/>
        <w:spacing w:before="8"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 Material Adverse Change shall not have occurred.</w:t>
      </w:r>
    </w:p>
    <w:p>
      <w:pPr>
        <w:pStyle w:val="TextBody"/>
        <w:spacing w:before="8"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2.3Covenant to Deliver.</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 Borrower shall deliver to Bank each item required to be delivered to Bank 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color w:val="000000"/>
          <w:sz w:val="20"/>
        </w:rPr>
        <w:t>3.</w:t>
      </w:r>
      <w:r>
        <w:rPr>
          <w:rFonts w:ascii="Times New Roman;sans-serif" w:hAnsi="Times New Roman;sans-serif"/>
          <w:b/>
          <w:color w:val="000000"/>
          <w:sz w:val="20"/>
          <w:u w:val="single"/>
        </w:rPr>
        <w:t>CREATION OF SECURITY INTEREST</w:t>
      </w:r>
    </w:p>
    <w:p>
      <w:pPr>
        <w:pStyle w:val="TextBody"/>
        <w:spacing w:before="0" w:after="0"/>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3.1Grant of Security Interest.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3.2Authorization to File Financing Statements. </w:t>
      </w:r>
      <w:r>
        <w:rPr>
          <w:rFonts w:ascii="Times New Roman;sans-serif" w:hAnsi="Times New Roman;sans-serif"/>
          <w:b w:val="false"/>
          <w:color w:val="000000"/>
          <w:sz w:val="20"/>
        </w:rPr>
        <w:t>Borrower hereby authorizes Bank to file financing statements covering the Collateral, without notice to Borrower, with all jurisdictions deemed necessary or appropriate by Bank to perfect or protect Bank’s interest or rights hereunder, including a notice that any disposition of the Collateral, by either Borrower or any other Person, in contravention of the terms of this Agreement shall be deemed to violate the rights of Bank under the Code. Such financing statements may indicate the Collateral</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3.3Termination</w:t>
      </w:r>
      <w:r>
        <w:rPr>
          <w:rFonts w:ascii="Times New Roman;sans-serif" w:hAnsi="Times New Roman;sans-serif"/>
          <w:b w:val="false"/>
          <w:color w:val="000000"/>
          <w:sz w:val="20"/>
        </w:rPr>
        <w:t>. 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Borrower’s sole cost and expense, promptly terminate its security interest in the Collateral and all rights therein shall automatically revert to Borrower, and Bank shall, upon request from Borrower and at Borrower’s sole cost and expense, promptly deliver to Borrower written evidence of the termination of such liens and any other documents reasonably necessary to terminate such liens.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commercially reasonable discretion for Bank Services, if any. In the event such Bank Services consist of outstanding Letters of Credit, Borrower shall provide to Bank cash collateral in an amount equal to at least (i) one hundred and five percent (105.0%) of the face amount of all such Letters of Credit denominated in Dollars and (ii) one hundred and fifteen percent (115.0%)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color w:val="000000"/>
          <w:sz w:val="20"/>
        </w:rPr>
        <w:t>4.</w:t>
      </w:r>
      <w:r>
        <w:rPr>
          <w:rFonts w:ascii="Times New Roman;sans-serif" w:hAnsi="Times New Roman;sans-serif"/>
          <w:b/>
          <w:color w:val="000000"/>
          <w:sz w:val="20"/>
          <w:u w:val="single"/>
        </w:rPr>
        <w:t>REPRESENTATIONS AND WARRANTIES</w:t>
      </w:r>
    </w:p>
    <w:p>
      <w:pPr>
        <w:pStyle w:val="TextBody"/>
        <w:spacing w:before="0" w:after="0"/>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Borrower represents and warrants as follows:</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4.1Due Organization, Authorization; Power and Authority.</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 and each of its Subsidiaries are each duly existing and in good standing as a Registered Organization in their respective jurisdiction of formation and are qualified and licensed to do business and is in good standing in any other jurisdiction in which the conduct of their respective business or their ownership of property requires that they be qualified except where the failure to do so could not reasonably be expected to have a material adverse effect on Borrower’s business or operations.</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First Amendment Effective Date to the extent permitted by one or more specific provisions in this Agreement and the Perfection Certificate shall be deemed to be updated to the extent such notice is provided to Bank of such permitted update).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or applicable consents or waivers have been obtained. Neither Borrower nor any of its Subsidiaries are in default under any material agreement to which it is a party or by which it is bound in which the default could reasonably be expected to have a material adverse effect on Borrower’s or any of its Subsidiary’s business or operations (taken as a whole).</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4.2Collateral.</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(b)Borrower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to the extent that perfection is required pursuant to the terms of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5.9(a).</w:t>
        </w:r>
      </w:hyperlink>
      <w:r>
        <w:rPr>
          <w:rFonts w:ascii="Times New Roman;sans-serif" w:hAnsi="Times New Roman;sans-serif"/>
          <w:b w:val="false"/>
          <w:color w:val="000000"/>
          <w:sz w:val="20"/>
        </w:rPr>
        <w:t xml:space="preserve"> The Accounts are bona fide, existing obligations of the Account Debtors.</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(c)The Collateral is not in the possession of any third party bailee (such as a warehouse) except as otherwise provided in the Perfection Certificate or as permitted pursuant to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6.2</w:t>
        </w:r>
      </w:hyperlink>
      <w:r>
        <w:rPr>
          <w:rFonts w:ascii="Times New Roman;sans-serif" w:hAnsi="Times New Roman;sans-serif"/>
          <w:b w:val="false"/>
          <w:color w:val="000000"/>
          <w:sz w:val="20"/>
        </w:rPr>
        <w:t xml:space="preserve"> (other than laptops and other portable electronic items used in the ordinary course of business). None of the components of the Collateral shall be maintained at locations other than as provided in the Perfection Certificate or as permitted pursuant to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6.2</w:t>
        </w:r>
      </w:hyperlink>
      <w:r>
        <w:rPr>
          <w:rFonts w:ascii="Times New Roman;sans-serif" w:hAnsi="Times New Roman;sans-serif"/>
          <w:b w:val="false"/>
          <w:color w:val="000000"/>
          <w:sz w:val="20"/>
        </w:rPr>
        <w:t xml:space="preserve"> (other than laptops and other portable electronic items used in the ordinary course of business).</w:t>
      </w:r>
    </w:p>
    <w:p>
      <w:pPr>
        <w:pStyle w:val="TextBody"/>
        <w:spacing w:before="0" w:after="0"/>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(d)All Inventory is in all material respects of good and marketable quality, free from material</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defects.</w:t>
      </w:r>
    </w:p>
    <w:p>
      <w:pPr>
        <w:pStyle w:val="TextBody"/>
        <w:spacing w:before="0" w:after="0"/>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(e)Borrower owns, or possesses the right to use to the extent reasonably necessary in its business, all Intellectual Property, licenses and other intangible assets that are used in the conduct of its business operations as now operated, except to the extent that such failure to own or possess the right to use such asset would not reasonably be expected to have a material adverse effect on Borrower’s business or operations, and no such asset, to the best knowledge of Borrower, conflicts with the valid Intellectual Property, license, or intangible asset of any other Person to the extent that such conflict could reasonably be expected to have a material adverse effect on Borrower’s business or operations.</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 xml:space="preserve">(f)Except as noted on the Perfection Certificate (as updated from time to time in accordance with this Agreement) or for which notice has been given to Bank pursuant to and in accordance with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5.11(b),</w:t>
        </w:r>
      </w:hyperlink>
      <w:r>
        <w:rPr>
          <w:rFonts w:ascii="Times New Roman;sans-serif" w:hAnsi="Times New Roman;sans-serif"/>
          <w:b w:val="false"/>
          <w:color w:val="000000"/>
          <w:sz w:val="20"/>
        </w:rPr>
        <w:t xml:space="preserve"> Borrower is not a party to, nor is it bound by, any Restricted License.</w:t>
      </w:r>
    </w:p>
    <w:p>
      <w:pPr>
        <w:pStyle w:val="TextBody"/>
        <w:spacing w:before="8" w:after="283"/>
        <w:rPr/>
      </w:pPr>
      <w:r>
        <w:rPr/>
      </w:r>
    </w:p>
    <w:p>
      <w:pPr>
        <w:pStyle w:val="TextBody"/>
        <w:spacing w:lineRule="auto" w:line="240" w:before="1" w:after="283"/>
        <w:ind w:left="0" w:right="0" w:hanging="720"/>
        <w:rPr>
          <w:rFonts w:ascii="Times New Roman;sans-serif" w:hAnsi="Times New Roman;sans-serif"/>
          <w:b/>
          <w:color w:val="000000"/>
          <w:sz w:val="20"/>
        </w:rPr>
      </w:pPr>
      <w:r>
        <w:rPr>
          <w:rFonts w:ascii="Times New Roman;sans-serif" w:hAnsi="Times New Roman;sans-serif"/>
          <w:b/>
          <w:color w:val="000000"/>
          <w:sz w:val="20"/>
        </w:rPr>
        <w:t>4.3Accounts Receivable.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(a)For each Account included in the most recent Borrowing Base Statement, on the date such related Advance is requested and made, such Account shall be an Eligible Account.</w:t>
      </w:r>
    </w:p>
    <w:p>
      <w:pPr>
        <w:pStyle w:val="TextBody"/>
        <w:spacing w:before="8"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 Borrower has no knowledge of any actual or imminent Insolvency Proceeding of any Account Debtor whose accounts are Eligible Accounts in any Borrowing Base Statement. To Borrower’s knowledge, all signatures and endorsements on all documents, instruments, and agreements relating to all Eligible Accounts are genuine, and all such documents, instruments and agreements are legally enforceable in accordance with their terms.</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4.4Litigation. </w:t>
      </w:r>
      <w:r>
        <w:rPr>
          <w:rFonts w:ascii="Times New Roman;sans-serif" w:hAnsi="Times New Roman;sans-serif"/>
          <w:b w:val="false"/>
          <w:color w:val="000000"/>
          <w:sz w:val="20"/>
        </w:rPr>
        <w:t>Other than as set forth on the Perfection Certificate delivered around the First Amendment Effective Date, and as disclosed to Bank pursuant to Section 5.3, there are no actions, investigations or proceedings pending or, to the knowledge of any Responsible Officer, threatened in writing by or against Borrower or any of its Subsidiaries that could reasonably be expected to result in liability of more than, individually or in the aggregate, Seven Hundred Fifty Thousand Dollars ($750,000).</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4.5Financial Statements; Financial Condition. </w:t>
      </w:r>
      <w:r>
        <w:rPr>
          <w:rFonts w:ascii="Times New Roman;sans-serif" w:hAnsi="Times New Roman;sans-serif"/>
          <w:b w:val="false"/>
          <w:color w:val="000000"/>
          <w:sz w:val="20"/>
        </w:rPr>
        <w:t>All consolidated financial statements for Borrower and any of its Subsidiaries delivered to Bank by submission to the Financial Statement Repository or otherwise submitted to Bank fairly present in all material respects Borrower’s consolidated financial condition and Borrower’s consolidated results of operations as of the dates thereof and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4.6Solvency. </w:t>
      </w:r>
      <w:r>
        <w:rPr>
          <w:rFonts w:ascii="Times New Roman;sans-serif" w:hAnsi="Times New Roman;sans-serif"/>
          <w:b w:val="false"/>
          <w:color w:val="000000"/>
          <w:sz w:val="20"/>
        </w:rPr>
        <w:t>The fair salable value of Borrower’s consolidated assets (including goodwill minus disposition costs) exceeds the fair value of Borrower’s liabilities; Borrower is not left with unreasonably small capital after the transactions in this Agreement; and Borrower and Borrower and each of its Subsidiaries (taken as a whole) are able to pay their debts (including trade debts) as they mature.</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4.7Regulatory Compliance. </w:t>
      </w:r>
      <w:r>
        <w:rPr>
          <w:rFonts w:ascii="Times New Roman;sans-serif" w:hAnsi="Times New Roman;sans-serif"/>
          <w:b w:val="false"/>
          <w:color w:val="000000"/>
          <w:sz w:val="20"/>
        </w:rPr>
        <w:t>Borrower is not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4.8Subsidiaries; Investments. </w:t>
      </w:r>
      <w:r>
        <w:rPr>
          <w:rFonts w:ascii="Times New Roman;sans-serif" w:hAnsi="Times New Roman;sans-serif"/>
          <w:b w:val="false"/>
          <w:color w:val="000000"/>
          <w:sz w:val="20"/>
        </w:rPr>
        <w:t>Borrower does not own any stock, partnership, or other ownership interest or other equity securities except for Permitted Investments.</w:t>
      </w:r>
    </w:p>
    <w:p>
      <w:pPr>
        <w:pStyle w:val="TextBody"/>
        <w:spacing w:before="9"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4.9Tax Returns and Payments; Pension Contributions.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 and each of its Subsidiaries have timely filed, or submitted extensions for, all required tax returns and reports, and Borrower and each of its Subsidiaries have timely paid, or submitted extensions for,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 be required in conformity with GAAP shall have been made therefor, or (ii) if such taxes, assessments, deposits and contributions do not, individually or in the aggregate, exceed Fifty Thousand Dollars ($50,000). Borrower is unaware of any claims or adjustments proposed for any of Borrower’s or any of its Subsidiary’s prior tax years which could result in additional taxes becoming due and payable by Borrower or any of its Subsidiaries in excess of Fifty Thousand Dollars ($50,000) in the aggregate.</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material liability of Borrower or any of its Subsidiaries, including any liability to the Pension Benefit Guaranty Corporation or its successors or any other Governmental Authority.</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4.10Full Disclosure. </w:t>
      </w:r>
      <w:r>
        <w:rPr>
          <w:rFonts w:ascii="Times New Roman;sans-serif" w:hAnsi="Times New Roman;sans-serif"/>
          <w:b w:val="false"/>
          <w:color w:val="000000"/>
          <w:sz w:val="20"/>
        </w:rPr>
        <w:t>No written representation, warranty or other statement of Borrower or any of its Subsidiaries in any report, certificate or written statement submitted to the 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4.11Sanctions</w:t>
      </w:r>
      <w:r>
        <w:rPr>
          <w:rFonts w:ascii="Times New Roman;sans-serif" w:hAnsi="Times New Roman;sans-serif"/>
          <w:b w:val="false"/>
          <w:color w:val="000000"/>
          <w:sz w:val="20"/>
        </w:rPr>
        <w:t>. Neither Borrower nor any of its Subsidiaries is: (a) in violation of any Sanctions; or (b) a Sanctioned Person. Neither Borrower nor any of its Subsidiaries, or, to Borrower’s knowledge, its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pStyle w:val="TextBody"/>
        <w:spacing w:before="11" w:after="283"/>
        <w:rPr/>
      </w:pPr>
      <w:r>
        <w:rPr/>
      </w:r>
    </w:p>
    <w:p>
      <w:pPr>
        <w:pStyle w:val="TextBody"/>
        <w:spacing w:lineRule="auto" w:line="240" w:before="0" w:after="0"/>
        <w:ind w:left="0" w:right="0" w:hanging="720"/>
        <w:rPr/>
      </w:pPr>
      <w:r>
        <w:rPr>
          <w:rFonts w:ascii="Times New Roman;sans-serif" w:hAnsi="Times New Roman;sans-serif"/>
          <w:b/>
          <w:color w:val="000000"/>
          <w:sz w:val="20"/>
        </w:rPr>
        <w:t>5.</w:t>
      </w:r>
      <w:r>
        <w:rPr>
          <w:rFonts w:ascii="Times New Roman;sans-serif" w:hAnsi="Times New Roman;sans-serif"/>
          <w:b/>
          <w:color w:val="000000"/>
          <w:sz w:val="20"/>
          <w:u w:val="single"/>
        </w:rPr>
        <w:t>AFFIRMATIVE COVENANTS</w:t>
      </w:r>
    </w:p>
    <w:p>
      <w:pPr>
        <w:pStyle w:val="TextBody"/>
        <w:spacing w:before="9" w:after="283"/>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Borrower shall do all of the following:</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5.1Use of Proceeds. </w:t>
      </w:r>
      <w:r>
        <w:rPr>
          <w:rFonts w:ascii="Times New Roman;sans-serif" w:hAnsi="Times New Roman;sans-serif"/>
          <w:b w:val="false"/>
          <w:color w:val="000000"/>
          <w:sz w:val="20"/>
        </w:rPr>
        <w:t>Cause the proceeds of the Credit Extensions to be used solely as follows: (a) for Credit Extensions that occur prior to the First Amendment Effective Date, (i) as working capital, (ii) to fund its general business purposes, or (iii) repayment and payoff of Solar Capital and not for personal, family, household or agricultural purposes, and (b) for Credit Extensions that occur on or after the First Amendment Effective Date, (x) as working capital, (y) to fund its general business purposes, or (z) repayment of all Obligations constituting Term Loan Advances (as defined in the Agreement prior to the First Amendment Effective Date) outstanding immediately prior to the First Amendment Effective Date.</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5.2Government Compliance.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(a)Maintain its and all of its Subsidiaries’ legal existence (except as permitted under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6.3</w:t>
        </w:r>
      </w:hyperlink>
      <w:r>
        <w:rPr>
          <w:rFonts w:ascii="Times New Roman;sans-serif" w:hAnsi="Times New Roman;sans-serif"/>
          <w:b w:val="false"/>
          <w:color w:val="000000"/>
          <w:sz w:val="20"/>
        </w:rPr>
        <w:t xml:space="preserve">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material laws, ordinances and regulations to which it is subject.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(b)Obtain all of the Governmental Approvals necessary for the performance by Borrower and each of its Subsidiaries of their obligations under the Loan Documents to which it is a party, including any grant of a security interest in the Collateral to Bank. Borrower shall promptly provide copies of any such obtained Governmental Approvals to Bank upon Bank’s request.</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5.3Financial Statements, Reports. </w:t>
      </w:r>
      <w:r>
        <w:rPr>
          <w:rFonts w:ascii="Times New Roman;sans-serif" w:hAnsi="Times New Roman;sans-serif"/>
          <w:b w:val="false"/>
          <w:color w:val="000000"/>
          <w:sz w:val="20"/>
        </w:rPr>
        <w:t>Deliver to Bank by submitting to the Financial Statement Repository:</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Borrowing Base Statement</w:t>
      </w:r>
      <w:r>
        <w:rPr>
          <w:rFonts w:ascii="Times New Roman;sans-serif" w:hAnsi="Times New Roman;sans-serif"/>
          <w:b w:val="false"/>
          <w:color w:val="000000"/>
          <w:sz w:val="20"/>
        </w:rPr>
        <w:t>. Only when Advances are outstanding or are being requested by Borrower, a Borrowing Base Statement (and any schedules related thereto and including any other information reasonably requested by Bank with respect to Borrower’s Accounts) (i) no later than Friday of each week when a Streamline Period is not in effect, (ii) within thirty (30) days after the end of each month when a Streamline Period is in effect, and (iii) with each request for an Advance;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Accounts Receivable Information</w:t>
      </w:r>
      <w:r>
        <w:rPr>
          <w:rFonts w:ascii="Times New Roman;sans-serif" w:hAnsi="Times New Roman;sans-serif"/>
          <w:b w:val="false"/>
          <w:color w:val="000000"/>
          <w:sz w:val="20"/>
        </w:rPr>
        <w:t>. Only when Advances are outstanding or are being requested by Borrower, within thirty (30) days after the end of each month, (i) monthly accounts receivable agings, aged by invoice date, (ii) monthly accounts payable agings, aged by invoice date, and outstanding or held check registers, if any, (iii) monthly reconciliations of accounts receivable agings (aged by invoice date), transaction reports, Deferred Revenue report, and general ledger;</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Quarterly Financial Statements</w:t>
      </w:r>
      <w:r>
        <w:rPr>
          <w:rFonts w:ascii="Times New Roman;sans-serif" w:hAnsi="Times New Roman;sans-serif"/>
          <w:b w:val="false"/>
          <w:color w:val="000000"/>
          <w:sz w:val="20"/>
        </w:rPr>
        <w:t>. No later than forty-five (45) days after the last day of each of the first three fiscal quarters of Borrower’s fiscal year, a company prepared consolidated and consolidating balance sheet and income statement covering Borrower’s and each of its Subsidiary’s operations for such quarter in a form reasonably acceptable to Bank (the “</w:t>
      </w:r>
      <w:r>
        <w:rPr>
          <w:rFonts w:ascii="Times New Roman;sans-serif" w:hAnsi="Times New Roman;sans-serif"/>
          <w:b/>
          <w:color w:val="000000"/>
          <w:sz w:val="20"/>
        </w:rPr>
        <w:t>Quarterly Financial Statements</w:t>
      </w:r>
      <w:r>
        <w:rPr>
          <w:color w:val="000000"/>
        </w:rPr>
        <w:t>”</w:t>
      </w:r>
      <w:r>
        <w:rPr>
          <w:rFonts w:ascii="Times New Roman;sans-serif" w:hAnsi="Times New Roman;sans-serif"/>
          <w:b w:val="false"/>
          <w:color w:val="000000"/>
          <w:sz w:val="20"/>
        </w:rPr>
        <w:t>); provided that year-end Quarterly Financial Statements shall be delivered no later than ninety (90) days after the last day of each fiscal year of Borrower;</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Compliance Statement</w:t>
      </w:r>
      <w:r>
        <w:rPr>
          <w:rFonts w:ascii="Times New Roman;sans-serif" w:hAnsi="Times New Roman;sans-serif"/>
          <w:b w:val="false"/>
          <w:color w:val="000000"/>
          <w:sz w:val="20"/>
        </w:rPr>
        <w:t xml:space="preserve">. Within forty-five (45) days after the last day of each of the first three fiscal quarters of Borrower (and no later than ninety (90) days after the last day of each fiscal year of Borrower), together with the statements set forth in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5.3</w:t>
        </w:r>
      </w:hyperlink>
      <w:r>
        <w:rPr>
          <w:rFonts w:ascii="Times New Roman;sans-serif" w:hAnsi="Times New Roman;sans-serif"/>
          <w:b w:val="false"/>
          <w:color w:val="000000"/>
          <w:sz w:val="20"/>
        </w:rPr>
        <w:t>(c), a duly completed Compliance Statement, confirming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except as noted therein;</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Annual Operating Budget and Financial Projections</w:t>
      </w:r>
      <w:r>
        <w:rPr>
          <w:rFonts w:ascii="Times New Roman;sans-serif" w:hAnsi="Times New Roman;sans-serif"/>
          <w:b w:val="false"/>
          <w:color w:val="000000"/>
          <w:sz w:val="20"/>
        </w:rPr>
        <w:t>. Within thirty (30) days after the end of each fiscal year of Borrower, and within thirty (30) days of any material updates or amendments thereto, (i) annual operating budgets (including income statements, balance sheets and cash flow statements, by month) for the then- current fiscal year of Borrower, and (ii) annual financial projections for the then-current fiscal year (on a quarterly basis), in each case as approved by the Board, together with any material related business forecasts used in the preparation of such annual financial projections;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Annual Audited Financial Statements</w:t>
      </w:r>
      <w:r>
        <w:rPr>
          <w:rFonts w:ascii="Times New Roman;sans-serif" w:hAnsi="Times New Roman;sans-serif"/>
          <w:b w:val="false"/>
          <w:color w:val="000000"/>
          <w:sz w:val="20"/>
        </w:rPr>
        <w:t>. As soon as available, and in any event within one hundred and eighty (180) days following the end of Borrower’s fiscal year, audited consolidated financial statements prepared under GAAP, consistently applied, together with an unqualified opinion on the financial statements from an independent certified public accounting firm reasonably acceptable to Bank;</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SEC Filings</w:t>
      </w:r>
      <w:r>
        <w:rPr>
          <w:rFonts w:ascii="Times New Roman;sans-serif" w:hAnsi="Times New Roman;sans-serif"/>
          <w:b w:val="false"/>
          <w:color w:val="000000"/>
          <w:sz w:val="20"/>
        </w:rPr>
        <w:t>. In the event that Borrower or any of its Subsidiaries becomes subject to the reporting requirements under the Exchange Act within five (5) Business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 however, Borrower shall notify Bank in writing within five (5) Business Days (which may be by electronic mail) of the posting of any such documents;</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Security Holder and Subordinated Debt Holder Reports</w:t>
      </w:r>
      <w:r>
        <w:rPr>
          <w:rFonts w:ascii="Times New Roman;sans-serif" w:hAnsi="Times New Roman;sans-serif"/>
          <w:b w:val="false"/>
          <w:color w:val="000000"/>
          <w:sz w:val="20"/>
        </w:rPr>
        <w:t>. Within five (5) Business Days of delivery, copies of all material statements, reports and notices made generally available to Borrower’s security holders or to any holders of Subordinated Debt (solely in their capacities as security holders or holders of Subordinated Debt and not in any other role);</w:t>
      </w:r>
    </w:p>
    <w:p>
      <w:pPr>
        <w:pStyle w:val="TextBody"/>
        <w:spacing w:before="9"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rPr>
        <w:t>Beneficial Ownership Information</w:t>
      </w:r>
      <w:r>
        <w:rPr>
          <w:rFonts w:ascii="Times New Roman;sans-serif" w:hAnsi="Times New Roman;sans-serif"/>
          <w:b w:val="false"/>
          <w:color w:val="000000"/>
          <w:sz w:val="20"/>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u w:val="single"/>
        </w:rPr>
        <w:t>Legal Action Notice</w:t>
      </w:r>
      <w:r>
        <w:rPr>
          <w:rFonts w:ascii="Times New Roman;sans-serif" w:hAnsi="Times New Roman;sans-serif"/>
          <w:b w:val="false"/>
          <w:color w:val="000000"/>
          <w:sz w:val="20"/>
        </w:rPr>
        <w:t>. Prompt written notice upon becoming aware of any legal actions, investigations or proceedings pending or threatened in writing against Borrower or any of its Subsidiaries (not otherwise already disclosed on the Perfection Certificate delivered around the First Amendment Effective Date) that could reasonably be expected to result in damages or costs to Borrower or any of its Subsidiaries of, individually or in the aggregate, Seven Hundred Fifty Thousand Dollars ($750,000) or more;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u w:val="single"/>
        </w:rPr>
        <w:t>Tort Claim Notice</w:t>
      </w:r>
      <w:r>
        <w:rPr>
          <w:rFonts w:ascii="Times New Roman;sans-serif" w:hAnsi="Times New Roman;sans-serif"/>
          <w:b w:val="false"/>
          <w:color w:val="000000"/>
          <w:sz w:val="20"/>
        </w:rPr>
        <w:t>. If Borrower shall acquire a commercial tort claim with a value that could reasonably be expected to exceed Five Hundred Thousand Dollars ($500,000), Borrower shall promptly notify Bank in a writing signed by Borrower of the general details thereof and, if so requested by Bank, grant to Bank in such writing a security interest therein and in the proceeds thereof, all upon the terms of this Agreement, with such writing to be in form and substance reasonably satisfactory to Bank;</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u w:val="single"/>
        </w:rPr>
        <w:t>Government Filings</w:t>
      </w:r>
      <w:r>
        <w:rPr>
          <w:rFonts w:ascii="Times New Roman;sans-serif" w:hAnsi="Times New Roman;sans-serif"/>
          <w:b w:val="false"/>
          <w:color w:val="000000"/>
          <w:sz w:val="20"/>
        </w:rPr>
        <w:t>. Within five (5) Business Days after the same are sent by Borrower or received by Borrower, copies of all material correspondence, reports, documents and other filings by Borrower or</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its Subsidiaries with any Governmental Authority regarding compliance with or maintenance of Governmental Approvals or Applicable Law, in each case that could reasonably be expected to have a material effect on any of the Governmental Approvals material to the business of Borrower;</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u w:val="single"/>
        </w:rPr>
        <w:t>Registered Organization</w:t>
      </w:r>
      <w:r>
        <w:rPr>
          <w:rFonts w:ascii="Times New Roman;sans-serif" w:hAnsi="Times New Roman;sans-serif"/>
          <w:b w:val="false"/>
          <w:color w:val="000000"/>
          <w:sz w:val="20"/>
        </w:rPr>
        <w:t>. If Borrower is not a Registered Organization as of the Effective Date but later becomes one, promptly notify Bank of such occurrence and provide Bank with Borrower’s organizational identification number;</w:t>
      </w:r>
    </w:p>
    <w:p>
      <w:pPr>
        <w:pStyle w:val="TextBody"/>
        <w:spacing w:before="11" w:after="283"/>
        <w:rPr/>
      </w:pPr>
      <w:r>
        <w:rPr/>
      </w:r>
    </w:p>
    <w:p>
      <w:pPr>
        <w:pStyle w:val="TextBody"/>
        <w:spacing w:lineRule="auto" w:line="240" w:before="0" w:after="0"/>
        <w:ind w:left="0" w:right="0" w:hanging="720"/>
        <w:rPr/>
      </w:pPr>
      <w:r>
        <w:rPr>
          <w:rFonts w:ascii="Times New Roman;sans-serif" w:hAnsi="Times New Roman;sans-serif"/>
          <w:b w:val="false"/>
          <w:color w:val="000000"/>
          <w:sz w:val="20"/>
        </w:rPr>
        <w:t>(n)</w:t>
      </w:r>
      <w:r>
        <w:rPr>
          <w:rFonts w:ascii="Times New Roman;sans-serif" w:hAnsi="Times New Roman;sans-serif"/>
          <w:b w:val="false"/>
          <w:color w:val="000000"/>
          <w:sz w:val="20"/>
          <w:u w:val="single"/>
        </w:rPr>
        <w:t>Default</w:t>
      </w:r>
      <w:r>
        <w:rPr>
          <w:rFonts w:ascii="Times New Roman;sans-serif" w:hAnsi="Times New Roman;sans-serif"/>
          <w:b w:val="false"/>
          <w:color w:val="000000"/>
          <w:sz w:val="20"/>
        </w:rPr>
        <w:t>. Prompt written notice of the occurrence of a Default or Event of Default; and</w:t>
      </w:r>
    </w:p>
    <w:p>
      <w:pPr>
        <w:pStyle w:val="TextBody"/>
        <w:spacing w:before="0" w:after="0"/>
        <w:rPr/>
      </w:pPr>
      <w:r>
        <w:rPr/>
      </w:r>
    </w:p>
    <w:p>
      <w:pPr>
        <w:pStyle w:val="TextBody"/>
        <w:spacing w:lineRule="auto" w:line="240" w:before="91" w:after="283"/>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u w:val="single"/>
        </w:rPr>
        <w:t>Other Information</w:t>
      </w:r>
      <w:r>
        <w:rPr>
          <w:rFonts w:ascii="Times New Roman;sans-serif" w:hAnsi="Times New Roman;sans-serif"/>
          <w:b w:val="false"/>
          <w:color w:val="000000"/>
          <w:sz w:val="20"/>
        </w:rPr>
        <w:t>. Promptly, from time to time, such other financial information regarding Borrower or any of its Subsidiaries or compliance with the terms of any Loan Documents as reasonably requested by Bank.</w:t>
      </w:r>
    </w:p>
    <w:p>
      <w:pPr>
        <w:pStyle w:val="TextBody"/>
        <w:spacing w:before="9" w:after="283"/>
        <w:rPr/>
      </w:pPr>
      <w:r>
        <w:rPr/>
      </w:r>
    </w:p>
    <w:p>
      <w:pPr>
        <w:pStyle w:val="TextBody"/>
        <w:spacing w:lineRule="auto" w:line="240" w:before="0" w:after="0"/>
        <w:jc w:val="both"/>
        <w:rPr/>
      </w:pPr>
      <w:r>
        <w:rPr>
          <w:rFonts w:ascii="Times New Roman;sans-serif" w:hAnsi="Times New Roman;sans-serif"/>
          <w:b w:val="false"/>
          <w:color w:val="000000"/>
          <w:sz w:val="20"/>
        </w:rPr>
        <w:t xml:space="preserve">Any submission by Borrower of a Compliance Statement, or any other financial statement submitted to the Financial Statement Repository pursuant to this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5.3</w:t>
        </w:r>
      </w:hyperlink>
      <w:r>
        <w:rPr>
          <w:rFonts w:ascii="Times New Roman;sans-serif" w:hAnsi="Times New Roman;sans-serif"/>
          <w:b w:val="false"/>
          <w:color w:val="000000"/>
          <w:sz w:val="20"/>
        </w:rPr>
        <w:t xml:space="preserve"> or otherwise submitted to Bank shall be deemed to be a representation by Borrower that (i) as of the date of such Compliance Statement, or other financial statement, the information and calculations set forth therein are true and correct in all material respects, (ii) as of the end of the compliance period set forth in such submission, Borrower is in complete compliance with all required covenants except as noted in such Compliance Statement, or other financial statement, as applicable,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4</w:t>
        </w:r>
      </w:hyperlink>
      <w:r>
        <w:rPr>
          <w:rFonts w:ascii="Times New Roman;sans-serif" w:hAnsi="Times New Roman;sans-serif"/>
          <w:b w:val="false"/>
          <w:color w:val="000000"/>
          <w:sz w:val="20"/>
        </w:rPr>
        <w:t xml:space="preserve">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4.9,</w:t>
        </w:r>
      </w:hyperlink>
      <w:r>
        <w:rPr>
          <w:rFonts w:ascii="Times New Roman;sans-serif" w:hAnsi="Times New Roman;sans-serif"/>
          <w:b w:val="false"/>
          <w:color w:val="000000"/>
          <w:sz w:val="20"/>
        </w:rPr>
        <w:t xml:space="preserve"> and (vi) as of the date of such submission, no Liens have been levied or claims made against Borrower or any of its Subsidiaries relating to unpaid employee payroll or benefits of which Borrower has not previously provided written notification to Bank.</w:t>
      </w:r>
    </w:p>
    <w:p>
      <w:pPr>
        <w:pStyle w:val="TextBody"/>
        <w:spacing w:before="0" w:after="0"/>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5.4Accounts Receivable.</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Schedules and Documents Relating to Accounts</w:t>
      </w:r>
      <w:r>
        <w:rPr>
          <w:rFonts w:ascii="Times New Roman;sans-serif" w:hAnsi="Times New Roman;sans-serif"/>
          <w:b w:val="false"/>
          <w:color w:val="000000"/>
          <w:sz w:val="20"/>
        </w:rPr>
        <w:t>. Only when Advances are outstanding or are being requested by Borrower, Borrower shall deliver to Bank transaction reports and schedules of collections, as provided in Section 5.3(b),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Disputes</w:t>
      </w:r>
      <w:r>
        <w:rPr>
          <w:rFonts w:ascii="Times New Roman;sans-serif" w:hAnsi="Times New Roman;sans-serif"/>
          <w:b w:val="false"/>
          <w:color w:val="000000"/>
          <w:sz w:val="20"/>
        </w:rPr>
        <w:t>. Borrower shall promptly notify Bank of all disputes or claims relating to Accounts that continue for more than thirty (30) days and are with respect to an amount in excess of Two Hundred Thousand Dollars ($200,000) in the aggregate at such time. Borrower may forgive (completely or partially), compromise, or settle any Account for less than payment in full, or agree to do any of the foregoing so long as (i) Borrower does so in good faith, in a commercially reasonable manner, in the ordinary course of business, in arm’s- length transactions, and reports the same to Bank in the regular reports provided to Bank; (ii) no Event of Default has occurred and is continuing; and (iii) there shall not be an Overadvance after taking into account all such discounts, settlements and forgiveness.</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Collection of Accounts</w:t>
      </w:r>
      <w:r>
        <w:rPr>
          <w:rFonts w:ascii="Times New Roman;sans-serif" w:hAnsi="Times New Roman;sans-serif"/>
          <w:b w:val="false"/>
          <w:color w:val="000000"/>
          <w:sz w:val="20"/>
        </w:rPr>
        <w:t>. Within sixty (60) days of the First Amendment Effective Date, Borrower shall direct Account Debtors to deliver or transmit all proceeds of Accounts into a lockbox account, or such</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“blocked account” as specified by Bank (either such account, the “Cash Collateral Account”). Whether or not an Event of Default has occurred and is continuing, Borrower shall immediately deliver all payments on and proceeds of Accounts to the Cash Collateral Account. Subject to Bank’s right to maintain a reserve pursuant to Section 5.4(d), all amounts received in the Cash Collateral Account shall be (i) when a Streamline Period is not in effect, applied to immediately reduce the Obligations under the Revolving Line (unless Bank, in its sole discretion, at times when an Event of Default exists, elects not to so apply such amounts), or (ii) when a Streamline Period is in effect, transferred by Bank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Reserves</w:t>
      </w:r>
      <w:r>
        <w:rPr>
          <w:rFonts w:ascii="Times New Roman;sans-serif" w:hAnsi="Times New Roman;sans-serif"/>
          <w:b w:val="false"/>
          <w:color w:val="000000"/>
          <w:sz w:val="20"/>
        </w:rPr>
        <w:t>. Notwithstanding any terms in this Agreement to the contrary, at times when a Default or an Event of Default exists, Bank may hold any proceeds of the Accounts and any amounts in the Cash Collateral Account that are not applied to the Obligations pursuant to Section 5.4(c) above (including amounts otherwise required to be transferred to Borrower’s operating account with Bank) as a reserve to be applied to any Obligations regardless of whether such Obligations are then due and payable.</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Returns</w:t>
      </w:r>
      <w:r>
        <w:rPr>
          <w:rFonts w:ascii="Times New Roman;sans-serif" w:hAnsi="Times New Roman;sans-serif"/>
          <w:b w:val="false"/>
          <w:color w:val="000000"/>
          <w:sz w:val="20"/>
        </w:rPr>
        <w:t>. Provided no Event of Default has occurred and is continuing, if any Account Debtor returns any Inventory to Borrower, Borrower shall promptly (i) determine the reason for such return, (ii) issue a credit memorandum to the Account Debtor in the appropriate amount in accordance with Borrower’s customary business practices, and (iii) provide a copy of such credit memorandum to Bank, upon request from Bank. In the event any attempted return occurs after the occurrence and during the continuance of any Event of Default, Borrower shall hold the returned Inventory in trust for Bank, and immediately notify Bank of the return of the Inventory.</w:t>
      </w:r>
    </w:p>
    <w:p>
      <w:pPr>
        <w:pStyle w:val="TextBody"/>
        <w:spacing w:before="10" w:after="283"/>
        <w:rPr/>
      </w:pPr>
      <w:r>
        <w:rPr/>
      </w:r>
    </w:p>
    <w:p>
      <w:pPr>
        <w:pStyle w:val="TextBody"/>
        <w:spacing w:lineRule="auto" w:line="240" w:before="0" w:after="0"/>
        <w:ind w:left="0" w:right="0" w:hanging="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Verifications; Confirmations; Credit Quality; Notifications</w:t>
      </w:r>
      <w:r>
        <w:rPr>
          <w:rFonts w:ascii="Times New Roman;sans-serif" w:hAnsi="Times New Roman;sans-serif"/>
          <w:b w:val="false"/>
          <w:color w:val="000000"/>
          <w:sz w:val="20"/>
        </w:rPr>
        <w:t>. Bank may, from time to time,</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No Liability</w:t>
      </w:r>
      <w:r>
        <w:rPr>
          <w:rFonts w:ascii="Times New Roman;sans-serif" w:hAnsi="Times New Roman;sans-serif"/>
          <w:b w:val="false"/>
          <w:color w:val="000000"/>
          <w:sz w:val="20"/>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5.5Remittance of Proceeds. </w:t>
      </w:r>
      <w:r>
        <w:rPr>
          <w:rFonts w:ascii="Times New Roman;sans-serif" w:hAnsi="Times New Roman;sans-serif"/>
          <w:b w:val="false"/>
          <w:color w:val="000000"/>
          <w:sz w:val="20"/>
        </w:rPr>
        <w:t>Except as otherwise provided in Section 5.4(c) and Section 7.1, deliver, in kind, all proceeds arising from the disposition of any Collateral to Bank in the original form in which received by Borrower not later than the following Business Day after receipt by Borrower, to be applied to the Obligations (a) prior to an Event of Default, pursuant to the terms of Section 5.4(c) hereof, and (b) after the occurrence and during the continuance of an Event of Default, pursuant to the terms of Section 8.4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One Hundred Thousand Dollars ($100,000) or less (for all such transactions in any fiscal year). Borrower agrees that it will not commingle proceeds of Collateral with any of Borrower’s other funds or property, but will hold such proceeds separate and apart from such other funds and property and in an express trust for Bank. Nothing in this Section 5.5 limits the restrictions on disposition of Collateral set forth elsewhere in this Agreement.</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5.6Taxes; Pensions.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(a)Timely file, and require each of its Subsidiaries to timely file (in each case, unless subject to a valid extension), all required tax returns and reports and timely pay, and require each of its Subsidiaries to timely pay, or file extensions for, all foreign, federal, state and local taxes, assessments, deposits and contributions owed by Borrower and each of its Subsidiaries, except for (deferred payment of any taxes contested pursuant to the terms of</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pPr>
      <w:r>
        <w:rPr>
          <w:rFonts w:ascii="Times New Roman;sans-serif" w:hAnsi="Times New Roman;sans-serif"/>
          <w:b w:val="false"/>
          <w:color w:val="000000"/>
          <w:sz w:val="20"/>
        </w:rPr>
        <w:t xml:space="preserve">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4.9(a)</w:t>
        </w:r>
      </w:hyperlink>
      <w:r>
        <w:rPr>
          <w:rFonts w:ascii="Times New Roman;sans-serif" w:hAnsi="Times New Roman;sans-serif"/>
          <w:b w:val="false"/>
          <w:color w:val="000000"/>
          <w:sz w:val="20"/>
        </w:rPr>
        <w:t xml:space="preserve">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(b)To the extent Borrower or any of its Subsidiaries defers payment of any contested taxes in excess of Fifty Thousand Dollars ($50,000),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pStyle w:val="TextBody"/>
        <w:spacing w:before="9"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5.7Access to Collateral; Books and Records. </w:t>
      </w:r>
      <w:r>
        <w:rPr>
          <w:rFonts w:ascii="Times New Roman;sans-serif" w:hAnsi="Times New Roman;sans-serif"/>
          <w:b w:val="false"/>
          <w:color w:val="000000"/>
          <w:sz w:val="20"/>
        </w:rPr>
        <w:t>At reasonable times, on five (5) Business Days’ notice (provided no notice is required if an Event of Default has occurred and is continuing), Bank, or its agents, shall have the right to inspect the Collateral and the right to audit and copy Borrower’s Books. The Initial Audit shall be completed within ninety (90) days after the First Amendment Effective Date, and Borrower shall cooperate with Bank in order to timely complete same. Thereafter, (i) when Streamline Period is in effect, such inspections and audits shall be conducted no more often than once every twelve (12) months, unless an Event of Default has occurred and is continuing, in which case such inspections and audits shall occur as often as Bank shall determine is necessary and</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when Streamline Period is not in effect, such inspections and audits shall be conducted no more often than once every six (6) months (or as frequently as Bank determines in its sole discretion that conditions warrant),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pStyle w:val="TextBody"/>
        <w:spacing w:before="0" w:after="0"/>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5.8Insurance.</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Million Dollars ($1,000,000)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(d)At Bank’s request, Borrower shall deliver certified copies of insurance policies and evidence of all premium payments. Each provider of any such insurance required under this Section </w:t>
      </w:r>
      <w:r>
        <w:rPr>
          <w:rFonts w:ascii="Times New Roman;sans-serif" w:hAnsi="Times New Roman;sans-serif"/>
          <w:b w:val="false"/>
          <w:strike/>
          <w:color w:val="000000"/>
          <w:sz w:val="20"/>
        </w:rPr>
        <w:t>5.8</w:t>
      </w:r>
      <w:r>
        <w:rPr>
          <w:rFonts w:ascii="Times New Roman;sans-serif" w:hAnsi="Times New Roman;sans-serif"/>
          <w:b w:val="false"/>
          <w:color w:val="000000"/>
          <w:sz w:val="20"/>
        </w:rPr>
        <w:t>6.5 shall agree, by endorsement upon the policy or policies issued by it or by independent instruments furnished to Bank, that it will give Bank twenty (20) days (or ten (10) days’ prior written notice in the event of cancellation due to non- payment of premium) prior written notice before any such policy or policies shall be materially altered or canceled.</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Borrower fails to obtain insurance as required under this Section 5.8 or to pay any amount or furnish any required proof of payment to third persons and Bank, Bank may make all or part of such payment or obtain such insurance policies required in this Section 5.8, and take any action under the policies Bank deems prudent.</w:t>
      </w:r>
    </w:p>
    <w:p>
      <w:pPr>
        <w:pStyle w:val="TextBody"/>
        <w:spacing w:before="9"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5.9Accounts.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(a)Maintain all of Borrower’s, any of its Subsidiaries’, and any Guarantor’s operating accounts, depository accounts and excess cash with Bank or Bank’s Affiliates, other than Borrower’s Foreign Subsidiaries may maintain accounts with third parties other than Bank, provided the aggregate value of such accounts is subject to the terms of Section 6.11 (collectively the “</w:t>
      </w:r>
      <w:r>
        <w:rPr>
          <w:rFonts w:ascii="Times New Roman;sans-serif" w:hAnsi="Times New Roman;sans-serif"/>
          <w:b/>
          <w:color w:val="000000"/>
          <w:sz w:val="20"/>
        </w:rPr>
        <w:t>Permitted Foreign Subsidiary Accounts</w:t>
      </w:r>
      <w:r>
        <w:rPr>
          <w:color w:val="000000"/>
        </w:rPr>
        <w:t>”</w:t>
      </w:r>
      <w:r>
        <w:rPr>
          <w:rFonts w:ascii="Times New Roman;sans-serif" w:hAnsi="Times New Roman;sans-serif"/>
          <w:b w:val="false"/>
          <w:color w:val="000000"/>
          <w:sz w:val="20"/>
        </w:rPr>
        <w:t>).</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(b)In addition to the foregoing, Borrower, any Subsidiary of Borrower and any Guarantor, shall obtain any business credit card, Letter of Credit, FX Contract, and cash management services exclusively from Bank, except (i) third party credit cards, as permitted in the defined term “Permitted Indebtedness” part (g); (ii) Borrower’s Foreign Subsidiaries may maintain the foregoing bank services with third parties other than Bank, (iii) to the extent that Bank does not have such services in foreign locations, Borrower and its Subsidiaries may maintain the foregoing foreign banking services with third parties other than Bank, and (iv) Borrower may maintain and permit to exist online payment processors used in the ordinary course of business with third parties other than Bank.</w:t>
      </w:r>
    </w:p>
    <w:p>
      <w:pPr>
        <w:pStyle w:val="TextBody"/>
        <w:spacing w:before="10" w:after="283"/>
        <w:rPr/>
      </w:pPr>
      <w:r>
        <w:rPr/>
      </w:r>
    </w:p>
    <w:p>
      <w:pPr>
        <w:pStyle w:val="TextBody"/>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(c)In addition to and without limiting the restrictions in (a), Borrower shall provide Bank five</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and (ii) the Permitted Foreign Subsidiary Accounts.</w:t>
      </w:r>
    </w:p>
    <w:p>
      <w:pPr>
        <w:pStyle w:val="TextBody"/>
        <w:spacing w:before="8"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5.10Financial Covenant (Net Revenue). </w:t>
      </w:r>
      <w:r>
        <w:rPr>
          <w:rFonts w:ascii="Times New Roman;sans-serif" w:hAnsi="Times New Roman;sans-serif"/>
          <w:b w:val="false"/>
          <w:color w:val="000000"/>
          <w:sz w:val="20"/>
        </w:rPr>
        <w:t>When a Financial Covenant Measuring Period is in effect, Borrower shall achieve Net Revenue (measured in accordance with GAAP on a trailing six (6) month basis), tested quarterly on the last day of each calendar quarter, in an amount equal to or greater than the levels to be agreed upon between Borrower and Bank with respect to which Borrower hereby agrees: (i) shall be documented in an amendment to this Agreement, in form and substance acceptable to Bank, which amendment shall be executed no later than February 28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each year beginning with February 28, 2024 with Borrower’s failure to enter into such amendment to this Agreement to reset such covenant levels on or prior to February 28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of each year shall be an immediate and non-curable Event of Default hereunder; (ii) shall be based on Borrower’s projections delivered to Bank in accordance with Section 5.3(e) hereof and acceptable to Bank in its commercially reasonable discretion with such projections for Borrower’s 2024 fiscal year showing annual Net Revenue of not less than [***] Dollars. Notwithstanding anything to the contrary herein, if a Financial Covenant Measuring Period is occurring at any point between January 1, 2024 and February 28, 2024, then Borrower’s Net Revenue (measured in accordance with GAAP on a trailing six (6) month basis) for the period ending December 31, 2023 shall be tested and such Net Revenue shall not be less than [***] Dollars.</w:t>
      </w:r>
    </w:p>
    <w:p>
      <w:pPr>
        <w:pStyle w:val="TextBody"/>
        <w:spacing w:before="10" w:after="283"/>
        <w:rPr/>
      </w:pPr>
      <w:r>
        <w:rPr/>
      </w:r>
    </w:p>
    <w:p>
      <w:pPr>
        <w:pStyle w:val="TextBody"/>
        <w:spacing w:lineRule="auto" w:line="240" w:before="1" w:after="283"/>
        <w:ind w:left="0" w:right="0" w:hanging="720"/>
        <w:rPr>
          <w:rFonts w:ascii="Times New Roman;sans-serif" w:hAnsi="Times New Roman;sans-serif"/>
          <w:b/>
          <w:color w:val="000000"/>
          <w:sz w:val="20"/>
        </w:rPr>
      </w:pPr>
      <w:r>
        <w:rPr>
          <w:rFonts w:ascii="Times New Roman;sans-serif" w:hAnsi="Times New Roman;sans-serif"/>
          <w:b/>
          <w:color w:val="000000"/>
          <w:sz w:val="20"/>
        </w:rPr>
        <w:t>5.11Protection of Intellectual Property Rights.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 Use commercially reasonable efforts to protect, defend and maintain the validity and enforceability of Borrower’s and each Subsidiary’s Intellectual Property, except to the extent that such failure to do so would not reasonably be expected to have a material adverse effect on Borrower’s business or operations or that such Intellectual Property does not have material value; (ii) promptly advise Bank in writing of infringements or any other event that could reasonably be expected to materially and adversely affect the value Borrower’s and each Subsidiary’s Intellectual Property that has material value; and (iii) not allow any Intellectual Property material to Borrower’s or any Subsidiary’s business to be abandoned, forfeited or dedicated to the public without Bank’s written consent.</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(b)Provide written notice to Bank within thirty (30)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pStyle w:val="TextBody"/>
        <w:spacing w:before="8"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5.12Litigation Cooperation. </w:t>
      </w:r>
      <w:r>
        <w:rPr>
          <w:rFonts w:ascii="Times New Roman;sans-serif" w:hAnsi="Times New Roman;sans-serif"/>
          <w:b w:val="false"/>
          <w:color w:val="000000"/>
          <w:sz w:val="20"/>
        </w:rPr>
        <w:t>From the date hereof and continuing through the termination of this Agreement, make available to Bank,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5.13Reserved.</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5.14Formation or Acquisition of Subsidiaries. </w:t>
      </w:r>
      <w:r>
        <w:rPr>
          <w:rFonts w:ascii="Times New Roman;sans-serif" w:hAnsi="Times New Roman;sans-serif"/>
          <w:b w:val="false"/>
          <w:color w:val="000000"/>
          <w:sz w:val="20"/>
        </w:rPr>
        <w:t xml:space="preserve">Notwithstanding and without limiting the negative covenants contained in Sections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6.3</w:t>
        </w:r>
      </w:hyperlink>
      <w:r>
        <w:rPr>
          <w:rFonts w:ascii="Times New Roman;sans-serif" w:hAnsi="Times New Roman;sans-serif"/>
          <w:b w:val="false"/>
          <w:color w:val="000000"/>
          <w:sz w:val="20"/>
        </w:rPr>
        <w:t xml:space="preserve"> and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6.7</w:t>
        </w:r>
      </w:hyperlink>
      <w:r>
        <w:rPr>
          <w:rFonts w:ascii="Times New Roman;sans-serif" w:hAnsi="Times New Roman;sans-serif"/>
          <w:b w:val="false"/>
          <w:color w:val="000000"/>
          <w:sz w:val="20"/>
        </w:rPr>
        <w:t xml:space="preserve"> hereof, at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 that constitute Collateral), (b) provide to Bank appropriate certificates and powers and financing statements, pledging (i) all of the direct or beneficial ownership interest in such new Subsidiary, in form and substance reasonably satisfactory to Bank; and (c) provide to Bank all other documentation in form and substance reasonably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5.14 shall be a Loan Document.</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5.15Inventory; Returns</w:t>
      </w:r>
      <w:r>
        <w:rPr>
          <w:rFonts w:ascii="Times New Roman;sans-serif" w:hAnsi="Times New Roman;sans-serif"/>
          <w:b w:val="false"/>
          <w:color w:val="000000"/>
          <w:sz w:val="20"/>
        </w:rPr>
        <w:t>. Keep all Inventory in good and marketable condition, free from material defects. Returns and allowances between Borrower and its Account Debtors shall follow Borrower’s customary practices as they exist at the Effective Date. Borrower shall promptly notify Bank of all returns, recoveries, disputes and claims that involve more than Two Hundred Fifty Thousand Dollars ($250,000) (measured as to any single return, recovery, dispute or claim, and not in the aggregate at such time).</w:t>
      </w:r>
    </w:p>
    <w:p>
      <w:pPr>
        <w:pStyle w:val="TextBody"/>
        <w:spacing w:before="9"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5.16Further Assurances. </w:t>
      </w:r>
      <w:r>
        <w:rPr>
          <w:rFonts w:ascii="Times New Roman;sans-serif" w:hAnsi="Times New Roman;sans-serif"/>
          <w:b w:val="false"/>
          <w:color w:val="000000"/>
          <w:sz w:val="20"/>
        </w:rPr>
        <w:t>Execute any further instruments and take such further action as Bank reasonably requests to perfect, protect, ensure the priority of or continue Bank’s Lien on the Collateral or to affect the purposes of this Agreement.</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5.17Sanctions</w:t>
      </w:r>
      <w:r>
        <w:rPr>
          <w:rFonts w:ascii="Times New Roman;sans-serif" w:hAnsi="Times New Roman;sans-serif"/>
          <w:b w:val="false"/>
          <w:color w:val="000000"/>
          <w:sz w:val="20"/>
        </w:rPr>
        <w:t xml:space="preserve">. (a) Not, and not permit any of its Subsidiaries to, engage in any of the activities described in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4.11</w:t>
        </w:r>
      </w:hyperlink>
      <w:r>
        <w:rPr>
          <w:rFonts w:ascii="Times New Roman;sans-serif" w:hAnsi="Times New Roman;sans-serif"/>
          <w:b w:val="false"/>
          <w:color w:val="000000"/>
          <w:sz w:val="20"/>
        </w:rPr>
        <w:t xml:space="preserve"> in the future; (b) not, and not permit any of its Subsidiaries to, become a Sanctioned Person;</w:t>
      </w:r>
    </w:p>
    <w:p>
      <w:pPr>
        <w:pStyle w:val="TextBody"/>
        <w:spacing w:lineRule="auto" w:line="240" w:before="1" w:after="283"/>
        <w:jc w:val="both"/>
        <w:rPr/>
      </w:pPr>
      <w:r>
        <w:rPr>
          <w:rFonts w:ascii="Times New Roman;sans-serif" w:hAnsi="Times New Roman;sans-serif"/>
          <w:b w:val="false"/>
          <w:color w:val="000000"/>
          <w:sz w:val="20"/>
        </w:rPr>
        <w:t xml:space="preserve">(c)ensure that the proceeds of the Obligations are not used to violate any Sanctions; and (d) deliver to Bank any certification or other evidence requested from time to time by Bank in its sole discretion, confirming each such Person’s compliance with this Section 5.17. In addition, have implemented, and will consistently apply while this Agreement is in effect, reasonable procedures to ensure that the representations and warranties in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4.11</w:t>
        </w:r>
      </w:hyperlink>
      <w:r>
        <w:rPr>
          <w:rFonts w:ascii="Times New Roman;sans-serif" w:hAnsi="Times New Roman;sans-serif"/>
          <w:b w:val="false"/>
          <w:color w:val="000000"/>
          <w:sz w:val="20"/>
        </w:rPr>
        <w:t xml:space="preserve"> remain true and correct while this Agreement is in effect.</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color w:val="000000"/>
          <w:sz w:val="20"/>
        </w:rPr>
        <w:t>5.18Post-Closing Obligations</w:t>
      </w:r>
      <w:r>
        <w:rPr>
          <w:rFonts w:ascii="Times New Roman;sans-serif" w:hAnsi="Times New Roman;sans-serif"/>
          <w:b w:val="false"/>
          <w:color w:val="000000"/>
          <w:sz w:val="20"/>
        </w:rPr>
        <w:t>.</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(a)As soon as possible, but in any event not later than the date that is thirty (30) days after the First Amendment Effective Date, Borrower shall deliver to Bank evidence satisfactory to Bank that the insurance policies and endorsements required by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5.8</w:t>
        </w:r>
      </w:hyperlink>
      <w:r>
        <w:rPr>
          <w:rFonts w:ascii="Times New Roman;sans-serif" w:hAnsi="Times New Roman;sans-serif"/>
          <w:b w:val="false"/>
          <w:color w:val="000000"/>
          <w:sz w:val="20"/>
        </w:rPr>
        <w:t xml:space="preserve"> hereof are in full force and effect, together with appropriate evidence showing lender loss payable and additional insured clauses or endorsements in favor of Bank.</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(b)As soon as possible, but in any event not later than the date that is five (5) days after the First Amendment Effective Date, Borrower shall deliver to Bank a duly executed Control Agreement with U.S. Bank.</w:t>
      </w:r>
    </w:p>
    <w:p>
      <w:pPr>
        <w:pStyle w:val="TextBody"/>
        <w:spacing w:before="10" w:after="283"/>
        <w:rPr/>
      </w:pPr>
      <w:r>
        <w:rPr/>
      </w:r>
    </w:p>
    <w:p>
      <w:pPr>
        <w:pStyle w:val="TextBody"/>
        <w:spacing w:lineRule="auto" w:line="240" w:before="1" w:after="283"/>
        <w:ind w:left="0" w:right="0" w:hanging="720"/>
        <w:rPr/>
      </w:pPr>
      <w:r>
        <w:rPr>
          <w:rFonts w:ascii="Times New Roman;sans-serif" w:hAnsi="Times New Roman;sans-serif"/>
          <w:b/>
          <w:color w:val="000000"/>
          <w:sz w:val="20"/>
        </w:rPr>
        <w:t>6.</w:t>
      </w:r>
      <w:r>
        <w:rPr>
          <w:rFonts w:ascii="Times New Roman;sans-serif" w:hAnsi="Times New Roman;sans-serif"/>
          <w:b/>
          <w:color w:val="000000"/>
          <w:sz w:val="20"/>
          <w:u w:val="single"/>
        </w:rPr>
        <w:t>NEGATIVE COVENANTS</w:t>
      </w:r>
    </w:p>
    <w:p>
      <w:pPr>
        <w:pStyle w:val="TextBody"/>
        <w:spacing w:before="9" w:after="283"/>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Borrower shall not do any of the following without Bank’s prior written consent: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6.1Dispositions. </w:t>
      </w:r>
      <w:r>
        <w:rPr>
          <w:rFonts w:ascii="Times New Roman;sans-serif" w:hAnsi="Times New Roman;sans-serif"/>
          <w:b w:val="false"/>
          <w:color w:val="000000"/>
          <w:sz w:val="20"/>
        </w:rPr>
        <w:t>Convey, sell, lease, transfer, assign, or otherwise dispose of (including, without limitation, pursuant to a Division) (collectively, “</w:t>
      </w:r>
      <w:r>
        <w:rPr>
          <w:rFonts w:ascii="Times New Roman;sans-serif" w:hAnsi="Times New Roman;sans-serif"/>
          <w:b/>
          <w:color w:val="000000"/>
          <w:sz w:val="20"/>
        </w:rPr>
        <w:t>Transfer</w:t>
      </w:r>
      <w:r>
        <w:rPr>
          <w:color w:val="000000"/>
        </w:rPr>
        <w:t>”</w:t>
      </w:r>
      <w:r>
        <w:rPr>
          <w:rFonts w:ascii="Times New Roman;sans-serif" w:hAnsi="Times New Roman;sans-serif"/>
          <w:b w:val="false"/>
          <w:color w:val="000000"/>
          <w:sz w:val="20"/>
        </w:rPr>
        <w:t xml:space="preserve">), or permit any of its Subsidiaries to Transfer, all or any part of its business or property, except for Transfers (a) of Inventory in the ordinary course of business; (b) of worn- out, surplus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6.2</w:t>
        </w:r>
      </w:hyperlink>
      <w:r>
        <w:rPr>
          <w:rFonts w:ascii="Times New Roman;sans-serif" w:hAnsi="Times New Roman;sans-serif"/>
          <w:b w:val="false"/>
          <w:color w:val="000000"/>
          <w:sz w:val="20"/>
        </w:rPr>
        <w:t xml:space="preserve"> of this Agreement; (e) consisting of Borrower’s or its Subsidiaries’ use or transfer of money or Cash Equivalents in a manner that is not prohibited by the terms of this Agreement or the other Loan Documents, including without limitation cash returns or refunds of customer payments;</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(f) of non-exclusive licenses for the use of the property of Borrower or its Subsidiaries in the ordinary course of business, and other licenses permitted pursuant to part (h) of the defined Permitted Liens; (g) other Transfers not to exceed One Hundred Thousand Dollars ($100,000) in any twelve (12) month period; and (h) other Transfers in which Borrower will receive cash proceeds in an amount equal to no less than seventy-five percent (75%) of such other Transfer consideration (fixed or contingent) paid or payable to Borrower or its Subsidiary.</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none of (a) the sale of any Permitted Convertible Indebtedness, (b) the sale of any Warrant Transaction, (c) the purchase of any Bond Hedge Transaction or (d) the performance by Borrower of its obligations under any Permitted Convertible Indebtedness, any Warrant Transaction or any Bond Hedge Transaction (including the settlement or termination of any Bond Hedge Transaction or Warrant Transaction) shall constitute a Transfer.</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6.2Changes in Business, Management, Control, or Business Locations. </w:t>
      </w:r>
      <w:r>
        <w:rPr>
          <w:rFonts w:ascii="Times New Roman;sans-serif" w:hAnsi="Times New Roman;sans-serif"/>
          <w:b w:val="false"/>
          <w:color w:val="000000"/>
          <w:sz w:val="20"/>
        </w:rPr>
        <w:t>(a) Engage in or permit any of its Subsidiaries to engage in any business other than the businesses currently engaged in by Borrower and such Subsidiary, as applicable, or reasonably related thereto; (b) liquidate or dissolve or permit any of its Subsidiaries to liquidate or dissolve (unless such Subsidiary’s assets are transferred to Borrower); (c) fail to provide notice to Bank of any Key Person departing from or ceasing to be employed by Borrower within seven (7) Business Days after such Key Person’s departure from Borrower; (d) permit, allow or suffer to occur any Change in Control; (e) without at least ten (10) days prior written notice to Bank, (i) add any new offices or business locations, including warehouses (unless such new offices or business locations contain less than Two Hundred Thousand Dollars ($200,000) in Borrower’s assets or property) or deliver any portion of the Collateral valued, individually or in the aggregate, in excess of Two Hundred Thousand Dollars ($200,000) to a bailee at a location other than to a bailee and at a location already disclosed in the Perfection Certificate, or (f) without at least twenty (20) days prior written notice to Bank (i) change its jurisdiction of organization, (ii) change its organizational structure or type, (iii) change its legal name, or, (iv) change any organizational number (if any) assigned by its jurisdiction of organization. If Borrower intends to add any new offices or business locations, including warehouses, containing in excess of Two Hundred Thousand Dollars ($200,000) of Borrower’s assets or property, then Borrower will cause the landlord of any such new offices or business locations, including warehouses, to execute and deliver a landlord consent in form and substance reasonably satisfactory to Bank. If Borrower intends to deliver any portion of the Collateral valued, individually or in the aggregate, in excess of Two Hundred Thousand Dollars ($200,000) to a bailee, and Bank and such bailee are not already parties to a bailee agreement governing both the Collateral and the location to which Borrower intends to deliver the Collateral, then Borrower will cause such bailee to execute and deliver a bailee agreement in form and substance reasonably satisfactory to Bank. For the avoidance of doubt, no landlord or bailee waivers shall be required for or with respect to any foreign locations of Borrower or its Subsidiaries.</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6.3Mergers or Acquisitions. </w:t>
      </w:r>
      <w:r>
        <w:rPr>
          <w:rFonts w:ascii="Times New Roman;sans-serif" w:hAnsi="Times New Roman;sans-serif"/>
          <w:b w:val="false"/>
          <w:color w:val="000000"/>
          <w:sz w:val="20"/>
        </w:rPr>
        <w:t>Merge or consolidate, or permit any of its Subsidiaries to merge or consolidate, with any other Person, or acquire, 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except (i) if (a) Borrower</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has complied with the notice requirements applicable to prepayments hereunder, and (b) prior to or contemporaneously with the closing of such transaction, all Obligations are paid in full in cash, and all of Bank’s obligations to lend to Borrower under this Agreement are terminated, and/or (iii) Permitted Acquisitions. A Subsidiary may merge or consolidate into another Subsidiary or into Borrower.</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6.4Indebtedness. </w:t>
      </w:r>
      <w:r>
        <w:rPr>
          <w:rFonts w:ascii="Times New Roman;sans-serif" w:hAnsi="Times New Roman;sans-serif"/>
          <w:b w:val="false"/>
          <w:color w:val="000000"/>
          <w:sz w:val="20"/>
        </w:rPr>
        <w:t>Create, incur, assume, or be liable for any Indebtedness, or permit any Subsidiary to do so, other than Permitted Indebtedness.</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6.5Encumbrance. </w:t>
      </w:r>
      <w:r>
        <w:rPr>
          <w:rFonts w:ascii="Times New Roman;sans-serif" w:hAnsi="Times New Roman;sans-serif"/>
          <w:b w:val="false"/>
          <w:color w:val="000000"/>
          <w:sz w:val="20"/>
        </w:rPr>
        <w:t xml:space="preserve">Create, incur, allow, or suffer to exist any Lien on any of its property, or assign or convey any right to receive income, including the sale of any Accounts, or permit any of its Subsidiaries to do so, in each case as to the foregoing except for Permitted Liens, permit any Collateral not to be subject to the first priority security interest granted herein, other than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6.1</w:t>
        </w:r>
      </w:hyperlink>
      <w:r>
        <w:rPr>
          <w:rFonts w:ascii="Times New Roman;sans-serif" w:hAnsi="Times New Roman;sans-serif"/>
          <w:b w:val="false"/>
          <w:color w:val="000000"/>
          <w:sz w:val="20"/>
        </w:rPr>
        <w:t xml:space="preserve"> hereof and the definition of “Permitted Liens” herein.</w:t>
      </w:r>
    </w:p>
    <w:p>
      <w:pPr>
        <w:pStyle w:val="TextBody"/>
        <w:spacing w:before="8"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6.6Maintenance of Collateral Accounts. </w:t>
      </w:r>
      <w:r>
        <w:rPr>
          <w:rFonts w:ascii="Times New Roman;sans-serif" w:hAnsi="Times New Roman;sans-serif"/>
          <w:b w:val="false"/>
          <w:color w:val="000000"/>
          <w:sz w:val="20"/>
        </w:rPr>
        <w:t xml:space="preserve">Maintain any Collateral Account except pursuant to the terms of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5.9(a).</w:t>
        </w:r>
      </w:hyperlink>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6.7Distributions; Investments. </w:t>
      </w:r>
      <w:r>
        <w:rPr>
          <w:rFonts w:ascii="Times New Roman;sans-serif" w:hAnsi="Times New Roman;sans-serif"/>
          <w:b w:val="false"/>
          <w:color w:val="000000"/>
          <w:sz w:val="20"/>
        </w:rPr>
        <w:t>(a) Pay any dividends or make any distribution or payment or redeem, retire or purchase any stock, partnership, membership, or other ownership interest or other equity securities, provided that Borrower may (i) convert any of its convertible securities into other securities pursuant to the terms of such convertible securities or otherwise in exchange thereof, (ii) pay dividends solely in common stock or equity interests,</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(iii) repurchase the stock of former employees, officers, directors or consultants pursuant to stock repurchase agreements or termination of employment or service or repurchases pursuant to rights of first refusal in Borrower’s bylaws, so long as an Event of Default does not exist at the time of any such repurchase and would not exist after giving effect to any such repurchase; provided the aggregate amount of all such repurchases shall not exceed Five Hundred Thousand Dollars ($500,000) per fiscal year, (iv) pay cash distributions in lieu of issuing fractional shares; provided the aggregate amount of all such payments shall not exceed Two Hundred Thousand Dollars ($200,000) per fiscal year , (v) distribute equity securities to former or current employees, officers, consultants or directors pursuant to the exercise of employee stock options approved by the Board, (vi) pay, in connection with any Permitted Acquisition by Borrower or any of its Subsidiaries, (A) the receipt or acceptance of the return to Borrower or any of its Subsidiaries of stock or equity interests of Borrower constituting a portion of the purchase price consideration in settlement of indemnification claims, or as a result of a purchase price adjustment (including earn-outs or similar obligations) and (B) payments or distributions to equity holders pursuant to appraisal rights required under requirements of law; (vii) the distribution of rights pursuant to any shareholder rights plan or the redemption of such rights for nominal consideration in accordance with the terms of any shareholder rights plan, and (viii) for the avoidance of doubt, Subsidiaries of Borrower shall be permitted to, directly or indirectly, pay dividends or make distributions to other Subsidiaries or to Borrower, or (b) directly or indirectly make any Investment (including, without limitation, by the formation of any Subsidiary) other than Permitted Investments, or permit any of its Subsidiaries to do so.</w:t>
      </w:r>
    </w:p>
    <w:p>
      <w:pPr>
        <w:pStyle w:val="TextBody"/>
        <w:spacing w:before="9" w:after="283"/>
        <w:rPr/>
      </w:pPr>
      <w:r>
        <w:rPr/>
      </w:r>
    </w:p>
    <w:p>
      <w:pPr>
        <w:pStyle w:val="TextBody"/>
        <w:spacing w:lineRule="auto" w:line="240" w:before="0" w:after="0"/>
        <w:jc w:val="both"/>
        <w:rPr/>
      </w:pPr>
      <w:r>
        <w:rPr>
          <w:rFonts w:ascii="Times New Roman;sans-serif" w:hAnsi="Times New Roman;sans-serif"/>
          <w:b w:val="false"/>
          <w:color w:val="000000"/>
          <w:sz w:val="20"/>
        </w:rPr>
        <w:t xml:space="preserve">Notwithstanding the foregoing, or anything to the contrary herein, and for the avoidance of doubt, this Section 6.7 shall not prohibit (i) the conversion by holders of (including any cash payment upon conversion), or required payment of any principal or premium on, or required payment of any interest with respect to, any Permitted Convertible Debt, in each case, in accordance with the terms of the indenture governing such Permitted Convertible Debt;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the preceding sentence shall only allow principal payments with respect to any repurchase in connection with the redemption of Permitted Convertible Debt upon satisfaction of a condition related to the stock price of the Borrower’s common stock if the Redemption Conditions are satisfied in respect of such redemption; </w:t>
      </w:r>
      <w:r>
        <w:rPr>
          <w:rFonts w:ascii="Times New Roman;sans-serif" w:hAnsi="Times New Roman;sans-serif"/>
          <w:b w:val="false"/>
          <w:i/>
          <w:color w:val="000000"/>
          <w:sz w:val="20"/>
        </w:rPr>
        <w:t xml:space="preserve">provided further </w:t>
      </w:r>
      <w:r>
        <w:rPr>
          <w:rFonts w:ascii="Times New Roman;sans-serif" w:hAnsi="Times New Roman;sans-serif"/>
          <w:b w:val="false"/>
          <w:color w:val="000000"/>
          <w:sz w:val="20"/>
        </w:rPr>
        <w:t>that, to the extent both (a) the aggregate amount of cash payable upon conversion or redemption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redemption does not trigger or correspond to an exercise or early unwind or settlement of a corresponding portion of the Bond Hedge Transactions constituting Permitted Call Spread Agreements</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pPr>
      <w:r>
        <w:rPr>
          <w:rFonts w:ascii="Times New Roman;sans-serif" w:hAnsi="Times New Roman;sans-serif"/>
          <w:b w:val="false"/>
          <w:color w:val="000000"/>
          <w:sz w:val="20"/>
        </w:rPr>
        <w:t>relating to such Permitted Convertible Debt (including, for the avoidance of doubt, the case where there is no Bond Hedge Transaction constituting a Permitted Call Spread Agreement relating to such Permitted Convertible Debt), the payment of such excess cash (any such payment, a “</w:t>
      </w:r>
      <w:r>
        <w:rPr>
          <w:rFonts w:ascii="Times New Roman;sans-serif" w:hAnsi="Times New Roman;sans-serif"/>
          <w:b/>
          <w:color w:val="000000"/>
          <w:sz w:val="20"/>
        </w:rPr>
        <w:t>Cash Excess Payment</w:t>
      </w:r>
      <w:r>
        <w:rPr>
          <w:color w:val="000000"/>
        </w:rPr>
        <w:t>”</w:t>
      </w:r>
      <w:r>
        <w:rPr>
          <w:rFonts w:ascii="Times New Roman;sans-serif" w:hAnsi="Times New Roman;sans-serif"/>
          <w:b w:val="false"/>
          <w:color w:val="000000"/>
          <w:sz w:val="20"/>
        </w:rPr>
        <w:t xml:space="preserve">) shall not be permitted by this clause (i); and (ii) any required payment with respect to (including, for the avoidance of doubt, the payment of the relevant premium for the purchase thereof), or required early unwind or settlement of, any Permitted Call Spread Agreement, in each case, in accordance with the terms of the agreement governing such Permitted Call Spread Agreement;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not be permitted by this clause (ii). Notwithstanding the foregoing, the Borrower may repurchase, exchange or induce the conversion of Permitted Convertible Debt by delivery of shares of the Borrower’s common stock and/or a different series of Permitted Convertible Debt (which series (I) matures after, and does not require any scheduled amortization or other scheduled payments of principal prior to, the analogous date under the indenture governing the Permitted Convertible Debt that are so repurchased, exchanged or converted and (II) has terms, conditions and covenants that are commercially reasonable to the Borrower (as determined by the Borrower in good faith) (any such series of Permitted Convertible Debt, “</w:t>
      </w:r>
      <w:r>
        <w:rPr>
          <w:rFonts w:ascii="Times New Roman;sans-serif" w:hAnsi="Times New Roman;sans-serif"/>
          <w:b/>
          <w:color w:val="000000"/>
          <w:sz w:val="20"/>
        </w:rPr>
        <w:t>Refinancing Convertible Debt</w:t>
      </w:r>
      <w:r>
        <w:rPr>
          <w:color w:val="000000"/>
        </w:rPr>
        <w:t>”</w:t>
      </w:r>
      <w:r>
        <w:rPr>
          <w:rFonts w:ascii="Times New Roman;sans-serif" w:hAnsi="Times New Roman;sans-serif"/>
          <w:b w:val="false"/>
          <w:color w:val="000000"/>
          <w:sz w:val="20"/>
        </w:rPr>
        <w:t xml:space="preserve">) and/or by payment of cash (x) in lieu of any fractional shares, (y) in respect of accrued and unpaid interest of such Permitted Convertible Debt and (z) additional cash in an amount that does not exceed the proceeds received by the Borrower from the substantially concurrent issuance of shares of the Borrower’s common stock and/or a Refinancing Convertible Debt plus the net cash proceeds, if any, received by the Borrower pursuant to the related exercise or early unwind or termination of the related Permitted Call Spread Agreements pursuant to the immediately following proviso;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substantially concurrently with, or a commercially reasonable period of time before or after, the related settlement date for the Permitted Convertible Debt that is so repurchased, exchanged or converted, the Borrower shall (and, for the avoidance of doubt, shall be permitted under this Section 7.7 to) exercise or unwind or terminate early (whether in cash, shares or any combination thereof) the portion of the Permitted Call Spread Agreements, if any, corresponding to such Permitted Convertible Debt that is so repurchased, exchanged or converted.</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6.8Transactions with Affiliates. </w:t>
      </w:r>
      <w:r>
        <w:rPr>
          <w:rFonts w:ascii="Times New Roman;sans-serif" w:hAnsi="Times New Roman;sans-serif"/>
          <w:b w:val="false"/>
          <w:color w:val="000000"/>
          <w:sz w:val="20"/>
        </w:rPr>
        <w:t>Directly or indirectly enter into or permit to exist any material transaction with any Affiliate of Borrower, except for (a) transactions that are in the ordinary course of Borrower’s business, upon fair and reasonable terms that are no less favorable to Borrower than would be obtained in an arm’s length transaction with a non-affiliated Person; (b) sales of Borrower’s equity securities to the then-existing investors of Borrower in connection with a bona fide equity financing by the Board so long as such sale shall not result in a violation of the Change of Control provision in Section 6.2, (c) debt financings from Borrower’s investors so long as all such Indebtedness shall constitute Subordinated Debt, (d) reasonable and customary compensation arrangements and benefit plans for officers, and other employees of Borrower approved by the Board, (e) reasonable and customary compensation arrangements for fees and costs paid to members of the Board in the ordinary course of business, and</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(f) Investments of the type described in and permitted under clauses (g) and/or (h) of the definition of “Permitted Investments” herein.</w:t>
      </w:r>
    </w:p>
    <w:p>
      <w:pPr>
        <w:pStyle w:val="TextBody"/>
        <w:spacing w:before="8"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6.9Subordinated Debt. </w:t>
      </w:r>
      <w:r>
        <w:rPr>
          <w:rFonts w:ascii="Times New Roman;sans-serif" w:hAnsi="Times New Roman;sans-serif"/>
          <w:b w:val="false"/>
          <w:color w:val="000000"/>
          <w:sz w:val="20"/>
        </w:rPr>
        <w:t>Except as expressly permitted under the terms of the subordination, intercreditor, or other similar agreement to which any Subordinated Debt is subject: (a) make or permit any payment on such Subordinated Debt; (b) amend any provision in any document relating to such Subordinated Debt which would increase the amount thereof, or (c) provide for earlier or greater principal, interest, or other payments thereon, or adversely affect the subordination thereof to Obligations owed to Bank in contravention of the terms of such the subordination, intercreditor, or other similar agreement.</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6.10Compliance. </w:t>
      </w:r>
      <w:r>
        <w:rPr>
          <w:rFonts w:ascii="Times New Roman;sans-serif" w:hAnsi="Times New Roman;sans-serif"/>
          <w:b w:val="false"/>
          <w:color w:val="000000"/>
          <w:sz w:val="20"/>
        </w:rPr>
        <w:t>(a)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occurrence of any other event with respect to, any present pension, profit sharing and deferred compensation plan which could reasonably be expected to result in any material liability of Borrower, including any material liability to the Pension Benefit Guaranty Corporation or its successors or any other Governmental Authority.</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6.11Cash and Cash Equivalents held by Foreign Subsidiaries</w:t>
      </w:r>
      <w:r>
        <w:rPr>
          <w:rFonts w:ascii="Times New Roman;sans-serif" w:hAnsi="Times New Roman;sans-serif"/>
          <w:b w:val="false"/>
          <w:color w:val="000000"/>
          <w:sz w:val="20"/>
        </w:rPr>
        <w:t>. The aggregate value of cash and Cash Equivalents held by all Foreign Subsidiaries of Borrower to exceed Two Million Five Hundred Thousand Dollars ($2,500,000) for more than five (5) Business Days in each calendar month.</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6.12Value of Assets held by Foreign Subsidiaries. </w:t>
      </w:r>
      <w:r>
        <w:rPr>
          <w:rFonts w:ascii="Times New Roman;sans-serif" w:hAnsi="Times New Roman;sans-serif"/>
          <w:b w:val="false"/>
          <w:color w:val="000000"/>
          <w:sz w:val="20"/>
        </w:rPr>
        <w:t>The aggregate value of the assets owned by the Foreign Subsidiaries of Borrower shall not exceed twenty percent (20%) of the aggregate value of all assets owned by the Borrower and its Subsidiaries.</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6.13Redemption of Permitted Convertible Debt. </w:t>
      </w:r>
      <w:r>
        <w:rPr>
          <w:rFonts w:ascii="Times New Roman;sans-serif" w:hAnsi="Times New Roman;sans-serif"/>
          <w:b w:val="false"/>
          <w:color w:val="000000"/>
          <w:sz w:val="20"/>
        </w:rPr>
        <w:t>Exercise any redemption right with respect to any Permitted Convertible Debt upon satisfaction of a condition related to the stock price of the Borrower’s common stock, unless the Redemption Conditions are satisfied in respect of such redemption.</w:t>
      </w:r>
    </w:p>
    <w:p>
      <w:pPr>
        <w:pStyle w:val="TextBody"/>
        <w:spacing w:before="11" w:after="283"/>
        <w:rPr/>
      </w:pPr>
      <w:r>
        <w:rPr/>
      </w:r>
    </w:p>
    <w:p>
      <w:pPr>
        <w:pStyle w:val="TextBody"/>
        <w:spacing w:lineRule="auto" w:line="240" w:before="0" w:after="0"/>
        <w:ind w:left="0" w:right="0" w:hanging="720"/>
        <w:rPr/>
      </w:pPr>
      <w:r>
        <w:rPr>
          <w:rFonts w:ascii="Times New Roman;sans-serif" w:hAnsi="Times New Roman;sans-serif"/>
          <w:b/>
          <w:color w:val="000000"/>
          <w:sz w:val="20"/>
        </w:rPr>
        <w:t>7.</w:t>
      </w:r>
      <w:r>
        <w:rPr>
          <w:rFonts w:ascii="Times New Roman;sans-serif" w:hAnsi="Times New Roman;sans-serif"/>
          <w:b/>
          <w:color w:val="000000"/>
          <w:sz w:val="20"/>
          <w:u w:val="single"/>
        </w:rPr>
        <w:t>EVENTS OF DEFAULT</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Any one of the following shall constitute an event of default (an “</w:t>
      </w:r>
      <w:r>
        <w:rPr>
          <w:rFonts w:ascii="Times New Roman;sans-serif" w:hAnsi="Times New Roman;sans-serif"/>
          <w:b/>
          <w:color w:val="000000"/>
          <w:sz w:val="20"/>
        </w:rPr>
        <w:t>Event of Default</w:t>
      </w:r>
      <w:r>
        <w:rPr>
          <w:color w:val="000000"/>
        </w:rPr>
        <w:t>”</w:t>
      </w:r>
      <w:r>
        <w:rPr>
          <w:rFonts w:ascii="Times New Roman;sans-serif" w:hAnsi="Times New Roman;sans-serif"/>
          <w:b w:val="false"/>
          <w:color w:val="000000"/>
          <w:sz w:val="20"/>
        </w:rPr>
        <w:t>) under this Agreement:</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7.1Payment Default. </w:t>
      </w:r>
      <w:r>
        <w:rPr>
          <w:rFonts w:ascii="Times New Roman;sans-serif" w:hAnsi="Times New Roman;sans-serif"/>
          <w:b w:val="false"/>
          <w:color w:val="000000"/>
          <w:sz w:val="20"/>
        </w:rPr>
        <w:t>Borrower fails to (a) make any payment of principal or interest on any Credit Extension on its due date, or (b) pay any other Obligations within three (3) Business Days after such Obligations are due and payable (which three (3) Business Day cure period shall not apply to payments due on the Revolving Line Maturity Date or Term Loan Maturity Date), in each unless such late payment is due to Bank’s failure to auto-debit such payment when sufficient funds were contained in the Designated Deposit Account (or if insufficient funds are contained therein, or if an Event of Default has occurred and is continuing, any of Borrower’s other accounts at Bank). During the cure period, the failure to make or pay any payment specified under clause (b) hereunder is not an Event of Default (but no Credit Extension will be made during the cure period);</w:t>
      </w:r>
    </w:p>
    <w:p>
      <w:pPr>
        <w:pStyle w:val="TextBody"/>
        <w:spacing w:before="0" w:after="0"/>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7.2Covenant Default.</w:t>
      </w:r>
    </w:p>
    <w:p>
      <w:pPr>
        <w:pStyle w:val="TextBody"/>
        <w:spacing w:before="0" w:after="0"/>
        <w:ind w:left="0" w:right="0" w:hanging="360"/>
        <w:rPr/>
      </w:pPr>
      <w:r>
        <w:rPr/>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(a)Borrower fails or neglects to perform any obligation in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w:t>
        </w:r>
      </w:hyperlink>
      <w:r>
        <w:rPr>
          <w:rFonts w:ascii="Times New Roman;sans-serif" w:hAnsi="Times New Roman;sans-serif"/>
          <w:b w:val="false"/>
          <w:color w:val="000000"/>
          <w:sz w:val="20"/>
        </w:rPr>
        <w:t xml:space="preserve"> (other than Sections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5.2</w:t>
        </w:r>
      </w:hyperlink>
      <w:r>
        <w:rPr>
          <w:rFonts w:ascii="Times New Roman;sans-serif" w:hAnsi="Times New Roman;sans-serif"/>
          <w:b w:val="false"/>
          <w:color w:val="000000"/>
          <w:sz w:val="20"/>
        </w:rPr>
        <w:t xml:space="preserve"> (Government Compliance), 5.12 (Litigation Cooperation), 5.15 (Inventory; Returns) and 5.16 (Further Assurances)) or violates any covenant in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w:t>
        </w:r>
      </w:hyperlink>
      <w:r>
        <w:rPr>
          <w:rFonts w:ascii="Times New Roman;sans-serif" w:hAnsi="Times New Roman;sans-serif"/>
          <w:b w:val="false"/>
          <w:color w:val="000000"/>
          <w:sz w:val="20"/>
        </w:rPr>
        <w:t xml:space="preserve"> or</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(b)Borrower fails or neglects to perform, keep, or observe any other term, provision, condition, covenant or agreement contained in this Agreement or any Loan Documents, and as to any default (other than those specified in this Section </w:t>
      </w:r>
      <w:hyperlink w:anchor="i37efde9015094164b274aef726ee5ee2_13">
        <w:r>
          <w:rPr>
            <w:rStyle w:val="InternetLink"/>
            <w:rFonts w:ascii="Times New Roman;sans-serif" w:hAnsi="Times New Roman;sans-serif"/>
            <w:b w:val="false"/>
            <w:strike w:val="false"/>
            <w:dstrike w:val="false"/>
            <w:color w:val="000000"/>
            <w:sz w:val="20"/>
            <w:u w:val="none"/>
            <w:effect w:val="none"/>
          </w:rPr>
          <w:t>6.11</w:t>
        </w:r>
      </w:hyperlink>
      <w:r>
        <w:rPr>
          <w:rFonts w:ascii="Times New Roman;sans-serif" w:hAnsi="Times New Roman;sans-serif"/>
          <w:b w:val="false"/>
          <w:color w:val="000000"/>
          <w:sz w:val="20"/>
        </w:rPr>
        <w:t>)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clause (a) above;</w:t>
      </w:r>
    </w:p>
    <w:p>
      <w:pPr>
        <w:pStyle w:val="TextBody"/>
        <w:spacing w:before="0" w:after="0"/>
        <w:ind w:left="0" w:right="0" w:firstLine="180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7.3 Material Adverse Change. </w:t>
      </w:r>
      <w:r>
        <w:rPr>
          <w:rFonts w:ascii="Times New Roman;sans-serif" w:hAnsi="Times New Roman;sans-serif"/>
          <w:b w:val="false"/>
          <w:color w:val="000000"/>
          <w:sz w:val="20"/>
        </w:rPr>
        <w:t>A Material Adverse Change occurs;</w:t>
      </w:r>
    </w:p>
    <w:p>
      <w:pPr>
        <w:pStyle w:val="TextBody"/>
        <w:spacing w:before="0" w:after="0"/>
        <w:ind w:left="0" w:right="0" w:firstLine="14"/>
        <w:jc w:val="both"/>
        <w:rPr/>
      </w:pPr>
      <w:r>
        <w:rPr/>
      </w:r>
    </w:p>
    <w:p>
      <w:pPr>
        <w:pStyle w:val="TextBody"/>
        <w:spacing w:lineRule="auto" w:line="240" w:before="0" w:after="0"/>
        <w:ind w:left="0" w:right="0" w:hanging="7"/>
        <w:rPr>
          <w:rFonts w:ascii="Times New Roman;sans-serif" w:hAnsi="Times New Roman;sans-serif"/>
          <w:b/>
          <w:color w:val="000000"/>
          <w:sz w:val="20"/>
        </w:rPr>
      </w:pPr>
      <w:r>
        <w:rPr>
          <w:rFonts w:ascii="Times New Roman;sans-serif" w:hAnsi="Times New Roman;sans-serif"/>
          <w:b/>
          <w:color w:val="000000"/>
          <w:sz w:val="20"/>
        </w:rPr>
        <w:t>7.4 Attachment; Levy; Restraint on Business.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 The service of process seeking to attach, by trustee or similar process, any funds of Borrower or any Subsidiary with a value in excess of Two Hundred Thousand Dollars ($200,000), or (ii) a notice of lien or levy in an amount in excess of Two Hundred Thousand Dollars ($200,000), is filed against any of Borrower’s or any of its Subsidiaries’ assets by any Governmental Authority, and the same under subclauses (i) and (ii) hereof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are not, within fifteen (15) days after the occurrence thereof, discharged or stayed (whether through the posting of a bond or otherwise); provided, however, no Credit Extensions shall be made during any fifteen (15) day cure period; or</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 any material portion of Borrower’s or any of its Subsidiaries’ assets with a value in excess of Two Hundred Thousand Dollars ($200,000), is attached, seized, levied on, or comes into possession of a trustee or receiver, or (ii) any court order enjoins, restrains, or prevents Borrower or any of its Subsidiaries from conducting all or any material part of its business;</w:t>
      </w:r>
    </w:p>
    <w:p>
      <w:pPr>
        <w:pStyle w:val="TextBody"/>
        <w:spacing w:before="0" w:after="0"/>
        <w:ind w:left="0" w:right="0" w:firstLine="180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7.5 Insolvency.</w:t>
      </w:r>
      <w:r>
        <w:rPr>
          <w:color w:val="000000"/>
        </w:rPr>
        <w:t xml:space="preserve"> </w:t>
      </w:r>
      <w:r>
        <w:rPr>
          <w:rFonts w:ascii="Times New Roman;sans-serif" w:hAnsi="Times New Roman;sans-serif"/>
          <w:b w:val="false"/>
          <w:color w:val="000000"/>
          <w:sz w:val="20"/>
        </w:rPr>
        <w:t>(a) Borrower or Borrower and of its Subsidiaries (taken as a whole) is unable to pay its debts     (including trade debts) as they become due or otherwise becomes 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pStyle w:val="TextBody"/>
        <w:spacing w:before="0" w:after="0"/>
        <w:ind w:left="0" w:right="0" w:firstLine="14"/>
        <w:jc w:val="both"/>
        <w:rPr/>
      </w:pPr>
      <w:r>
        <w:rPr/>
      </w:r>
    </w:p>
    <w:p>
      <w:pPr>
        <w:pStyle w:val="TextBody"/>
        <w:spacing w:lineRule="auto" w:line="240" w:before="0" w:after="0"/>
        <w:ind w:left="0" w:right="0" w:firstLine="14"/>
        <w:jc w:val="both"/>
        <w:rPr/>
      </w:pPr>
      <w:r>
        <w:rPr>
          <w:rFonts w:ascii="Times New Roman;sans-serif" w:hAnsi="Times New Roman;sans-serif"/>
          <w:b/>
          <w:color w:val="000000"/>
          <w:sz w:val="20"/>
        </w:rPr>
        <w:t>7.6 Other Agreements.</w:t>
      </w:r>
      <w:r>
        <w:rPr>
          <w:color w:val="000000"/>
        </w:rPr>
        <w:t xml:space="preserve"> </w:t>
      </w:r>
      <w:r>
        <w:rPr>
          <w:rFonts w:ascii="Times New Roman;sans-serif" w:hAnsi="Times New Roman;sans-serif"/>
          <w:b w:val="false"/>
          <w:color w:val="000000"/>
          <w:sz w:val="20"/>
        </w:rPr>
        <w:t>There is, under any agreement to which Borrower, any of Borrower’s Subsidiaries, or any Guarantor is a party with a third party or parties, (a) any default by Borrower (after applicable grace and/or cure periods) resulting in a right by such third party or parties, whether or not exercised, to accelerate the maturity of any Indebtedness in an amount individually or in the aggregate in excess of Five Hundred Thousand Dollars ($500,000); or (b) any breach or default by Borrower, any of Borrower’s Subsidiaries, or Guarantor the result of which could reasonably be expected to have a material adverse effect on Borrower’s, any of Borrower’s Subsidiaries’, or any Guarantor’s business or operations (taken as a whole)</w:t>
      </w:r>
    </w:p>
    <w:p>
      <w:pPr>
        <w:pStyle w:val="TextBody"/>
        <w:spacing w:before="10" w:after="283"/>
        <w:rPr/>
      </w:pPr>
      <w:r>
        <w:rPr/>
      </w:r>
    </w:p>
    <w:p>
      <w:pPr>
        <w:pStyle w:val="TextBody"/>
        <w:spacing w:lineRule="auto" w:line="240" w:before="0" w:after="0"/>
        <w:ind w:left="0" w:right="0" w:firstLine="14"/>
        <w:jc w:val="both"/>
        <w:rPr/>
      </w:pPr>
      <w:r>
        <w:rPr>
          <w:rFonts w:ascii="Times New Roman;sans-serif" w:hAnsi="Times New Roman;sans-serif"/>
          <w:b/>
          <w:color w:val="000000"/>
          <w:sz w:val="20"/>
        </w:rPr>
        <w:t xml:space="preserve">7.7 Judgments; Penalties. </w:t>
      </w:r>
      <w:r>
        <w:rPr>
          <w:rFonts w:ascii="Times New Roman;sans-serif" w:hAnsi="Times New Roman;sans-serif"/>
          <w:b w:val="false"/>
          <w:color w:val="000000"/>
          <w:sz w:val="20"/>
        </w:rPr>
        <w:t>One or more fines, penalties or final judgments, orders or decrees for the payment of money in an amount, individually or in the aggregate, of at least Five Hundred Thousand Dollars ($500,000)(not covered by independent third-party insurance as to which liability has been accepted by such insurance carrier) shall be rendered against Borrower or any of its Subsidiaries by any Governmental Authority, and the same are not, within ten (10) days after the entry, assessment or issuance thereof, discharged, satisfied or paid, or after execution thereof, or stayed pending appeal, or such judgments are not discharged, satisfied or paid prior to the expiration of any such stay (provided that no Credit Extensions will be made prior to the discharge, satisfaction, payment, or stay of such fine, penalty, judgment, order or decree);</w:t>
      </w:r>
    </w:p>
    <w:p>
      <w:pPr>
        <w:pStyle w:val="TextBody"/>
        <w:spacing w:before="0" w:after="0"/>
        <w:ind w:left="0" w:right="0" w:firstLine="14"/>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7.8 Misrepresentations. </w:t>
      </w:r>
      <w:r>
        <w:rPr>
          <w:rFonts w:ascii="Times New Roman;sans-serif" w:hAnsi="Times New Roman;sans-serif"/>
          <w:b w:val="false"/>
          <w:color w:val="000000"/>
          <w:sz w:val="20"/>
        </w:rPr>
        <w:t>Borrower or any of its Subsidiaries or any Responsible Person acting for Borrower or any of its Subsidiaries knowingly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pStyle w:val="TextBody"/>
        <w:spacing w:before="10" w:after="283"/>
        <w:rPr/>
      </w:pPr>
      <w:r>
        <w:rPr/>
      </w:r>
    </w:p>
    <w:p>
      <w:pPr>
        <w:pStyle w:val="TextBody"/>
        <w:spacing w:lineRule="auto" w:line="240" w:before="0" w:after="0"/>
        <w:ind w:left="0" w:right="0" w:firstLine="360"/>
        <w:jc w:val="both"/>
        <w:rPr/>
      </w:pPr>
      <w:r>
        <w:rPr>
          <w:rFonts w:ascii="Times New Roman;sans-serif" w:hAnsi="Times New Roman;sans-serif"/>
          <w:b/>
          <w:color w:val="000000"/>
          <w:sz w:val="20"/>
        </w:rPr>
        <w:t>7.9 Subordinated Debt</w:t>
      </w:r>
      <w:r>
        <w:rPr>
          <w:rFonts w:ascii="Times New Roman;sans-serif" w:hAnsi="Times New Roman;sans-serif"/>
          <w:b w:val="false"/>
          <w:color w:val="000000"/>
          <w:sz w:val="20"/>
        </w:rPr>
        <w:t>. If: (a) any document, instrument, or agreement evidencing any Subordinated Debt     shall for any reason be revoked or invalidated or otherwise cease to be in full force and effect (other than in accordance with the terms of such document, instrument or agreement)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the applicable subordination or intercreditor agreement;</w:t>
      </w:r>
    </w:p>
    <w:p>
      <w:pPr>
        <w:pStyle w:val="TextBody"/>
        <w:spacing w:before="8" w:after="283"/>
        <w:rPr/>
      </w:pPr>
      <w:r>
        <w:rPr/>
      </w:r>
    </w:p>
    <w:p>
      <w:pPr>
        <w:pStyle w:val="TextBody"/>
        <w:spacing w:lineRule="auto" w:line="240" w:before="0" w:after="0"/>
        <w:ind w:left="0" w:right="0" w:firstLine="14"/>
        <w:jc w:val="both"/>
        <w:rPr/>
      </w:pPr>
      <w:r>
        <w:rPr>
          <w:rFonts w:ascii="Times New Roman;sans-serif" w:hAnsi="Times New Roman;sans-serif"/>
          <w:b/>
          <w:color w:val="000000"/>
          <w:sz w:val="20"/>
        </w:rPr>
        <w:t xml:space="preserve">7.10 Lien Priority. </w:t>
      </w:r>
      <w:r>
        <w:rPr>
          <w:rFonts w:ascii="Times New Roman;sans-serif" w:hAnsi="Times New Roman;sans-serif"/>
          <w:b w:val="false"/>
          <w:color w:val="000000"/>
          <w:sz w:val="20"/>
        </w:rPr>
        <w:t>There is a material impairment in the perfection or priority of Bank’s security interest in the Collateral (unless such failure is caused by Bank’s gross negligence or willful misconduct);</w:t>
      </w:r>
    </w:p>
    <w:p>
      <w:pPr>
        <w:pStyle w:val="TextBody"/>
        <w:spacing w:before="0" w:after="0"/>
        <w:rPr/>
      </w:pPr>
      <w:r>
        <w:rPr/>
      </w:r>
    </w:p>
    <w:p>
      <w:pPr>
        <w:pStyle w:val="TextBody"/>
        <w:spacing w:lineRule="auto" w:line="240" w:before="0" w:after="0"/>
        <w:ind w:left="0" w:right="0" w:firstLine="360"/>
        <w:jc w:val="both"/>
        <w:rPr/>
      </w:pPr>
      <w:r>
        <w:rPr>
          <w:rFonts w:ascii="Times New Roman;sans-serif" w:hAnsi="Times New Roman;sans-serif"/>
          <w:b/>
          <w:color w:val="000000"/>
          <w:sz w:val="20"/>
        </w:rPr>
        <w:t>7.11 Guaranty.</w:t>
      </w:r>
      <w:r>
        <w:rPr>
          <w:color w:val="000000"/>
        </w:rPr>
        <w:t xml:space="preserve"> </w:t>
      </w:r>
      <w:r>
        <w:rPr>
          <w:rFonts w:ascii="Times New Roman;sans-serif" w:hAnsi="Times New Roman;sans-serif"/>
          <w:b w:val="false"/>
          <w:color w:val="000000"/>
          <w:sz w:val="20"/>
        </w:rPr>
        <w:t>(a) Any guaranty of any Obligations terminates or ceases for any reason to be in full force and     effect (except due to termination in accordance with the terms of such guaranty); (b) any Guarantor does</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perform any material obligation or covenant under any guaranty of the Obligations; (c) any circumstance described in Sections 7.3, 7.4, 7.5, 7.6, 7.7, or 7.8 of this Agreement occurs with respect to any Guarantor (subject to the applicable cure and grace periods herein), (d) the death, liquidation, winding up, or termination of existence of any Guarantor; or (e)a material impairment in the perfection or priority of Bank’s Lien in the collateral provided by Guarantor or in the value of such collateral ; or</w:t>
      </w:r>
    </w:p>
    <w:p>
      <w:pPr>
        <w:pStyle w:val="TextBody"/>
        <w:spacing w:before="9" w:after="283"/>
        <w:rPr/>
      </w:pPr>
      <w:r>
        <w:rPr/>
      </w:r>
    </w:p>
    <w:p>
      <w:pPr>
        <w:pStyle w:val="TextBody"/>
        <w:spacing w:lineRule="auto" w:line="240" w:before="0" w:after="0"/>
        <w:ind w:left="0" w:right="0" w:firstLine="1080"/>
        <w:jc w:val="both"/>
        <w:rPr/>
      </w:pPr>
      <w:r>
        <w:rPr>
          <w:rFonts w:ascii="Times New Roman;sans-serif" w:hAnsi="Times New Roman;sans-serif"/>
          <w:b/>
          <w:color w:val="000000"/>
          <w:sz w:val="20"/>
        </w:rPr>
        <w:t xml:space="preserve">7.12 Governmental Approvals. </w:t>
      </w:r>
      <w:r>
        <w:rPr>
          <w:rFonts w:ascii="Times New Roman;sans-serif" w:hAnsi="Times New Roman;sans-serif"/>
          <w:b w:val="false"/>
          <w:color w:val="000000"/>
          <w:sz w:val="20"/>
        </w:rPr>
        <w:t>Any Governmental Approval shall have been (a) revoked, rescinded, 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materially and adversely affect the status of or legal qualifications of Borrower or any of its Subsidiaries to hold any Governmental Approval in any other jurisdiction that is material to the operation of Borrower’s business.</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color w:val="000000"/>
          <w:sz w:val="20"/>
        </w:rPr>
        <w:t>8.</w:t>
      </w:r>
      <w:r>
        <w:rPr>
          <w:rFonts w:ascii="Times New Roman;sans-serif" w:hAnsi="Times New Roman;sans-serif"/>
          <w:b/>
          <w:color w:val="000000"/>
          <w:sz w:val="20"/>
          <w:u w:val="single"/>
        </w:rPr>
        <w:t>BANK’S RIGHTS AND REMEDIES</w:t>
      </w:r>
    </w:p>
    <w:p>
      <w:pPr>
        <w:pStyle w:val="TextBody"/>
        <w:spacing w:before="0" w:after="0"/>
        <w:rPr/>
      </w:pPr>
      <w:r>
        <w:rPr/>
      </w:r>
    </w:p>
    <w:p>
      <w:pPr>
        <w:pStyle w:val="TextBody"/>
        <w:spacing w:lineRule="auto" w:line="240" w:before="91" w:after="283"/>
        <w:ind w:left="0" w:right="0" w:firstLine="720"/>
        <w:rPr/>
      </w:pPr>
      <w:r>
        <w:rPr>
          <w:rFonts w:ascii="Times New Roman;sans-serif" w:hAnsi="Times New Roman;sans-serif"/>
          <w:b/>
          <w:color w:val="000000"/>
          <w:sz w:val="20"/>
        </w:rPr>
        <w:t xml:space="preserve">8.1Rights and Remedies. </w:t>
      </w:r>
      <w:r>
        <w:rPr>
          <w:rFonts w:ascii="Times New Roman;sans-serif" w:hAnsi="Times New Roman;sans-serif"/>
          <w:b w:val="false"/>
          <w:color w:val="000000"/>
          <w:sz w:val="20"/>
        </w:rPr>
        <w:t>Upon the occurrence and during the continuance of an Event of Default, Bank may, without notice or demand, do any or all of the following:</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 xml:space="preserve">(a)declare all Obligations immediately due and payable (but if an Event of Default described in Section </w:t>
      </w:r>
      <w:hyperlink w:anchor="i37efde9015094164b274aef726ee5ee2_16">
        <w:r>
          <w:rPr>
            <w:rStyle w:val="InternetLink"/>
            <w:rFonts w:ascii="Times New Roman;sans-serif" w:hAnsi="Times New Roman;sans-serif"/>
            <w:b w:val="false"/>
            <w:strike w:val="false"/>
            <w:dstrike w:val="false"/>
            <w:color w:val="000000"/>
            <w:sz w:val="20"/>
            <w:u w:val="none"/>
            <w:effect w:val="none"/>
          </w:rPr>
          <w:t>7.5</w:t>
        </w:r>
      </w:hyperlink>
      <w:r>
        <w:rPr>
          <w:rFonts w:ascii="Times New Roman;sans-serif" w:hAnsi="Times New Roman;sans-serif"/>
          <w:b w:val="false"/>
          <w:color w:val="000000"/>
          <w:sz w:val="20"/>
        </w:rPr>
        <w:t xml:space="preserve"> occurs all Obligations are immediately due and payable without any action by Bank);</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(b)stop advancing money or extending credit for Borrower’s benefit under this Agreement or under any other agreement between Borrower and Bank;</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(c)demand that Borrower (i) deposit cash with Bank in an amount equal to at least (A) one hundred and five percent (105.0%) of the aggregate face amount of any Letters of Credit denominated in Dollars remaining undrawn, and (B) one hundred and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or superior to its security interest and pay all expenses incurred. Borrower grants Bank a license to enter and occupy any of its premises, without charge, to exercise any of Bank’s rights or remedies;</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(g)apply to the Obligations any (i) balances and deposits of Borrower it holds, or (ii) amount held by Bank owing to or for the credit or the account of Borrower;</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(h)ship,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w:t>
      </w:r>
      <w:hyperlink w:anchor="i37efde9015094164b274aef726ee5ee2_16">
        <w:r>
          <w:rPr>
            <w:rStyle w:val="InternetLink"/>
            <w:rFonts w:ascii="Times New Roman;sans-serif" w:hAnsi="Times New Roman;sans-serif"/>
            <w:b w:val="false"/>
            <w:strike w:val="false"/>
            <w:dstrike w:val="false"/>
            <w:color w:val="000000"/>
            <w:sz w:val="20"/>
            <w:u w:val="none"/>
            <w:effect w:val="none"/>
          </w:rPr>
          <w:t>8.1,</w:t>
        </w:r>
      </w:hyperlink>
      <w:r>
        <w:rPr>
          <w:rFonts w:ascii="Times New Roman;sans-serif" w:hAnsi="Times New Roman;sans-serif"/>
          <w:b w:val="false"/>
          <w:color w:val="000000"/>
          <w:sz w:val="20"/>
        </w:rPr>
        <w:t xml:space="preserve"> Borrower’s rights under all licenses and all franchise agreements inure to Bank’s benefit;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(i)place a “hold” on any account maintained with Bank and/or deliver a notice of exclusive control, any entitlement order, or other directions or instructions pursuant to any Control Agreement or similar agreements providing control of any Collateral;</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(j)demand and receive possession of Borrower’s Books; and</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(k)exercise all rights and remedies available to Bank under the Loan Documents or at law or equity, including all remedies provided under the Code or any Applicable Law (including disposal of the Collateral pursuant to the terms thereof).</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8.2Power of Attorney. </w:t>
      </w:r>
      <w:r>
        <w:rPr>
          <w:rFonts w:ascii="Times New Roman;sans-serif" w:hAnsi="Times New Roman;sans-serif"/>
          <w:b w:val="false"/>
          <w:color w:val="000000"/>
          <w:sz w:val="20"/>
        </w:rPr>
        <w:t>Borrower hereby irrevocably appoints Bank as its true and lawful attorney-in- fact, (a) exercisable only following the occurrence 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paid in full in cash,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pStyle w:val="TextBody"/>
        <w:spacing w:before="9"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8.3Protective Payments. </w:t>
      </w:r>
      <w:r>
        <w:rPr>
          <w:rFonts w:ascii="Times New Roman;sans-serif" w:hAnsi="Times New Roman;sans-serif"/>
          <w:b w:val="false"/>
          <w:color w:val="000000"/>
          <w:sz w:val="20"/>
        </w:rPr>
        <w:t xml:space="preserve">If Borrower fails to obtain the insurance called for by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5.8</w:t>
        </w:r>
      </w:hyperlink>
      <w:r>
        <w:rPr>
          <w:rFonts w:ascii="Times New Roman;sans-serif" w:hAnsi="Times New Roman;sans-serif"/>
          <w:b w:val="false"/>
          <w:color w:val="000000"/>
          <w:sz w:val="20"/>
        </w:rPr>
        <w:t xml:space="preserve">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8.4Application of Payments and Proceeds. </w:t>
      </w:r>
      <w:r>
        <w:rPr>
          <w:rFonts w:ascii="Times New Roman;sans-serif" w:hAnsi="Times New Roman;sans-serif"/>
          <w:b w:val="false"/>
          <w:color w:val="000000"/>
          <w:sz w:val="20"/>
        </w:rPr>
        <w:t>If an Event of Default has occurred and is continuing, Bank shall have the right to apply in any order 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Borrower or other Persons legally entitled thereto; Borrower shall remain liable to Bank for any deficiency. Following the occurrence and during the continuation of an Event of Default,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8.5Bank’s Liability for Collateral. </w:t>
      </w:r>
      <w:r>
        <w:rPr>
          <w:rFonts w:ascii="Times New Roman;sans-serif" w:hAnsi="Times New Roman;sans-serif"/>
          <w:b w:val="false"/>
          <w:color w:val="000000"/>
          <w:sz w:val="20"/>
        </w:rPr>
        <w:t>Bank’s sole duty with respect to the custody, safekeeping and physical preservation of the Collateral in its 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8.6No Waiver; Remedies Cumulative. </w:t>
      </w:r>
      <w:r>
        <w:rPr>
          <w:rFonts w:ascii="Times New Roman;sans-serif" w:hAnsi="Times New Roman;sans-serif"/>
          <w:b w:val="false"/>
          <w:color w:val="000000"/>
          <w:sz w:val="20"/>
        </w:rPr>
        <w:t>Bank’s failure, at any time or times, to require strict 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8.7Demand Waiver. </w:t>
      </w:r>
      <w:r>
        <w:rPr>
          <w:rFonts w:ascii="Times New Roman;sans-serif" w:hAnsi="Times New Roman;sans-serif"/>
          <w:b w:val="false"/>
          <w:color w:val="000000"/>
          <w:sz w:val="20"/>
        </w:rPr>
        <w:t>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color w:val="000000"/>
          <w:sz w:val="20"/>
        </w:rPr>
        <w:t>9.</w:t>
      </w:r>
      <w:r>
        <w:rPr>
          <w:rFonts w:ascii="Times New Roman;sans-serif" w:hAnsi="Times New Roman;sans-serif"/>
          <w:b/>
          <w:color w:val="000000"/>
          <w:sz w:val="20"/>
          <w:u w:val="single"/>
        </w:rPr>
        <w:t>NOTICES</w:t>
      </w:r>
    </w:p>
    <w:p>
      <w:pPr>
        <w:pStyle w:val="TextBody"/>
        <w:spacing w:before="0" w:after="0"/>
        <w:rPr/>
      </w:pPr>
      <w:r>
        <w:rPr/>
      </w:r>
    </w:p>
    <w:p>
      <w:pPr>
        <w:pStyle w:val="TextBody"/>
        <w:spacing w:lineRule="auto" w:line="240" w:before="9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notices, consents, requests, approvals, demands, or other communication by any party to this Agreement or any other Loan Document must be in writing and shall be deemed to have been validly served, given, or delivered:</w:t>
      </w:r>
    </w:p>
    <w:p>
      <w:pPr>
        <w:pStyle w:val="TextBody"/>
        <w:spacing w:lineRule="auto" w:line="240" w:before="0" w:after="0"/>
        <w:jc w:val="both"/>
        <w:rPr/>
      </w:pPr>
      <w:r>
        <w:rPr>
          <w:rFonts w:ascii="Times New Roman;sans-serif" w:hAnsi="Times New Roman;sans-serif"/>
          <w:b w:val="false"/>
          <w:color w:val="000000"/>
          <w:sz w:val="20"/>
        </w:rPr>
        <w:t xml:space="preserve">(a)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w:t>
      </w:r>
      <w:hyperlink w:anchor="i37efde9015094164b274aef726ee5ee2_16">
        <w:r>
          <w:rPr>
            <w:rStyle w:val="InternetLink"/>
            <w:rFonts w:ascii="Times New Roman;sans-serif" w:hAnsi="Times New Roman;sans-serif"/>
            <w:b w:val="false"/>
            <w:strike w:val="false"/>
            <w:dstrike w:val="false"/>
            <w:color w:val="000000"/>
            <w:sz w:val="20"/>
            <w:u w:val="none"/>
            <w:effect w:val="none"/>
          </w:rPr>
          <w:t>9.</w:t>
        </w:r>
      </w:hyperlink>
    </w:p>
    <w:p>
      <w:pPr>
        <w:pStyle w:val="TextBody"/>
        <w:spacing w:before="10"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If to Borrower:    SI-Bone, Inc.</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471 El Camino Real, Suite 101 Santa Clara, CA 95050</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Attn: Laura Francis, CEO; and Anshul Maheshwari, CFO</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Email: lfrancis@si-bone.com; and Anshul.Maheshwari@si-bone.com</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with a copy to (which shall not constitute notice):</w:t>
      </w:r>
    </w:p>
    <w:p>
      <w:pPr>
        <w:pStyle w:val="TextBody"/>
        <w:spacing w:lineRule="auto" w:line="240" w:before="118" w:after="283"/>
        <w:rPr>
          <w:rFonts w:ascii="Times New Roman;sans-serif" w:hAnsi="Times New Roman;sans-serif"/>
          <w:b w:val="false"/>
          <w:color w:val="000000"/>
          <w:sz w:val="20"/>
        </w:rPr>
      </w:pPr>
      <w:r>
        <w:rPr>
          <w:rFonts w:ascii="Times New Roman;sans-serif" w:hAnsi="Times New Roman;sans-serif"/>
          <w:b w:val="false"/>
          <w:color w:val="000000"/>
          <w:sz w:val="20"/>
        </w:rPr>
        <w:t>Cooley LLP</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55 Hudson Yards</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New York, 10001-2157 Attn: Patrick Flanagan</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Email: pflanagan@cooley.com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If to Bank:    Silicon Valley Bank</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505 Howard Street, Floor 3 San Francisco, CA 94105 Attn: Mark Davis</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Email: mdavis@svb.com</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with a copy to (which shall not constitute notice):</w:t>
      </w:r>
    </w:p>
    <w:p>
      <w:pPr>
        <w:pStyle w:val="TextBody"/>
        <w:spacing w:lineRule="auto" w:line="240" w:before="121" w:after="283"/>
        <w:rPr>
          <w:rFonts w:ascii="Times New Roman;sans-serif" w:hAnsi="Times New Roman;sans-serif"/>
          <w:b w:val="false"/>
          <w:color w:val="000000"/>
          <w:sz w:val="20"/>
        </w:rPr>
      </w:pPr>
      <w:r>
        <w:rPr>
          <w:rFonts w:ascii="Times New Roman;sans-serif" w:hAnsi="Times New Roman;sans-serif"/>
          <w:b w:val="false"/>
          <w:color w:val="000000"/>
          <w:sz w:val="20"/>
        </w:rPr>
        <w:t>DLA Piper LLP (US)</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401 B Street, Suite 1700 San Diego, California 92101 Attn: Matt Schwartz, Esq.</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Email: matt.schwartz@us.dlapiper.com</w:t>
      </w:r>
    </w:p>
    <w:p>
      <w:pPr>
        <w:pStyle w:val="TextBody"/>
        <w:spacing w:before="0" w:after="0"/>
        <w:rPr/>
      </w:pPr>
      <w:r>
        <w:rPr/>
      </w:r>
    </w:p>
    <w:p>
      <w:pPr>
        <w:pStyle w:val="TextBody"/>
        <w:spacing w:before="11" w:after="283"/>
        <w:rPr/>
      </w:pPr>
      <w:r>
        <w:rPr/>
      </w:r>
    </w:p>
    <w:p>
      <w:pPr>
        <w:pStyle w:val="TextBody"/>
        <w:spacing w:lineRule="auto" w:line="240" w:before="0" w:after="0"/>
        <w:ind w:left="0" w:right="0" w:hanging="720"/>
        <w:rPr/>
      </w:pPr>
      <w:r>
        <w:rPr>
          <w:rFonts w:ascii="Times New Roman;sans-serif" w:hAnsi="Times New Roman;sans-serif"/>
          <w:b/>
          <w:color w:val="000000"/>
          <w:sz w:val="20"/>
        </w:rPr>
        <w:t>10.</w:t>
      </w:r>
      <w:r>
        <w:rPr>
          <w:rFonts w:ascii="Times New Roman;sans-serif" w:hAnsi="Times New Roman;sans-serif"/>
          <w:b/>
          <w:color w:val="000000"/>
          <w:sz w:val="20"/>
          <w:u w:val="single"/>
        </w:rPr>
        <w:t>CHOICE OF LAW, VENUE AND JURY TRIAL WAIVER; JUDICIAL REFERENCE</w:t>
      </w:r>
    </w:p>
    <w:p>
      <w:pPr>
        <w:pStyle w:val="TextBody"/>
        <w:spacing w:before="0" w:after="0"/>
        <w:rPr/>
      </w:pPr>
      <w:r>
        <w:rPr/>
      </w:r>
    </w:p>
    <w:p>
      <w:pPr>
        <w:pStyle w:val="TextBody"/>
        <w:spacing w:lineRule="auto" w:line="240" w:before="91" w:after="283"/>
        <w:ind w:left="0" w:right="0" w:firstLine="720"/>
        <w:jc w:val="both"/>
        <w:rPr/>
      </w:pPr>
      <w:r>
        <w:rPr>
          <w:rFonts w:ascii="Times New Roman;sans-serif" w:hAnsi="Times New Roman;sans-serif"/>
          <w:b w:val="false"/>
          <w:color w:val="000000"/>
          <w:sz w:val="20"/>
        </w:rPr>
        <w:t xml:space="preserve">Except as otherwise expressly provided in any of the Loan Documents, California law governs the Loan Documents without regard to principles of conflicts of law that would require the application of the laws of another jurisdiction. Borrower and Bank each irrevocably and unconditionally submit to the exclusive jurisdiction of the State and Federal courts in Santa Clara County, California;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w:t>
      </w:r>
      <w:hyperlink w:anchor="i37efde9015094164b274aef726ee5ee2_16">
        <w:r>
          <w:rPr>
            <w:rStyle w:val="InternetLink"/>
            <w:rFonts w:ascii="Times New Roman;sans-serif" w:hAnsi="Times New Roman;sans-serif"/>
            <w:b w:val="false"/>
            <w:strike w:val="false"/>
            <w:dstrike w:val="false"/>
            <w:color w:val="000000"/>
            <w:sz w:val="20"/>
            <w:u w:val="none"/>
            <w:effect w:val="none"/>
          </w:rPr>
          <w:t>9</w:t>
        </w:r>
      </w:hyperlink>
      <w:r>
        <w:rPr>
          <w:rFonts w:ascii="Times New Roman;sans-serif" w:hAnsi="Times New Roman;sans-serif"/>
          <w:b w:val="false"/>
          <w:color w:val="000000"/>
          <w:sz w:val="20"/>
        </w:rPr>
        <w:t xml:space="preserve"> of this Agreement and that service so made shall be deemed completed upon the earlier to occur of Borrower’s actual receipt thereof or three (3) days after deposit in the U.S. mails, proper postage prepaid.</w:t>
      </w:r>
    </w:p>
    <w:p>
      <w:pPr>
        <w:pStyle w:val="TextBody"/>
        <w:spacing w:before="9" w:after="283"/>
        <w:rPr/>
      </w:pPr>
      <w:r>
        <w:rPr/>
      </w:r>
    </w:p>
    <w:p>
      <w:pPr>
        <w:pStyle w:val="TextBody"/>
        <w:spacing w:lineRule="auto" w:line="240"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TO THE FULLEST EXTENT PERMITTED BY APPLICABLE LAW, BORROWER AND BANK EACH WAIVES ITS RIGHT TO A JURY TRIAL OF ANY CLAIM OR CAUSE OF ACTION ARISING OUT OF OR BASED UPON THIS AGREEMENT, THE LOAN DOCUMENTS OR ANY CONTEMPLATED TRANSACTION UNDER THIS AGREEMENT, INCLUDING CONTRACT, TORT, BREACH OF DUTY AND ALL OTHER CLAIMS. THIS WAIVER IS A MATERIAL INDUCEMENT FOR THE PARTIES HERETO TO ENTER INTO THIS AGREEMENT. EACH PARTY HERETO HAS REVIEWED THIS WAIVER WITH ITS COUNSEL.</w:t>
      </w:r>
    </w:p>
    <w:p>
      <w:pPr>
        <w:pStyle w:val="TextBody"/>
        <w:spacing w:before="11" w:after="283"/>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WITHOUT INTENDING IN ANY WAY TO LIMIT THE PARTIES’ AGREEMENT TO WAIVE THEIR</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pStyle w:val="TextBody"/>
        <w:spacing w:before="9" w:after="283"/>
        <w:rPr/>
      </w:pPr>
      <w:r>
        <w:rPr/>
      </w:r>
    </w:p>
    <w:p>
      <w:pPr>
        <w:pStyle w:val="TextBody"/>
        <w:spacing w:lineRule="auto" w:line="240" w:before="0" w:after="0"/>
        <w:jc w:val="center"/>
        <w:rPr/>
      </w:pPr>
      <w:r>
        <w:rPr>
          <w:rFonts w:ascii="Times New Roman;sans-serif" w:hAnsi="Times New Roman;sans-serif"/>
          <w:b w:val="false"/>
          <w:color w:val="000000"/>
          <w:sz w:val="20"/>
        </w:rPr>
        <w:t xml:space="preserve">This Section </w:t>
      </w:r>
      <w:hyperlink w:anchor="i37efde9015094164b274aef726ee5ee2_19">
        <w:r>
          <w:rPr>
            <w:rStyle w:val="InternetLink"/>
            <w:rFonts w:ascii="Times New Roman;sans-serif" w:hAnsi="Times New Roman;sans-serif"/>
            <w:b w:val="false"/>
            <w:strike w:val="false"/>
            <w:dstrike w:val="false"/>
            <w:color w:val="000000"/>
            <w:sz w:val="20"/>
            <w:u w:val="none"/>
            <w:effect w:val="none"/>
          </w:rPr>
          <w:t>10</w:t>
        </w:r>
      </w:hyperlink>
      <w:r>
        <w:rPr>
          <w:rFonts w:ascii="Times New Roman;sans-serif" w:hAnsi="Times New Roman;sans-serif"/>
          <w:b w:val="false"/>
          <w:color w:val="000000"/>
          <w:sz w:val="20"/>
        </w:rPr>
        <w:t xml:space="preserve"> shall survive the termination of this Agreement and the repayment of all Obligations.</w:t>
      </w:r>
    </w:p>
    <w:p>
      <w:pPr>
        <w:pStyle w:val="TextBody"/>
        <w:spacing w:before="10" w:after="283"/>
        <w:rPr/>
      </w:pPr>
      <w:r>
        <w:rPr/>
      </w:r>
    </w:p>
    <w:p>
      <w:pPr>
        <w:pStyle w:val="TextBody"/>
        <w:spacing w:lineRule="auto" w:line="240" w:before="1" w:after="283"/>
        <w:ind w:left="0" w:right="0" w:hanging="720"/>
        <w:rPr/>
      </w:pPr>
      <w:r>
        <w:rPr>
          <w:rFonts w:ascii="Times New Roman;sans-serif" w:hAnsi="Times New Roman;sans-serif"/>
          <w:b/>
          <w:color w:val="000000"/>
          <w:sz w:val="20"/>
        </w:rPr>
        <w:t>11.</w:t>
      </w:r>
      <w:r>
        <w:rPr>
          <w:rFonts w:ascii="Times New Roman;sans-serif" w:hAnsi="Times New Roman;sans-serif"/>
          <w:b/>
          <w:color w:val="000000"/>
          <w:sz w:val="20"/>
          <w:u w:val="single"/>
        </w:rPr>
        <w:t>GENERAL PROVISIONS</w:t>
      </w:r>
    </w:p>
    <w:p>
      <w:pPr>
        <w:pStyle w:val="TextBody"/>
        <w:spacing w:before="0" w:after="0"/>
        <w:rPr/>
      </w:pPr>
      <w:r>
        <w:rPr/>
      </w:r>
    </w:p>
    <w:p>
      <w:pPr>
        <w:pStyle w:val="TextBody"/>
        <w:spacing w:lineRule="auto" w:line="240" w:before="91" w:after="283"/>
        <w:ind w:left="0" w:right="0" w:firstLine="720"/>
        <w:jc w:val="both"/>
        <w:rPr/>
      </w:pPr>
      <w:r>
        <w:rPr>
          <w:rFonts w:ascii="Times New Roman;sans-serif" w:hAnsi="Times New Roman;sans-serif"/>
          <w:b/>
          <w:color w:val="000000"/>
          <w:sz w:val="20"/>
        </w:rPr>
        <w:t xml:space="preserve">11.1Termination Prior to Revolving Line Maturity Date or Term Loan Maturity Date; Survival. </w:t>
      </w:r>
      <w:r>
        <w:rPr>
          <w:rFonts w:ascii="Times New Roman;sans-serif" w:hAnsi="Times New Roman;sans-serif"/>
          <w:b w:val="false"/>
          <w:color w:val="000000"/>
          <w:sz w:val="20"/>
        </w:rPr>
        <w:t xml:space="preserve">All covenants, representations and warranties made in this Agreement shall 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3.1</w:t>
        </w:r>
      </w:hyperlink>
      <w:r>
        <w:rPr>
          <w:rFonts w:ascii="Times New Roman;sans-serif" w:hAnsi="Times New Roman;sans-serif"/>
          <w:b w:val="false"/>
          <w:color w:val="000000"/>
          <w:sz w:val="20"/>
        </w:rPr>
        <w:t xml:space="preserve"> of this Agreement), this Agreement may be terminated prior to the Revolving Line Maturity Date and the Term Loan 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11.2Successors and Assigns. </w:t>
      </w:r>
      <w:r>
        <w:rPr>
          <w:rFonts w:ascii="Times New Roman;sans-serif" w:hAnsi="Times New Roman;sans-serif"/>
          <w:b w:val="false"/>
          <w:color w:val="000000"/>
          <w:sz w:val="20"/>
        </w:rPr>
        <w:t>This Agreement binds and is for the benefit of the successors and permitted assigns of each party. Borrower may 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Notwithstanding the foregoing, or anything to the contrary herein, so long as no Event of Default shall have occurred and is continuing, Bank shall not assign its interest in the Loan Documents to any Person who is (a) a competitor of Borrower, whether as an operating company or direct or indirect parent with voting control over such operating company, or (b) a vulture fund or distressed debt fund.</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11.3Indemnification.</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General Indemnification</w:t>
      </w:r>
      <w:r>
        <w:rPr>
          <w:rFonts w:ascii="Times New Roman;sans-serif" w:hAnsi="Times New Roman;sans-serif"/>
          <w:b w:val="false"/>
          <w:color w:val="000000"/>
          <w:sz w:val="20"/>
        </w:rPr>
        <w:t>. Borrower shall indemnify, defend and hold Bank and its Affiliates and the partners, directors, officers, employees, agents, trustees, administrators, managers, advisors and representatives of Bank and its Affiliates (each, an “</w:t>
      </w:r>
      <w:r>
        <w:rPr>
          <w:rFonts w:ascii="Times New Roman;sans-serif" w:hAnsi="Times New Roman;sans-serif"/>
          <w:b/>
          <w:color w:val="000000"/>
          <w:sz w:val="20"/>
        </w:rPr>
        <w:t>Indemnified Person</w:t>
      </w:r>
      <w:r>
        <w:rPr>
          <w:color w:val="000000"/>
        </w:rPr>
        <w:t>”</w:t>
      </w:r>
      <w:r>
        <w:rPr>
          <w:rFonts w:ascii="Times New Roman;sans-serif" w:hAnsi="Times New Roman;sans-serif"/>
          <w:b w:val="false"/>
          <w:color w:val="000000"/>
          <w:sz w:val="20"/>
        </w:rPr>
        <w:t>) harmless against: all losses, claims, damages, liabilities and related expenses (including Bank Expenses and the reasonable fees, charges and disbursements of any counsel for any Indemnified Person) (collectively, “</w:t>
      </w:r>
      <w:r>
        <w:rPr>
          <w:rFonts w:ascii="Times New Roman;sans-serif" w:hAnsi="Times New Roman;sans-serif"/>
          <w:b/>
          <w:color w:val="000000"/>
          <w:sz w:val="20"/>
        </w:rPr>
        <w:t>Claims</w:t>
      </w:r>
      <w:r>
        <w:rPr>
          <w:color w:val="000000"/>
        </w:rPr>
        <w:t>”</w:t>
      </w:r>
      <w:r>
        <w:rPr>
          <w:rFonts w:ascii="Times New Roman;sans-serif" w:hAnsi="Times New Roman;sans-serif"/>
          <w:b w:val="false"/>
          <w:color w:val="000000"/>
          <w:sz w:val="20"/>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pPr>
      <w:r>
        <w:rPr>
          <w:rFonts w:ascii="Times New Roman;sans-serif" w:hAnsi="Times New Roman;sans-serif"/>
          <w:b w:val="false"/>
          <w:color w:val="000000"/>
          <w:sz w:val="20"/>
        </w:rPr>
        <w:t xml:space="preserve">and nonappealable judgment to have resulted from the gross negligence or willful misconduct of such Indemnified Person. All amounts due under this Section </w:t>
      </w:r>
      <w:hyperlink w:anchor="i37efde9015094164b274aef726ee5ee2_22">
        <w:r>
          <w:rPr>
            <w:rStyle w:val="InternetLink"/>
            <w:rFonts w:ascii="Times New Roman;sans-serif" w:hAnsi="Times New Roman;sans-serif"/>
            <w:b w:val="false"/>
            <w:strike w:val="false"/>
            <w:dstrike w:val="false"/>
            <w:color w:val="000000"/>
            <w:sz w:val="20"/>
            <w:u w:val="none"/>
            <w:effect w:val="none"/>
          </w:rPr>
          <w:t>11.3</w:t>
        </w:r>
      </w:hyperlink>
      <w:r>
        <w:rPr>
          <w:rFonts w:ascii="Times New Roman;sans-serif" w:hAnsi="Times New Roman;sans-serif"/>
          <w:b w:val="false"/>
          <w:color w:val="000000"/>
          <w:sz w:val="20"/>
        </w:rPr>
        <w:t xml:space="preserve"> shall be payable promptly after demand therefor.</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Waiver of Consequential Damages, Etc.</w:t>
      </w:r>
      <w:r>
        <w:rPr>
          <w:color w:val="000000"/>
        </w:rPr>
        <w:t xml:space="preserve"> </w:t>
      </w:r>
      <w:r>
        <w:rPr>
          <w:rFonts w:ascii="Times New Roman;sans-serif" w:hAnsi="Times New Roman;sans-serif"/>
          <w:b w:val="false"/>
          <w:color w:val="000000"/>
          <w:sz w:val="20"/>
        </w:rPr>
        <w:t>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spacing w:before="0" w:after="0"/>
        <w:rPr/>
      </w:pPr>
      <w:r>
        <w:rPr/>
      </w:r>
    </w:p>
    <w:p>
      <w:pPr>
        <w:pStyle w:val="TextBody"/>
        <w:spacing w:lineRule="auto" w:line="240" w:before="0" w:after="0"/>
        <w:ind w:left="0" w:right="0" w:firstLine="720"/>
        <w:rPr/>
      </w:pPr>
      <w:r>
        <w:rPr>
          <w:rFonts w:ascii="Times New Roman;sans-serif" w:hAnsi="Times New Roman;sans-serif"/>
          <w:b w:val="false"/>
          <w:color w:val="000000"/>
          <w:sz w:val="20"/>
        </w:rPr>
        <w:t xml:space="preserve">This Section </w:t>
      </w:r>
      <w:hyperlink w:anchor="i37efde9015094164b274aef726ee5ee2_22">
        <w:r>
          <w:rPr>
            <w:rStyle w:val="InternetLink"/>
            <w:rFonts w:ascii="Times New Roman;sans-serif" w:hAnsi="Times New Roman;sans-serif"/>
            <w:b w:val="false"/>
            <w:strike w:val="false"/>
            <w:dstrike w:val="false"/>
            <w:color w:val="000000"/>
            <w:sz w:val="20"/>
            <w:u w:val="none"/>
            <w:effect w:val="none"/>
          </w:rPr>
          <w:t>11.3</w:t>
        </w:r>
      </w:hyperlink>
      <w:r>
        <w:rPr>
          <w:rFonts w:ascii="Times New Roman;sans-serif" w:hAnsi="Times New Roman;sans-serif"/>
          <w:b w:val="false"/>
          <w:color w:val="000000"/>
          <w:sz w:val="20"/>
        </w:rPr>
        <w:t xml:space="preserve"> shall survive the termination of this Agreement and the repayment of all Obligations until all statutes of limitation with respect to the Claims, losses, and expenses for which indemnity is given shall have run.</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11.4 Time of Essence. </w:t>
      </w:r>
      <w:r>
        <w:rPr>
          <w:rFonts w:ascii="Times New Roman;sans-serif" w:hAnsi="Times New Roman;sans-serif"/>
          <w:b w:val="false"/>
          <w:color w:val="000000"/>
          <w:sz w:val="20"/>
        </w:rPr>
        <w:t>Time is of the essence for the performance of all Obligations in this Agreement.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11.5 Severability of Provisions. </w:t>
      </w:r>
      <w:r>
        <w:rPr>
          <w:rFonts w:ascii="Times New Roman;sans-serif" w:hAnsi="Times New Roman;sans-serif"/>
          <w:b w:val="false"/>
          <w:color w:val="000000"/>
          <w:sz w:val="20"/>
        </w:rPr>
        <w:t>Each provision of this Agreement is severable from every other provision in determining the enforceability of any provision.</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11.6 Amendments in Writing; Waiver; Integration.</w:t>
      </w:r>
      <w:r>
        <w:rPr>
          <w:color w:val="000000"/>
        </w:rPr>
        <w:t xml:space="preserve"> </w:t>
      </w:r>
      <w:r>
        <w:rPr>
          <w:rFonts w:ascii="Times New Roman;sans-serif" w:hAnsi="Times New Roman;sans-serif"/>
          <w:b w:val="false"/>
          <w:color w:val="000000"/>
          <w:sz w:val="20"/>
        </w:rPr>
        <w:t>No purported amendment or modification of any Loan Document, or waiver, discharge or termination of any obligation under any Loan 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11.7 Counterparts. </w:t>
      </w:r>
      <w:r>
        <w:rPr>
          <w:rFonts w:ascii="Times New Roman;sans-serif" w:hAnsi="Times New Roman;sans-serif"/>
          <w:b w:val="false"/>
          <w:color w:val="000000"/>
          <w:sz w:val="20"/>
        </w:rPr>
        <w:t>This Agreement may be executed in any number of counterparts and by different parties on separate counterparts, each of which, when executed and delivered, is an original, and all taken together, constitute one Agreement. Delivery of an executed signature page of this Agreement by electronic mail transmission shall be effective as delivery of a manually executed counterpart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11.8 Confidentiality. </w:t>
      </w:r>
      <w:r>
        <w:rPr>
          <w:rFonts w:ascii="Times New Roman;sans-serif" w:hAnsi="Times New Roman;sans-serif"/>
          <w:b w:val="false"/>
          <w:color w:val="000000"/>
          <w:sz w:val="20"/>
        </w:rPr>
        <w:t>Bank agrees to maintain the confidentiality of Information (as defined below), except that Information may be disclosed (a) to Bank’s Subsidiaries and Affiliates and their respective employees, directors, agents, attorneys, accountants and other professional advisors (collectively, “</w:t>
      </w:r>
      <w:r>
        <w:rPr>
          <w:rFonts w:ascii="Times New Roman;sans-serif" w:hAnsi="Times New Roman;sans-serif"/>
          <w:b/>
          <w:color w:val="000000"/>
          <w:sz w:val="20"/>
        </w:rPr>
        <w:t>Representatives</w:t>
      </w:r>
      <w:r>
        <w:rPr>
          <w:color w:val="000000"/>
        </w:rPr>
        <w:t xml:space="preserve">” </w:t>
      </w:r>
      <w:r>
        <w:rPr>
          <w:rFonts w:ascii="Times New Roman;sans-serif" w:hAnsi="Times New Roman;sans-serif"/>
          <w:b w:val="false"/>
          <w:color w:val="000000"/>
          <w:sz w:val="20"/>
        </w:rPr>
        <w:t>and, together with Bank, collectively, “</w:t>
      </w:r>
      <w:r>
        <w:rPr>
          <w:rFonts w:ascii="Times New Roman;sans-serif" w:hAnsi="Times New Roman;sans-serif"/>
          <w:b/>
          <w:color w:val="000000"/>
          <w:sz w:val="20"/>
        </w:rPr>
        <w:t>Bank Entities</w:t>
      </w:r>
      <w:r>
        <w:rPr>
          <w:color w:val="000000"/>
        </w:rPr>
        <w:t>”</w:t>
      </w:r>
      <w:r>
        <w:rPr>
          <w:rFonts w:ascii="Times New Roman;sans-serif" w:hAnsi="Times New Roman;sans-serif"/>
          <w:b w:val="false"/>
          <w:color w:val="000000"/>
          <w:sz w:val="20"/>
        </w:rPr>
        <w:t>), provided that such Bank Entities are subject to the same confidentiality provisions herein; (b) to prospective transferees, assignees, credit providers or purchasers of Bank’s interests under or in connection with this Agreement and their Representatives (provided, however, Bank shall use obtain any such prospective transferee’s, assignee’s, credit provider’s, purchaser’s or their Representatives’ agreement to the terms of this provision or substantially similar terms); (c) as required by law, regulation, subpoena, or other order; (d) to Bank’s regulators or as otherwise required or requested in connection with Bank’s examination or audit;</w:t>
      </w:r>
    </w:p>
    <w:p>
      <w:pPr>
        <w:pStyle w:val="TextBody"/>
        <w:spacing w:lineRule="auto" w:line="240" w:before="0" w:after="0"/>
        <w:ind w:left="0" w:right="0" w:firstLine="720"/>
        <w:jc w:val="both"/>
        <w:rPr/>
      </w:pPr>
      <w:r>
        <w:rPr>
          <w:rFonts w:ascii="Times New Roman;sans-serif" w:hAnsi="Times New Roman;sans-serif"/>
          <w:b w:val="false"/>
          <w:color w:val="000000"/>
          <w:sz w:val="20"/>
        </w:rPr>
        <w:t>(e)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sans-serif" w:hAnsi="Times New Roman;sans-serif"/>
          <w:b/>
          <w:color w:val="000000"/>
          <w:sz w:val="20"/>
        </w:rPr>
        <w:t>Information</w:t>
      </w:r>
      <w:r>
        <w:rPr>
          <w:color w:val="000000"/>
        </w:rPr>
        <w:t xml:space="preserve">” </w:t>
      </w:r>
      <w:r>
        <w:rPr>
          <w:rFonts w:ascii="Times New Roman;sans-serif" w:hAnsi="Times New Roman;sans-serif"/>
          <w:b w:val="false"/>
          <w:color w:val="000000"/>
          <w:sz w:val="20"/>
        </w:rPr>
        <w:t>means all information received from Borrower and its agents regarding Borrower or its business, in each case other than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11.9 Electronic Execution of Documents. </w:t>
      </w:r>
      <w:r>
        <w:rPr>
          <w:rFonts w:ascii="Times New Roman;sans-serif" w:hAnsi="Times New Roman;sans-serif"/>
          <w:b w:val="false"/>
          <w:color w:val="000000"/>
          <w:sz w:val="20"/>
        </w:rPr>
        <w:t>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11.10 Right of Setoff. </w:t>
      </w:r>
      <w:r>
        <w:rPr>
          <w:rFonts w:ascii="Times New Roman;sans-serif" w:hAnsi="Times New Roman;sans-serif"/>
          <w:b w:val="false"/>
          <w:color w:val="000000"/>
          <w:sz w:val="20"/>
        </w:rPr>
        <w:t>Borrower hereby grants to Bank a Lien and a right of setoff as security for all 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pStyle w:val="TextBody"/>
        <w:spacing w:before="10" w:after="283"/>
        <w:rPr/>
      </w:pPr>
      <w:r>
        <w:rPr/>
      </w:r>
    </w:p>
    <w:p>
      <w:pPr>
        <w:pStyle w:val="TextBody"/>
        <w:spacing w:lineRule="auto" w:line="240" w:before="0" w:after="0"/>
        <w:ind w:left="0" w:right="0" w:firstLine="1080"/>
        <w:jc w:val="both"/>
        <w:rPr/>
      </w:pPr>
      <w:r>
        <w:rPr>
          <w:rFonts w:ascii="Times New Roman;sans-serif" w:hAnsi="Times New Roman;sans-serif"/>
          <w:b/>
          <w:color w:val="000000"/>
          <w:sz w:val="20"/>
        </w:rPr>
        <w:t xml:space="preserve">11.11 Captions and Section References. </w:t>
      </w:r>
      <w:r>
        <w:rPr>
          <w:rFonts w:ascii="Times New Roman;sans-serif" w:hAnsi="Times New Roman;sans-serif"/>
          <w:b w:val="false"/>
          <w:color w:val="000000"/>
          <w:sz w:val="20"/>
        </w:rPr>
        <w:t>The headings used in this Agreement are for convenience only and shall not affect the interpretation of this Agreement. Unless indicated otherwise, section references herein are to sections of this Agreement.</w:t>
      </w:r>
    </w:p>
    <w:p>
      <w:pPr>
        <w:pStyle w:val="TextBody"/>
        <w:spacing w:before="0" w:after="0"/>
        <w:rPr/>
      </w:pPr>
      <w:r>
        <w:rPr/>
      </w:r>
    </w:p>
    <w:p>
      <w:pPr>
        <w:pStyle w:val="TextBody"/>
        <w:spacing w:lineRule="auto" w:line="240" w:before="0" w:after="0"/>
        <w:ind w:left="0" w:right="0" w:firstLine="1080"/>
        <w:jc w:val="both"/>
        <w:rPr/>
      </w:pPr>
      <w:r>
        <w:rPr>
          <w:rFonts w:ascii="Times New Roman;sans-serif" w:hAnsi="Times New Roman;sans-serif"/>
          <w:b/>
          <w:color w:val="000000"/>
          <w:sz w:val="20"/>
        </w:rPr>
        <w:t xml:space="preserve">11.12 Construction of Agreement. </w:t>
      </w:r>
      <w:r>
        <w:rPr>
          <w:rFonts w:ascii="Times New Roman;sans-serif" w:hAnsi="Times New Roman;sans-serif"/>
          <w:b w:val="false"/>
          <w:color w:val="000000"/>
          <w:sz w:val="20"/>
        </w:rPr>
        <w:t>The parties hereto mutually acknowledge that they and their attorneys have participated in the preparation and negotiation of this Agreement. In cases of uncertainty this Agreement shall be construed without regard to which of the parties caused the uncertainty to exist.</w:t>
      </w:r>
    </w:p>
    <w:p>
      <w:pPr>
        <w:pStyle w:val="TextBody"/>
        <w:spacing w:before="0" w:after="0"/>
        <w:ind w:left="0" w:right="0" w:firstLine="1080"/>
        <w:jc w:val="both"/>
        <w:rPr/>
      </w:pPr>
      <w:r>
        <w:rPr/>
      </w:r>
    </w:p>
    <w:p>
      <w:pPr>
        <w:pStyle w:val="TextBody"/>
        <w:spacing w:lineRule="auto" w:line="240" w:before="0" w:after="0"/>
        <w:ind w:left="0" w:right="0" w:firstLine="1080"/>
        <w:jc w:val="both"/>
        <w:rPr/>
      </w:pPr>
      <w:r>
        <w:rPr>
          <w:rFonts w:ascii="Times New Roman;sans-serif" w:hAnsi="Times New Roman;sans-serif"/>
          <w:b/>
          <w:color w:val="000000"/>
          <w:sz w:val="20"/>
        </w:rPr>
        <w:t xml:space="preserve">11.13 Relationship. </w:t>
      </w:r>
      <w:r>
        <w:rPr>
          <w:rFonts w:ascii="Times New Roman;sans-serif" w:hAnsi="Times New Roman;sans-serif"/>
          <w:b w:val="false"/>
          <w:color w:val="000000"/>
          <w:sz w:val="20"/>
        </w:rPr>
        <w:t>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pStyle w:val="TextBody"/>
        <w:spacing w:before="0" w:after="0"/>
        <w:ind w:left="0" w:right="0" w:firstLine="1080"/>
        <w:jc w:val="both"/>
        <w:rPr/>
      </w:pPr>
      <w:r>
        <w:rPr/>
      </w:r>
    </w:p>
    <w:p>
      <w:pPr>
        <w:pStyle w:val="TextBody"/>
        <w:spacing w:lineRule="auto" w:line="240" w:before="0" w:after="0"/>
        <w:ind w:left="0" w:right="0" w:firstLine="1080"/>
        <w:jc w:val="both"/>
        <w:rPr/>
      </w:pPr>
      <w:r>
        <w:rPr>
          <w:rFonts w:ascii="Times New Roman;sans-serif" w:hAnsi="Times New Roman;sans-serif"/>
          <w:b/>
          <w:color w:val="000000"/>
          <w:sz w:val="20"/>
        </w:rPr>
        <w:t xml:space="preserve">11.14 Third Parties. </w:t>
      </w:r>
      <w:r>
        <w:rPr>
          <w:rFonts w:ascii="Times New Roman;sans-serif" w:hAnsi="Times New Roman;sans-serif"/>
          <w:b w:val="false"/>
          <w:color w:val="000000"/>
          <w:sz w:val="20"/>
        </w:rPr>
        <w:t>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pStyle w:val="TextBody"/>
        <w:spacing w:before="0" w:after="0"/>
        <w:ind w:left="0" w:right="0" w:firstLine="1080"/>
        <w:jc w:val="both"/>
        <w:rPr/>
      </w:pPr>
      <w:r>
        <w:rPr/>
      </w:r>
    </w:p>
    <w:p>
      <w:pPr>
        <w:pStyle w:val="TextBody"/>
        <w:spacing w:lineRule="auto" w:line="240" w:before="0" w:after="0"/>
        <w:ind w:left="0" w:right="0" w:firstLine="1080"/>
        <w:jc w:val="both"/>
        <w:rPr/>
      </w:pPr>
      <w:r>
        <w:rPr>
          <w:rFonts w:ascii="Times New Roman;sans-serif" w:hAnsi="Times New Roman;sans-serif"/>
          <w:b/>
          <w:color w:val="000000"/>
          <w:sz w:val="20"/>
        </w:rPr>
        <w:t xml:space="preserve">11.15 Anti-Terrorism Law. </w:t>
      </w:r>
      <w:r>
        <w:rPr>
          <w:rFonts w:ascii="Times New Roman;sans-serif" w:hAnsi="Times New Roman;sans-serif"/>
          <w:b w:val="false"/>
          <w:color w:val="000000"/>
          <w:sz w:val="20"/>
        </w:rPr>
        <w:t>Bank hereby notifies Borrower that, pursuant to the requirements of Anti- Terrorism Law, Bank may be required to 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color w:val="000000"/>
          <w:sz w:val="20"/>
        </w:rPr>
        <w:t>12.</w:t>
      </w:r>
      <w:r>
        <w:rPr>
          <w:rFonts w:ascii="Times New Roman;sans-serif" w:hAnsi="Times New Roman;sans-serif"/>
          <w:b/>
          <w:color w:val="000000"/>
          <w:sz w:val="20"/>
          <w:u w:val="single"/>
        </w:rPr>
        <w:t>ACCOUNTING TERMS AND OTHER DEFINITIONS</w:t>
      </w:r>
    </w:p>
    <w:p>
      <w:pPr>
        <w:pStyle w:val="TextBody"/>
        <w:spacing w:before="0" w:after="0"/>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12.1Accounting and Other Terms.</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(a)Accounting terms not defined in this Agreement shall be construed following GAAP, except for non-compliance with FAS 123R with respect to monthly financial statements. Calculations and determinations must be made following GAAP (except for (a) non-compliance with FAS 123R with respect to monthly financial statement),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reconciliation between calculations of such ratio or requirement made before and after giving effect to such change in GAAP.</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12.2Definitions. </w:t>
      </w:r>
      <w:r>
        <w:rPr>
          <w:rFonts w:ascii="Times New Roman;sans-serif" w:hAnsi="Times New Roman;sans-serif"/>
          <w:b w:val="false"/>
          <w:color w:val="000000"/>
          <w:sz w:val="20"/>
        </w:rPr>
        <w:t xml:space="preserve">Capitalized terms not otherwise defined in this Agreement shall have the meanings set forth in this Section </w:t>
      </w:r>
      <w:hyperlink w:anchor="i37efde9015094164b274aef726ee5ee2_25">
        <w:r>
          <w:rPr>
            <w:rStyle w:val="InternetLink"/>
            <w:rFonts w:ascii="Times New Roman;sans-serif" w:hAnsi="Times New Roman;sans-serif"/>
            <w:b w:val="false"/>
            <w:strike w:val="false"/>
            <w:dstrike w:val="false"/>
            <w:color w:val="000000"/>
            <w:sz w:val="20"/>
            <w:u w:val="none"/>
            <w:effect w:val="none"/>
          </w:rPr>
          <w:t>12.2.</w:t>
        </w:r>
      </w:hyperlink>
      <w:r>
        <w:rPr>
          <w:rFonts w:ascii="Times New Roman;sans-serif" w:hAnsi="Times New Roman;sans-serif"/>
          <w:b w:val="false"/>
          <w:color w:val="000000"/>
          <w:sz w:val="20"/>
        </w:rPr>
        <w:t xml:space="preserve"> All other terms contained in this Agreement, unless otherwise indicated, shall have the meaning provided by the Code to the extent such terms are defined therein. As used in this Agreement, the following capitalized terms have the following meanings:</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Account</w:t>
      </w:r>
      <w:r>
        <w:rPr>
          <w:color w:val="000000"/>
        </w:rPr>
        <w:t xml:space="preserve">” </w:t>
      </w:r>
      <w:r>
        <w:rPr>
          <w:rFonts w:ascii="Times New Roman;sans-serif" w:hAnsi="Times New Roman;sans-serif"/>
          <w:b w:val="false"/>
          <w:color w:val="000000"/>
          <w:sz w:val="20"/>
        </w:rPr>
        <w:t>is, as to any Person, any “account” of such Person as “account” is defined in the Code with such additions to such term as may hereafter be made, and includes, without limitation, all accounts receivable and other sums owing to such Person.</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Account Debtor</w:t>
      </w:r>
      <w:r>
        <w:rPr>
          <w:color w:val="000000"/>
        </w:rPr>
        <w:t xml:space="preserve">” </w:t>
      </w:r>
      <w:r>
        <w:rPr>
          <w:rFonts w:ascii="Times New Roman;sans-serif" w:hAnsi="Times New Roman;sans-serif"/>
          <w:b w:val="false"/>
          <w:color w:val="000000"/>
          <w:sz w:val="20"/>
        </w:rPr>
        <w:t>is any “account debtor” as defined in the Code with such additions to such term as may hereafter be made.</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Adjusted EBITDA</w:t>
      </w:r>
      <w:r>
        <w:rPr>
          <w:color w:val="000000"/>
        </w:rPr>
        <w:t xml:space="preserve">” </w:t>
      </w:r>
      <w:r>
        <w:rPr>
          <w:rFonts w:ascii="Times New Roman;sans-serif" w:hAnsi="Times New Roman;sans-serif"/>
          <w:b w:val="false"/>
          <w:color w:val="000000"/>
          <w:sz w:val="20"/>
        </w:rPr>
        <w:t xml:space="preserve">shall mean, for Borrower and its Subsidiaries, with respect to any period, the sum of (a) Net Income,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0"/>
        </w:rPr>
        <w:t>(b) to the extent deducted or added to the calculation of Net Income, (i) Interest income, Interest Expenses, (ii) depreciation expense and amortization expense, (iii) income tax expense, (iv) non-cash stock compensation, and (v) any other one-time restructuring or non-cash charges.</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Adjusted Quick Ratio</w:t>
      </w:r>
      <w:r>
        <w:rPr>
          <w:color w:val="000000"/>
        </w:rPr>
        <w:t xml:space="preserve">” </w:t>
      </w:r>
      <w:r>
        <w:rPr>
          <w:rFonts w:ascii="Times New Roman;sans-serif" w:hAnsi="Times New Roman;sans-serif"/>
          <w:b w:val="false"/>
          <w:color w:val="000000"/>
          <w:sz w:val="20"/>
        </w:rPr>
        <w:t>is the ratio of (a) Quick Assets to (b) the sum of (i) Current Liabilities minus (ii) the current portion of Deferred Revenue.</w:t>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0"/>
        </w:rPr>
        <w:t>Administrator</w:t>
      </w:r>
      <w:r>
        <w:rPr>
          <w:color w:val="000000"/>
        </w:rPr>
        <w:t xml:space="preserve">” </w:t>
      </w:r>
      <w:r>
        <w:rPr>
          <w:rFonts w:ascii="Times New Roman;sans-serif" w:hAnsi="Times New Roman;sans-serif"/>
          <w:b w:val="false"/>
          <w:color w:val="000000"/>
          <w:sz w:val="20"/>
        </w:rPr>
        <w:t>is an individual that is named:</w:t>
      </w:r>
    </w:p>
    <w:p>
      <w:pPr>
        <w:pStyle w:val="TextBody"/>
        <w:spacing w:before="8" w:after="283"/>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(a)as an “Administrator” in the “SVB Online Services” form completed by Borrower with the authority to determine who will be authorized to use SVB Online Services (as defined in Bank’s Online Banking Agreement as in effect from time to time) on behalf of Borrower; and</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(b)as an Authorized Signer of Borrower in an approval by the Board.</w:t>
      </w:r>
    </w:p>
    <w:p>
      <w:pPr>
        <w:pStyle w:val="TextBody"/>
        <w:spacing w:before="0" w:after="0"/>
        <w:rPr/>
      </w:pPr>
      <w:r>
        <w:rPr/>
      </w:r>
    </w:p>
    <w:p>
      <w:pPr>
        <w:pStyle w:val="TextBody"/>
        <w:spacing w:lineRule="auto" w:line="240" w:before="91" w:after="283"/>
        <w:rPr/>
      </w:pPr>
      <w:r>
        <w:rPr>
          <w:color w:val="000000"/>
        </w:rPr>
        <w:t>“</w:t>
      </w:r>
      <w:r>
        <w:rPr>
          <w:rFonts w:ascii="Times New Roman;sans-serif" w:hAnsi="Times New Roman;sans-serif"/>
          <w:b/>
          <w:color w:val="000000"/>
          <w:sz w:val="20"/>
        </w:rPr>
        <w:t>Advance</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Advances</w:t>
      </w:r>
      <w:r>
        <w:rPr>
          <w:color w:val="000000"/>
        </w:rPr>
        <w:t xml:space="preserve">” </w:t>
      </w:r>
      <w:r>
        <w:rPr>
          <w:rFonts w:ascii="Times New Roman;sans-serif" w:hAnsi="Times New Roman;sans-serif"/>
          <w:b w:val="false"/>
          <w:color w:val="000000"/>
          <w:sz w:val="20"/>
        </w:rPr>
        <w:t>means a revolving credit loan (or revolving credit loans) under the Revolving</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Line.</w:t>
      </w:r>
    </w:p>
    <w:p>
      <w:pPr>
        <w:pStyle w:val="TextBody"/>
        <w:spacing w:before="9" w:after="283"/>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Affiliate</w:t>
      </w:r>
      <w:r>
        <w:rPr>
          <w:color w:val="000000"/>
        </w:rPr>
        <w:t xml:space="preserve">” </w:t>
      </w:r>
      <w:r>
        <w:rPr>
          <w:rFonts w:ascii="Times New Roman;sans-serif" w:hAnsi="Times New Roman;sans-serif"/>
          <w:b w:val="false"/>
          <w:color w:val="000000"/>
          <w:sz w:val="20"/>
        </w:rPr>
        <w:t>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0"/>
        </w:rPr>
        <w:t>Agreement</w:t>
      </w:r>
      <w:r>
        <w:rPr>
          <w:color w:val="000000"/>
        </w:rPr>
        <w:t xml:space="preserve">” </w:t>
      </w:r>
      <w:r>
        <w:rPr>
          <w:rFonts w:ascii="Times New Roman;sans-serif" w:hAnsi="Times New Roman;sans-serif"/>
          <w:b w:val="false"/>
          <w:color w:val="000000"/>
          <w:sz w:val="20"/>
        </w:rPr>
        <w:t>is defined in the preamble hereof.</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Anti-Terrorism Law</w:t>
      </w:r>
      <w:r>
        <w:rPr>
          <w:color w:val="000000"/>
        </w:rPr>
        <w:t xml:space="preserve">” </w:t>
      </w:r>
      <w:r>
        <w:rPr>
          <w:rFonts w:ascii="Times New Roman;sans-serif" w:hAnsi="Times New Roman;sans-serif"/>
          <w:b w:val="false"/>
          <w:color w:val="000000"/>
          <w:sz w:val="20"/>
        </w:rPr>
        <w:t>means any law relating to terrorism or money-laundering, including Executive Order No. 13224 and the USA Patriot Act.</w:t>
      </w:r>
    </w:p>
    <w:p>
      <w:pPr>
        <w:pStyle w:val="TextBody"/>
        <w:spacing w:before="8"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Applicable Law</w:t>
      </w:r>
      <w:r>
        <w:rPr>
          <w:color w:val="000000"/>
        </w:rPr>
        <w:t xml:space="preserve">” </w:t>
      </w:r>
      <w:r>
        <w:rPr>
          <w:rFonts w:ascii="Times New Roman;sans-serif" w:hAnsi="Times New Roman;sans-serif"/>
          <w:b w:val="false"/>
          <w:color w:val="000000"/>
          <w:sz w:val="20"/>
        </w:rPr>
        <w:t>means all applicable provisions of constitutions, laws, statutes, ordinances, rules, treaties, regulations, permits, licenses, approvals, interpretations and orders of courts or Governmental Authorities and all orders and decrees of all courts and arbitrators.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Authorized Signer</w:t>
      </w:r>
      <w:r>
        <w:rPr>
          <w:color w:val="000000"/>
        </w:rPr>
        <w:t xml:space="preserve">” </w:t>
      </w:r>
      <w:r>
        <w:rPr>
          <w:rFonts w:ascii="Times New Roman;sans-serif" w:hAnsi="Times New Roman;sans-serif"/>
          <w:b w:val="false"/>
          <w:color w:val="000000"/>
          <w:sz w:val="20"/>
        </w:rPr>
        <w:t>means any individual listed in Borrower’s Borrowing Resolution who is authorized to execute the Loan Documents, including making (and executing if applicable) any Credit Extension request, on behalf of Borrower.</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Availability Amount</w:t>
      </w:r>
      <w:r>
        <w:rPr>
          <w:color w:val="000000"/>
        </w:rPr>
        <w:t xml:space="preserve">” </w:t>
      </w:r>
      <w:r>
        <w:rPr>
          <w:rFonts w:ascii="Times New Roman;sans-serif" w:hAnsi="Times New Roman;sans-serif"/>
          <w:b w:val="false"/>
          <w:color w:val="000000"/>
          <w:sz w:val="20"/>
        </w:rPr>
        <w:t>is the lesser of (a) the Revolving Line or (b) the Borrowing Base, minus the sum of all outstanding principal amounts of any Advances.</w:t>
      </w:r>
    </w:p>
    <w:p>
      <w:pPr>
        <w:pStyle w:val="TextBody"/>
        <w:spacing w:before="10" w:after="283"/>
        <w:rPr/>
      </w:pPr>
      <w:r>
        <w:rPr/>
      </w:r>
    </w:p>
    <w:p>
      <w:pPr>
        <w:pStyle w:val="TextBody"/>
        <w:spacing w:lineRule="auto" w:line="568" w:before="0" w:after="0"/>
        <w:rPr/>
      </w:pPr>
      <w:r>
        <w:rPr>
          <w:color w:val="000000"/>
        </w:rPr>
        <w:t>“</w:t>
      </w:r>
      <w:r>
        <w:rPr>
          <w:rFonts w:ascii="Times New Roman;sans-serif" w:hAnsi="Times New Roman;sans-serif"/>
          <w:b/>
          <w:color w:val="000000"/>
          <w:sz w:val="20"/>
        </w:rPr>
        <w:t>Bank</w:t>
      </w:r>
      <w:r>
        <w:rPr>
          <w:color w:val="000000"/>
        </w:rPr>
        <w:t xml:space="preserve">” </w:t>
      </w:r>
      <w:r>
        <w:rPr>
          <w:rFonts w:ascii="Times New Roman;sans-serif" w:hAnsi="Times New Roman;sans-serif"/>
          <w:b w:val="false"/>
          <w:color w:val="000000"/>
          <w:sz w:val="20"/>
        </w:rPr>
        <w:t>is defined in the preamble hereof. “</w:t>
      </w:r>
      <w:r>
        <w:rPr>
          <w:rFonts w:ascii="Times New Roman;sans-serif" w:hAnsi="Times New Roman;sans-serif"/>
          <w:b/>
          <w:color w:val="000000"/>
          <w:sz w:val="20"/>
        </w:rPr>
        <w:t>Bank Entities</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22">
        <w:r>
          <w:rPr>
            <w:rStyle w:val="InternetLink"/>
            <w:rFonts w:ascii="Times New Roman;sans-serif" w:hAnsi="Times New Roman;sans-serif"/>
            <w:b w:val="false"/>
            <w:strike w:val="false"/>
            <w:dstrike w:val="false"/>
            <w:color w:val="000000"/>
            <w:sz w:val="20"/>
            <w:u w:val="none"/>
            <w:effect w:val="none"/>
          </w:rPr>
          <w:t>11.8.</w:t>
        </w:r>
      </w:hyperlink>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Bank Expenses</w:t>
      </w:r>
      <w:r>
        <w:rPr>
          <w:color w:val="000000"/>
        </w:rPr>
        <w:t xml:space="preserve">” </w:t>
      </w:r>
      <w:r>
        <w:rPr>
          <w:rFonts w:ascii="Times New Roman;sans-serif" w:hAnsi="Times New Roman;sans-serif"/>
          <w:b w:val="false"/>
          <w:color w:val="000000"/>
          <w:sz w:val="20"/>
        </w:rPr>
        <w:t>are all reasonable audit fees, costs and reasonable expenses (including reasonable, out-of- 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pStyle w:val="TextBody"/>
        <w:spacing w:before="7"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Bank Services</w:t>
      </w:r>
      <w:r>
        <w:rPr>
          <w:color w:val="000000"/>
        </w:rPr>
        <w:t xml:space="preserve">” </w:t>
      </w:r>
      <w:r>
        <w:rPr>
          <w:rFonts w:ascii="Times New Roman;sans-serif" w:hAnsi="Times New Roman;sans-serif"/>
          <w:b w:val="false"/>
          <w:color w:val="000000"/>
          <w:sz w:val="20"/>
        </w:rPr>
        <w:t>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sans-serif" w:hAnsi="Times New Roman;sans-serif"/>
          <w:b/>
          <w:color w:val="000000"/>
          <w:sz w:val="20"/>
        </w:rPr>
        <w:t>Bank Services Agreement</w:t>
      </w:r>
      <w:r>
        <w:rPr>
          <w:color w:val="000000"/>
        </w:rPr>
        <w:t>”</w:t>
      </w:r>
      <w:r>
        <w:rPr>
          <w:rFonts w:ascii="Times New Roman;sans-serif" w:hAnsi="Times New Roman;sans-serif"/>
          <w:b w:val="false"/>
          <w:color w:val="000000"/>
          <w:sz w:val="20"/>
        </w:rPr>
        <w:t>).</w:t>
      </w:r>
    </w:p>
    <w:p>
      <w:pPr>
        <w:pStyle w:val="TextBody"/>
        <w:spacing w:before="10" w:after="283"/>
        <w:rPr/>
      </w:pPr>
      <w:r>
        <w:rPr/>
      </w:r>
    </w:p>
    <w:p>
      <w:pPr>
        <w:pStyle w:val="TextBody"/>
        <w:spacing w:lineRule="auto" w:line="568" w:before="0" w:after="0"/>
        <w:rPr/>
      </w:pPr>
      <w:r>
        <w:rPr>
          <w:color w:val="000000"/>
        </w:rPr>
        <w:t>“</w:t>
      </w:r>
      <w:r>
        <w:rPr>
          <w:rFonts w:ascii="Times New Roman;sans-serif" w:hAnsi="Times New Roman;sans-serif"/>
          <w:b/>
          <w:color w:val="000000"/>
          <w:sz w:val="20"/>
        </w:rPr>
        <w:t>Bank Services Agreement</w:t>
      </w:r>
      <w:r>
        <w:rPr>
          <w:color w:val="000000"/>
        </w:rPr>
        <w:t xml:space="preserve">” </w:t>
      </w:r>
      <w:r>
        <w:rPr>
          <w:rFonts w:ascii="Times New Roman;sans-serif" w:hAnsi="Times New Roman;sans-serif"/>
          <w:b w:val="false"/>
          <w:color w:val="000000"/>
          <w:sz w:val="20"/>
        </w:rPr>
        <w:t>is defined in the definition of Bank Services. “</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is Borrower’s board of directors or equivalent governing body. “</w:t>
      </w:r>
      <w:r>
        <w:rPr>
          <w:rFonts w:ascii="Times New Roman;sans-serif" w:hAnsi="Times New Roman;sans-serif"/>
          <w:b/>
          <w:color w:val="000000"/>
          <w:sz w:val="20"/>
        </w:rPr>
        <w:t>Borrower</w:t>
      </w:r>
      <w:r>
        <w:rPr>
          <w:color w:val="000000"/>
        </w:rPr>
        <w:t xml:space="preserve">” </w:t>
      </w:r>
      <w:r>
        <w:rPr>
          <w:rFonts w:ascii="Times New Roman;sans-serif" w:hAnsi="Times New Roman;sans-serif"/>
          <w:b w:val="false"/>
          <w:color w:val="000000"/>
          <w:sz w:val="20"/>
        </w:rPr>
        <w:t>is set forth on Schedule I hereto.</w:t>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Borrower’s Books</w:t>
      </w:r>
      <w:r>
        <w:rPr>
          <w:color w:val="000000"/>
        </w:rPr>
        <w:t xml:space="preserve">” </w:t>
      </w:r>
      <w:r>
        <w:rPr>
          <w:rFonts w:ascii="Times New Roman;sans-serif" w:hAnsi="Times New Roman;sans-serif"/>
          <w:b w:val="false"/>
          <w:color w:val="000000"/>
          <w:sz w:val="20"/>
        </w:rPr>
        <w:t>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pStyle w:val="TextBody"/>
        <w:spacing w:before="5" w:after="283"/>
        <w:rPr/>
      </w:pPr>
      <w:r>
        <w:rPr/>
      </w:r>
    </w:p>
    <w:p>
      <w:pPr>
        <w:pStyle w:val="TextBody"/>
        <w:spacing w:lineRule="auto" w:line="240" w:before="0" w:after="0"/>
        <w:ind w:left="0" w:right="0" w:firstLine="770"/>
        <w:jc w:val="both"/>
        <w:rPr/>
      </w:pPr>
      <w:r>
        <w:rPr>
          <w:color w:val="000000"/>
        </w:rPr>
        <w:t>“</w:t>
      </w:r>
      <w:r>
        <w:rPr>
          <w:rFonts w:ascii="Times New Roman;sans-serif" w:hAnsi="Times New Roman;sans-serif"/>
          <w:b/>
          <w:color w:val="000000"/>
          <w:sz w:val="20"/>
        </w:rPr>
        <w:t>Borrowing Base</w:t>
      </w:r>
      <w:r>
        <w:rPr>
          <w:color w:val="000000"/>
        </w:rPr>
        <w:t xml:space="preserve">” </w:t>
      </w:r>
      <w:r>
        <w:rPr>
          <w:rFonts w:ascii="Times New Roman;sans-serif" w:hAnsi="Times New Roman;sans-serif"/>
          <w:b w:val="false"/>
          <w:color w:val="000000"/>
          <w:sz w:val="20"/>
        </w:rPr>
        <w:t>is eighty percent (80%) of Eligible Accounts, as determined by Bank from Borrower’s most recent Borrowing Base Statement; provided, however, that Bank has the right to decrease the foregoing percentages in its commercially reasonable discretion to mitigate the impact of events, conditions, contingencies, or risks which would reasonably be expected to adversely affect the Collateral or its value, following thirty (30) days prior written notice to Borrower.</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Borrowing Base Statement</w:t>
      </w:r>
      <w:r>
        <w:rPr>
          <w:color w:val="000000"/>
        </w:rPr>
        <w:t xml:space="preserve">” </w:t>
      </w:r>
      <w:r>
        <w:rPr>
          <w:rFonts w:ascii="Times New Roman;sans-serif" w:hAnsi="Times New Roman;sans-serif"/>
          <w:b w:val="false"/>
          <w:color w:val="000000"/>
          <w:sz w:val="20"/>
        </w:rPr>
        <w:t>is that certain statement of the value of certain Collateral in the form specified by Bank to Borrower from time to time.</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Borrowing Resolutions</w:t>
      </w:r>
      <w:r>
        <w:rPr>
          <w:color w:val="000000"/>
        </w:rPr>
        <w:t xml:space="preserve">” </w:t>
      </w:r>
      <w:r>
        <w:rPr>
          <w:rFonts w:ascii="Times New Roman;sans-serif" w:hAnsi="Times New Roman;sans-serif"/>
          <w:b w:val="false"/>
          <w:color w:val="000000"/>
          <w:sz w:val="20"/>
        </w:rPr>
        <w:t>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w:t>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that set forth as a part of or attached as an exhibit to such certificate is a true, correct, and complete copy of the applicable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is a day other than a Saturday, Sunday or other day on which commercial banks in the State of California are authorized or required by law to close, except that if any determination of a “Business Day” shall relate to an FX Contract, the term “Business Day” shall be a FX Business Day.</w:t>
      </w:r>
    </w:p>
    <w:p>
      <w:pPr>
        <w:pStyle w:val="TextBody"/>
        <w:spacing w:before="9" w:after="283"/>
        <w:rPr/>
      </w:pPr>
      <w:r>
        <w:rPr/>
      </w:r>
    </w:p>
    <w:p>
      <w:pPr>
        <w:pStyle w:val="TextBody"/>
        <w:spacing w:lineRule="auto" w:line="240" w:before="0" w:after="0"/>
        <w:rPr/>
      </w:pPr>
      <w:r>
        <w:rPr>
          <w:color w:val="000000"/>
        </w:rPr>
        <w:t>“</w:t>
      </w:r>
      <w:r>
        <w:rPr>
          <w:rFonts w:ascii="Times New Roman;sans-serif" w:hAnsi="Times New Roman;sans-serif"/>
          <w:b/>
          <w:color w:val="000000"/>
          <w:sz w:val="20"/>
        </w:rPr>
        <w:t>Cash Collateral Account</w:t>
      </w:r>
      <w:r>
        <w:rPr>
          <w:color w:val="000000"/>
        </w:rPr>
        <w:t xml:space="preserve">” </w:t>
      </w:r>
      <w:r>
        <w:rPr>
          <w:rFonts w:ascii="Times New Roman;sans-serif" w:hAnsi="Times New Roman;sans-serif"/>
          <w:b w:val="false"/>
          <w:color w:val="000000"/>
          <w:sz w:val="20"/>
        </w:rPr>
        <w:t>is defined in Section 5.4(c).</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Cash Equivalents</w:t>
      </w:r>
      <w:r>
        <w:rPr>
          <w:color w:val="000000"/>
        </w:rPr>
        <w:t xml:space="preserve">” </w:t>
      </w:r>
      <w:r>
        <w:rPr>
          <w:rFonts w:ascii="Times New Roman;sans-serif" w:hAnsi="Times New Roman;sans-serif"/>
          <w:b w:val="false"/>
          <w:color w:val="000000"/>
          <w:sz w:val="20"/>
        </w:rPr>
        <w:t>are (a) marketable direct obligations issued or unconditionally guaranteed by the United States or any agency or any State thereof having maturities of not more than one (1) year from the date of acquisition;</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commercial paper maturing no more than one (1) year after its creation and having the highest rating from either Standard &amp; Poor’s Ratings Group or Moody’s Investors Service, Inc.; (c) Bank’s certificates of deposit issued maturing no more than one (1) year after issue; (d) long-term securities having a rating minimum of A-/A3 from either Standard &amp; Poor’s Ratings Group or Moody’s Investors Service, Inc.; and (e) money market funds at least ninety-five percent (95.0%) of the assets of which constitute Cash Equivalents of the kinds described in clauses (a) through (d) of this definition.</w:t>
      </w:r>
    </w:p>
    <w:p>
      <w:pPr>
        <w:pStyle w:val="TextBody"/>
        <w:spacing w:before="10" w:after="283"/>
        <w:rPr/>
      </w:pPr>
      <w:r>
        <w:rPr/>
      </w:r>
    </w:p>
    <w:p>
      <w:pPr>
        <w:pStyle w:val="TextBody"/>
        <w:spacing w:lineRule="auto" w:line="240" w:before="0" w:after="0"/>
        <w:ind w:left="0" w:right="0" w:firstLine="770"/>
        <w:jc w:val="both"/>
        <w:rPr/>
      </w:pP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Borrower cease to be composed of individuals (i) who were members of that board or equivalent governing body on the first (1st)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stock, partnership, membership, or other ownership interest or other equity securities of each Subsidiary of Borrower free and clear of all Liens (except Permitted Liens and except dissolutions or transfers permitted pursuant to Sections 6.2 and 6.3 of this Agreement).</w:t>
      </w:r>
    </w:p>
    <w:p>
      <w:pPr>
        <w:pStyle w:val="TextBody"/>
        <w:spacing w:before="8"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Change in Law</w:t>
      </w:r>
      <w:r>
        <w:rPr>
          <w:color w:val="000000"/>
        </w:rPr>
        <w:t xml:space="preserve">” </w:t>
      </w:r>
      <w:r>
        <w:rPr>
          <w:rFonts w:ascii="Times New Roman;sans-serif" w:hAnsi="Times New Roman;sans-serif"/>
          <w:b w:val="false"/>
          <w:color w:val="000000"/>
          <w:sz w:val="20"/>
        </w:rPr>
        <w:t>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0"/>
        </w:rPr>
        <w:t>Claims</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22">
        <w:r>
          <w:rPr>
            <w:rStyle w:val="InternetLink"/>
            <w:rFonts w:ascii="Times New Roman;sans-serif" w:hAnsi="Times New Roman;sans-serif"/>
            <w:b w:val="false"/>
            <w:strike w:val="false"/>
            <w:dstrike w:val="false"/>
            <w:color w:val="000000"/>
            <w:sz w:val="20"/>
            <w:u w:val="none"/>
            <w:effect w:val="none"/>
          </w:rPr>
          <w:t>11.3.</w:t>
        </w:r>
      </w:hyperlink>
    </w:p>
    <w:p>
      <w:pPr>
        <w:pStyle w:val="TextBody"/>
        <w:spacing w:before="8"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jurisdiction solely for purposes of the provisions thereof relating to such attachment, perfection, priority, or remedies and for purposes of definitions relating to such provisions.</w:t>
      </w:r>
    </w:p>
    <w:p>
      <w:pPr>
        <w:pStyle w:val="TextBody"/>
        <w:spacing w:before="10" w:after="283"/>
        <w:rPr/>
      </w:pPr>
      <w:r>
        <w:rPr/>
      </w:r>
    </w:p>
    <w:p>
      <w:pPr>
        <w:pStyle w:val="TextBody"/>
        <w:spacing w:lineRule="auto" w:line="240" w:before="1" w:after="283"/>
        <w:rPr/>
      </w:pPr>
      <w:r>
        <w:rPr>
          <w:color w:val="000000"/>
        </w:rPr>
        <w:t>“</w:t>
      </w:r>
      <w:r>
        <w:rPr>
          <w:rFonts w:ascii="Times New Roman;sans-serif" w:hAnsi="Times New Roman;sans-serif"/>
          <w:b/>
          <w:color w:val="000000"/>
          <w:sz w:val="20"/>
        </w:rPr>
        <w:t>Collateral</w:t>
      </w:r>
      <w:r>
        <w:rPr>
          <w:color w:val="000000"/>
        </w:rPr>
        <w:t xml:space="preserve">” </w:t>
      </w:r>
      <w:r>
        <w:rPr>
          <w:rFonts w:ascii="Times New Roman;sans-serif" w:hAnsi="Times New Roman;sans-serif"/>
          <w:b w:val="false"/>
          <w:color w:val="000000"/>
          <w:sz w:val="20"/>
        </w:rPr>
        <w:t>consists of all of Borrower’s right, title and interest in and to the following personal property:</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(b)Notwithstanding the foregoing, the Collateral does not include any of the following (now existing or hereafter arising, owned or created):</w:t>
      </w:r>
    </w:p>
    <w:p>
      <w:pPr>
        <w:pStyle w:val="TextBody"/>
        <w:spacing w:before="9" w:after="283"/>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and</w:t>
      </w:r>
    </w:p>
    <w:p>
      <w:pPr>
        <w:pStyle w:val="TextBody"/>
        <w:spacing w:before="10" w:after="283"/>
        <w:rPr/>
      </w:pPr>
      <w:r>
        <w:rPr/>
      </w:r>
    </w:p>
    <w:p>
      <w:pPr>
        <w:pStyle w:val="TextBody"/>
        <w:spacing w:lineRule="auto" w:line="240" w:before="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Borrower or Bank.</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(c)Pursuant to the terms of a certain negative pledge arrangement with Bank, Borrower has agreed not to encumber any of its Intellectual Property in contravention of the terms of such pledge agreement without Bank’s prior written consent.</w:t>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0"/>
        </w:rPr>
        <w:t>Collateral Account</w:t>
      </w:r>
      <w:r>
        <w:rPr>
          <w:color w:val="000000"/>
        </w:rPr>
        <w:t xml:space="preserve">” </w:t>
      </w:r>
      <w:r>
        <w:rPr>
          <w:rFonts w:ascii="Times New Roman;sans-serif" w:hAnsi="Times New Roman;sans-serif"/>
          <w:b w:val="false"/>
          <w:color w:val="000000"/>
          <w:sz w:val="20"/>
        </w:rPr>
        <w:t>is any Deposit Account, Securities Account, or Commodity Account.</w:t>
      </w:r>
    </w:p>
    <w:p>
      <w:pPr>
        <w:pStyle w:val="TextBody"/>
        <w:spacing w:before="8"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Commodity Account</w:t>
      </w:r>
      <w:r>
        <w:rPr>
          <w:color w:val="000000"/>
        </w:rPr>
        <w:t xml:space="preserve">” </w:t>
      </w:r>
      <w:r>
        <w:rPr>
          <w:rFonts w:ascii="Times New Roman;sans-serif" w:hAnsi="Times New Roman;sans-serif"/>
          <w:b w:val="false"/>
          <w:color w:val="000000"/>
          <w:sz w:val="20"/>
        </w:rPr>
        <w:t>is any “commodity account” as defined in the Code with such additions to such term as may hereafter be made.</w:t>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0"/>
        </w:rPr>
        <w:t>Compliance Statement</w:t>
      </w:r>
      <w:r>
        <w:rPr>
          <w:color w:val="000000"/>
        </w:rPr>
        <w:t xml:space="preserve">” </w:t>
      </w:r>
      <w:r>
        <w:rPr>
          <w:rFonts w:ascii="Times New Roman;sans-serif" w:hAnsi="Times New Roman;sans-serif"/>
          <w:b w:val="false"/>
          <w:color w:val="000000"/>
          <w:sz w:val="20"/>
        </w:rPr>
        <w:t>is that certain statement in the form attached hereto as Exhibit A.</w:t>
      </w:r>
    </w:p>
    <w:p>
      <w:pPr>
        <w:pStyle w:val="TextBody"/>
        <w:spacing w:before="10"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Connection Income Taxes</w:t>
      </w:r>
      <w:r>
        <w:rPr>
          <w:color w:val="000000"/>
        </w:rPr>
        <w:t xml:space="preserve">” </w:t>
      </w:r>
      <w:r>
        <w:rPr>
          <w:rFonts w:ascii="Times New Roman;sans-serif" w:hAnsi="Times New Roman;sans-serif"/>
          <w:b w:val="false"/>
          <w:color w:val="000000"/>
          <w:sz w:val="20"/>
        </w:rPr>
        <w:t>means Other Connection Taxes that are imposed on or measured by net income (however denominated) or that are franchise Taxes or branch profits Taxes.</w:t>
      </w:r>
    </w:p>
    <w:p>
      <w:pPr>
        <w:pStyle w:val="TextBody"/>
        <w:spacing w:before="9"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Contingent Obligation</w:t>
      </w:r>
      <w:r>
        <w:rPr>
          <w:color w:val="000000"/>
        </w:rPr>
        <w:t xml:space="preserve">” </w:t>
      </w:r>
      <w:r>
        <w:rPr>
          <w:rFonts w:ascii="Times New Roman;sans-serif" w:hAnsi="Times New Roman;sans-serif"/>
          <w:b w:val="false"/>
          <w:color w:val="000000"/>
          <w:sz w:val="20"/>
        </w:rPr>
        <w:t>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w:t>
      </w:r>
    </w:p>
    <w:p>
      <w:pPr>
        <w:pStyle w:val="TextBody"/>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include endorsements in the ordinary course of business or any Permitted Call Spread Agreement(s).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Control Agreement</w:t>
      </w:r>
      <w:r>
        <w:rPr>
          <w:color w:val="000000"/>
        </w:rPr>
        <w:t xml:space="preserve">” </w:t>
      </w:r>
      <w:r>
        <w:rPr>
          <w:rFonts w:ascii="Times New Roman;sans-serif" w:hAnsi="Times New Roman;sans-serif"/>
          <w:b w:val="false"/>
          <w:color w:val="000000"/>
          <w:sz w:val="20"/>
        </w:rPr>
        <w:t>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Copyrights</w:t>
      </w:r>
      <w:r>
        <w:rPr>
          <w:color w:val="000000"/>
        </w:rPr>
        <w:t xml:space="preserve">” </w:t>
      </w:r>
      <w:r>
        <w:rPr>
          <w:rFonts w:ascii="Times New Roman;sans-serif" w:hAnsi="Times New Roman;sans-serif"/>
          <w:b w:val="false"/>
          <w:color w:val="000000"/>
          <w:sz w:val="20"/>
        </w:rPr>
        <w:t>are any and all copyright rights, copyright applications, copyright registrations and like protections in each work of authorship and derivative work thereof, whether published or unpublished and whether or not the same also constitutes a trade secret.</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Credit Extension</w:t>
      </w:r>
      <w:r>
        <w:rPr>
          <w:color w:val="000000"/>
        </w:rPr>
        <w:t xml:space="preserve">” </w:t>
      </w:r>
      <w:r>
        <w:rPr>
          <w:rFonts w:ascii="Times New Roman;sans-serif" w:hAnsi="Times New Roman;sans-serif"/>
          <w:b w:val="false"/>
          <w:color w:val="000000"/>
          <w:sz w:val="20"/>
        </w:rPr>
        <w:t>is any Advance, Overadvance, Letter of Credit, FX Contract, amount utilized for cash management services, Term Loan Advance, or any other extension of credit under the Loan Documents by Bank for Borrower’s benefit.</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Currency</w:t>
      </w:r>
      <w:r>
        <w:rPr>
          <w:color w:val="000000"/>
        </w:rPr>
        <w:t xml:space="preserve">” </w:t>
      </w:r>
      <w:r>
        <w:rPr>
          <w:rFonts w:ascii="Times New Roman;sans-serif" w:hAnsi="Times New Roman;sans-serif"/>
          <w:b w:val="false"/>
          <w:color w:val="000000"/>
          <w:sz w:val="20"/>
        </w:rPr>
        <w:t>is coined money and such other banknotes or other paper money as are authorized by law and circulate as a medium of exchange.</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Current Liabilities</w:t>
      </w:r>
      <w:r>
        <w:rPr>
          <w:color w:val="000000"/>
        </w:rPr>
        <w:t xml:space="preserve">” </w:t>
      </w:r>
      <w:r>
        <w:rPr>
          <w:rFonts w:ascii="Times New Roman;sans-serif" w:hAnsi="Times New Roman;sans-serif"/>
          <w:b w:val="false"/>
          <w:color w:val="000000"/>
          <w:sz w:val="20"/>
        </w:rPr>
        <w:t>are (a) all obligations and liabilities of Borrower to Bank, plus (b) without duplication of (a) the aggregate amount of Borrower’s Total Liabilities that mature within one (1) year (including, for the avoidance of doubt, all Obligations of Borrower to Bank under the Term Loan Advances that mature within one year and Revolving Advances that mature within one year).</w:t>
      </w:r>
    </w:p>
    <w:p>
      <w:pPr>
        <w:pStyle w:val="TextBody"/>
        <w:spacing w:before="10" w:after="283"/>
        <w:rPr/>
      </w:pPr>
      <w:r>
        <w:rPr/>
      </w:r>
    </w:p>
    <w:p>
      <w:pPr>
        <w:pStyle w:val="TextBody"/>
        <w:spacing w:lineRule="auto" w:line="240" w:before="91" w:after="283"/>
        <w:rPr/>
      </w:pPr>
      <w:r>
        <w:rPr>
          <w:color w:val="000000"/>
        </w:rPr>
        <w:t>“</w:t>
      </w:r>
      <w:r>
        <w:rPr>
          <w:rFonts w:ascii="Times New Roman;sans-serif" w:hAnsi="Times New Roman;sans-serif"/>
          <w:b/>
          <w:color w:val="000000"/>
          <w:sz w:val="20"/>
        </w:rPr>
        <w:t>Default</w:t>
      </w:r>
      <w:r>
        <w:rPr>
          <w:color w:val="000000"/>
        </w:rPr>
        <w:t xml:space="preserve">” </w:t>
      </w:r>
      <w:r>
        <w:rPr>
          <w:rFonts w:ascii="Times New Roman;sans-serif" w:hAnsi="Times New Roman;sans-serif"/>
          <w:b w:val="false"/>
          <w:color w:val="000000"/>
          <w:sz w:val="20"/>
        </w:rPr>
        <w:t>means any event which with notice or passage of time or both, would constitute an Event of</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Default.</w:t>
      </w:r>
    </w:p>
    <w:p>
      <w:pPr>
        <w:pStyle w:val="TextBody"/>
        <w:spacing w:before="0" w:after="0"/>
        <w:rPr/>
      </w:pPr>
      <w:r>
        <w:rPr/>
      </w:r>
    </w:p>
    <w:p>
      <w:pPr>
        <w:pStyle w:val="TextBody"/>
        <w:spacing w:lineRule="auto" w:line="240" w:before="91" w:after="283"/>
        <w:rPr/>
      </w:pPr>
      <w:r>
        <w:rPr>
          <w:color w:val="000000"/>
        </w:rPr>
        <w:t>“</w:t>
      </w:r>
      <w:r>
        <w:rPr>
          <w:rFonts w:ascii="Times New Roman;sans-serif" w:hAnsi="Times New Roman;sans-serif"/>
          <w:b/>
          <w:color w:val="000000"/>
          <w:sz w:val="20"/>
        </w:rPr>
        <w:t>Default Rate</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7">
        <w:r>
          <w:rPr>
            <w:rStyle w:val="InternetLink"/>
            <w:rFonts w:ascii="Times New Roman;sans-serif" w:hAnsi="Times New Roman;sans-serif"/>
            <w:b w:val="false"/>
            <w:strike w:val="false"/>
            <w:dstrike w:val="false"/>
            <w:color w:val="000000"/>
            <w:sz w:val="20"/>
            <w:u w:val="none"/>
            <w:effect w:val="none"/>
          </w:rPr>
          <w:t>1.2(c).</w:t>
        </w:r>
      </w:hyperlink>
    </w:p>
    <w:p>
      <w:pPr>
        <w:pStyle w:val="TextBody"/>
        <w:spacing w:before="8"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Deferred Revenue</w:t>
      </w:r>
      <w:r>
        <w:rPr>
          <w:color w:val="000000"/>
        </w:rPr>
        <w:t xml:space="preserve">” </w:t>
      </w:r>
      <w:r>
        <w:rPr>
          <w:rFonts w:ascii="Times New Roman;sans-serif" w:hAnsi="Times New Roman;sans-serif"/>
          <w:b w:val="false"/>
          <w:color w:val="000000"/>
          <w:sz w:val="20"/>
        </w:rPr>
        <w:t>is all amounts received or invoiced in advance of performance under contracts and not yet recognized as revenue.</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Deposit Account</w:t>
      </w:r>
      <w:r>
        <w:rPr>
          <w:color w:val="000000"/>
        </w:rPr>
        <w:t xml:space="preserve">” </w:t>
      </w:r>
      <w:r>
        <w:rPr>
          <w:rFonts w:ascii="Times New Roman;sans-serif" w:hAnsi="Times New Roman;sans-serif"/>
          <w:b w:val="false"/>
          <w:color w:val="000000"/>
          <w:sz w:val="20"/>
        </w:rPr>
        <w:t>is any “</w:t>
      </w:r>
      <w:r>
        <w:rPr>
          <w:rFonts w:ascii="Times New Roman;sans-serif" w:hAnsi="Times New Roman;sans-serif"/>
          <w:b/>
          <w:color w:val="000000"/>
          <w:sz w:val="20"/>
        </w:rPr>
        <w:t>deposit account</w:t>
      </w:r>
      <w:r>
        <w:rPr>
          <w:color w:val="000000"/>
        </w:rPr>
        <w:t xml:space="preserve">” </w:t>
      </w:r>
      <w:r>
        <w:rPr>
          <w:rFonts w:ascii="Times New Roman;sans-serif" w:hAnsi="Times New Roman;sans-serif"/>
          <w:b w:val="false"/>
          <w:color w:val="000000"/>
          <w:sz w:val="20"/>
        </w:rPr>
        <w:t>as defined in the Code with such additions to such term as may hereafter be made.</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Designated Deposit Account</w:t>
      </w:r>
      <w:r>
        <w:rPr>
          <w:color w:val="000000"/>
        </w:rPr>
        <w:t xml:space="preserve">” </w:t>
      </w:r>
      <w:r>
        <w:rPr>
          <w:rFonts w:ascii="Times New Roman;sans-serif" w:hAnsi="Times New Roman;sans-serif"/>
          <w:b w:val="false"/>
          <w:color w:val="000000"/>
          <w:sz w:val="20"/>
        </w:rPr>
        <w:t>is the deposit account with account number xxx-xxxx-9905, established by Borrower with Bank for purposes of receiving Credit Extensions.</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Division</w:t>
      </w:r>
      <w:r>
        <w:rPr>
          <w:color w:val="000000"/>
        </w:rPr>
        <w:t xml:space="preserve">” </w:t>
      </w:r>
      <w:r>
        <w:rPr>
          <w:rFonts w:ascii="Times New Roman;sans-serif" w:hAnsi="Times New Roman;sans-serif"/>
          <w:b w:val="false"/>
          <w:color w:val="000000"/>
          <w:sz w:val="20"/>
        </w:rPr>
        <w:t>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Dollar Equivalent</w:t>
      </w:r>
      <w:r>
        <w:rPr>
          <w:color w:val="000000"/>
        </w:rPr>
        <w:t xml:space="preserve">” </w:t>
      </w:r>
      <w:r>
        <w:rPr>
          <w:rFonts w:ascii="Times New Roman;sans-serif" w:hAnsi="Times New Roman;sans-serif"/>
          <w:b w:val="false"/>
          <w:color w:val="000000"/>
          <w:sz w:val="20"/>
        </w:rPr>
        <w:t>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Dollars</w:t>
      </w:r>
      <w:r>
        <w:rPr>
          <w:rFonts w:ascii="Times New Roman;sans-serif" w:hAnsi="Times New Roman;sans-serif"/>
          <w:b w:val="false"/>
          <w:color w:val="000000"/>
          <w:sz w:val="20"/>
        </w:rPr>
        <w:t>,” “</w:t>
      </w:r>
      <w:r>
        <w:rPr>
          <w:rFonts w:ascii="Times New Roman;sans-serif" w:hAnsi="Times New Roman;sans-serif"/>
          <w:b/>
          <w:color w:val="000000"/>
          <w:sz w:val="20"/>
        </w:rPr>
        <w:t>dollars</w:t>
      </w:r>
      <w:r>
        <w:rPr>
          <w:color w:val="000000"/>
        </w:rPr>
        <w:t xml:space="preserve">” </w:t>
      </w:r>
      <w:r>
        <w:rPr>
          <w:rFonts w:ascii="Times New Roman;sans-serif" w:hAnsi="Times New Roman;sans-serif"/>
          <w:b w:val="false"/>
          <w:color w:val="000000"/>
          <w:sz w:val="20"/>
        </w:rPr>
        <w:t>or use of the sign “$” means only lawful money of the United States and not any other currency, regardless of whether that currency uses the “$” sign to denote its currency or may be readily converted into lawful money of the United States.</w:t>
      </w:r>
    </w:p>
    <w:p>
      <w:pPr>
        <w:pStyle w:val="TextBody"/>
        <w:spacing w:before="9" w:after="283"/>
        <w:rPr/>
      </w:pPr>
      <w:r>
        <w:rPr/>
      </w:r>
    </w:p>
    <w:p>
      <w:pPr>
        <w:pStyle w:val="TextBody"/>
        <w:spacing w:lineRule="auto" w:line="240" w:before="0" w:after="0"/>
        <w:rPr/>
      </w:pP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is set forth on Schedule I hereto.</w:t>
      </w:r>
    </w:p>
    <w:p>
      <w:pPr>
        <w:pStyle w:val="TextBody"/>
        <w:spacing w:before="10" w:after="283"/>
        <w:rPr/>
      </w:pPr>
      <w:r>
        <w:rPr/>
      </w:r>
    </w:p>
    <w:p>
      <w:pPr>
        <w:pStyle w:val="TextBody"/>
        <w:spacing w:lineRule="auto" w:line="240" w:before="0" w:after="0"/>
        <w:ind w:left="0" w:right="0" w:firstLine="770"/>
        <w:jc w:val="both"/>
        <w:rPr/>
      </w:pPr>
      <w:r>
        <w:rPr>
          <w:color w:val="000000"/>
        </w:rPr>
        <w:t>“</w:t>
      </w:r>
      <w:r>
        <w:rPr>
          <w:rFonts w:ascii="Times New Roman;sans-serif" w:hAnsi="Times New Roman;sans-serif"/>
          <w:b/>
          <w:color w:val="000000"/>
          <w:sz w:val="20"/>
        </w:rPr>
        <w:t>Eligible Accounts</w:t>
      </w:r>
      <w:r>
        <w:rPr>
          <w:color w:val="000000"/>
        </w:rPr>
        <w:t xml:space="preserve">” </w:t>
      </w:r>
      <w:r>
        <w:rPr>
          <w:rFonts w:ascii="Times New Roman;sans-serif" w:hAnsi="Times New Roman;sans-serif"/>
          <w:b w:val="false"/>
          <w:color w:val="000000"/>
          <w:sz w:val="20"/>
        </w:rPr>
        <w:t>means Accounts owing to Borrower which arise in the ordinary course of Borrower’s business that meet all Borrower’s representations and warranties in Section 4.3, that have been, at the option of Bank, confirmed in accordance with Section 5.4(f) of this Agreement, and are due and owing from Account Debtors deemed creditworthy by Bank in its commercially reasonable discretion. Bank reserves the right, at any time after the First Amendment Effective Date, in its commercially reasonable discretion in each instance, to adjust any of the criteria set forth below and to establish new criteria, following thirty (30) days prior written notice to Borrower. Unless Bank otherwise agrees in writing, Eligible Accounts shall not include:</w:t>
      </w:r>
    </w:p>
    <w:p>
      <w:pPr>
        <w:pStyle w:val="TextBody"/>
        <w:spacing w:before="10" w:after="283"/>
        <w:rPr/>
      </w:pPr>
      <w:r>
        <w:rPr/>
      </w:r>
    </w:p>
    <w:p>
      <w:pPr>
        <w:pStyle w:val="TextBody"/>
        <w:spacing w:lineRule="auto" w:line="240" w:before="1" w:after="283"/>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(a)Accounts (i) for which the Account Debtor is Borrower’s Affiliate, officer, employee, investor, or agent, or (ii) that are intercompany Accounts;</w:t>
      </w:r>
    </w:p>
    <w:p>
      <w:pPr>
        <w:pStyle w:val="TextBody"/>
        <w:spacing w:before="10" w:after="283"/>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(b)Accounts that the Account Debtor has not paid within ninety (90) days of invoice date regardless of invoice payment period terms;</w:t>
      </w:r>
    </w:p>
    <w:p>
      <w:pPr>
        <w:pStyle w:val="TextBody"/>
        <w:spacing w:before="10" w:after="283"/>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(c)Accounts with credit balances over ninety (90) days from invoice date, to the extent of such</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credit balances;</w:t>
      </w:r>
    </w:p>
    <w:p>
      <w:pPr>
        <w:pStyle w:val="TextBody"/>
        <w:spacing w:before="11" w:after="283"/>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(d)Accounts owing from an Account Debtor that exceed Two Hundred Fifty Thousand Dollars ($250,000) if fifty percent (50.0%) or more of the Accounts owing from such Account Debtor have not been paid within ninety (90) days of invoice date;</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(e)Accounts owing from an Account Debtor (i) which does not have its principal place of business in the United States or (ii) whose billing address (as set forth in the applicable invoice for such Account) is not in the United States, unless in the case of both (i) and (ii) such Accounts are otherwise approved by Bank in writing, provided, however, that Bank hereby approves the Accounts relating to Device Technologies Belrose which is located in Australia;</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(f)Accounts billed from and/or payable to Borrower outside of the United States (sometimes called foreign invoiced accounts);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(g)Accounts in which Bank does not have a first priority, perfected security interest under all Applicable Law, other than Device Technologies Belrose which is located in Australia (solely relative to any failure to obtain a first priority, perfected security interest in any foreign jurisdiction, including Australia);</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(h)Accounts billed and/or payable in a Currency other than Dollars;</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(i)Accounts owing from an Account Debtor to the extent that Borrower is indebted or obligated in any manner to the Account Debtor (as creditor, lessor, supplier or otherwise - sometimes called “contra” accounts, accounts payable, customer deposits or credit accounts), but only to the extent of such Indebtedness or obligations;</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(j)Accounts with or in respect of accruals for marketing allowances, incentive rebates, price protection, cooperative advertising and other similar marketing credits, unless otherwise approved by Bank in writing, but only to the extent of such credits;</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(l)Accounts with customer deposits and/or with respect to which Borrower has received an upfront payment, to the extent of such customer deposit and/or upfront payment;</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(m)Accounts for demonstration or promotional equipment, or in which goods are consigned, or sold on a “sale guaranteed”, “sale or return”, “sale on approval”, or other terms if Account Debtor’s payment may be conditional;</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(n)Accounts owing from an Account Debtor where goods or services have not yet been rendered to the Account Debtor (sometimes called memo billings or pre-billings);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(o)Accounts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(p)Accounts owing from an Account Debtor the amount of which may be subject to withholding based on the Account Debtor’s satisfaction of Borrower’s complete performance (but only to the extent of the amount withheld; sometimes called retainage billings);</w:t>
      </w:r>
    </w:p>
    <w:p>
      <w:pPr>
        <w:pStyle w:val="TextBody"/>
        <w:spacing w:before="1" w:after="283"/>
        <w:rPr/>
      </w:pPr>
      <w:r>
        <w:rPr/>
      </w:r>
    </w:p>
    <w:p>
      <w:pPr>
        <w:pStyle w:val="TextBody"/>
        <w:spacing w:lineRule="auto" w:line="240" w:before="9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(q)Accounts subject to trust provisions, subrogation rights of a bonding company, or a</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statutory trust;</w:t>
      </w:r>
    </w:p>
    <w:p>
      <w:pPr>
        <w:pStyle w:val="TextBody"/>
        <w:spacing w:before="9" w:after="283"/>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(r)Accounts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pStyle w:val="TextBody"/>
        <w:spacing w:before="0" w:after="0"/>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(s)Accounts for which the Account Debtor has not been invoiced;</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(t)Accounts that represent non-trade receivables or that are derived by means other than in the ordinary course of Borrower’s business;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(u)Accounts for which Borrower has permitted Account Debtor’s payment to extend beyond ninety (90) days (including Accounts with a due date that is more than ninety (90) days from invoice date);</w:t>
      </w:r>
    </w:p>
    <w:p>
      <w:pPr>
        <w:pStyle w:val="TextBody"/>
        <w:spacing w:before="10" w:after="283"/>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(v)Accounts arising from chargebacks, debit memos or other payment deductions taken by an</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Account Debtor;</w:t>
      </w:r>
    </w:p>
    <w:p>
      <w:pPr>
        <w:pStyle w:val="TextBody"/>
        <w:spacing w:before="11" w:after="283"/>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(w)Accounts arising from product returns and/or exchanges (sometimes called “warranty” or “RMA” accounts);</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(x)Accounts in which the Account Debtor disputes liability or makes any claim (but only up to the disputed or claimed amount), or if the Account Debtor is subject to an Insolvency Proceeding (whether voluntary or involuntary), or becomes insolvent, or goes out of business;</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(y)Accounts owing from an Account Debtor, whose total obligations to Borrower exceed twenty-five percent (25.0%) of all Accounts, only for the amounts that exceed that percentage, unless Bank approves in writing; and</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(z)Accounts for which Bank in its sole discretion determines collection to be doubtful, including, without limitation, accounts represented by “refreshed” or “recycled” invoices.</w:t>
      </w:r>
    </w:p>
    <w:p>
      <w:pPr>
        <w:pStyle w:val="TextBody"/>
        <w:spacing w:before="8"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Environmental Laws</w:t>
      </w:r>
      <w:r>
        <w:rPr>
          <w:color w:val="000000"/>
        </w:rPr>
        <w:t xml:space="preserve">” </w:t>
      </w:r>
      <w:r>
        <w:rPr>
          <w:rFonts w:ascii="Times New Roman;sans-serif" w:hAnsi="Times New Roman;sans-serif"/>
          <w:b w:val="false"/>
          <w:color w:val="000000"/>
          <w:sz w:val="20"/>
        </w:rPr>
        <w:t>means any Applicable Law (including any permits, concessions, grants, franchises, licenses, agreements or governmental restrictions) relating to pollution or the protection of health, safety or the</w:t>
      </w:r>
    </w:p>
    <w:p>
      <w:pPr>
        <w:pStyle w:val="TextBody"/>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environment or the release of any materials into the environment (including those related to hazardous materials, air emissions, discharges to waste or public systems and health and safety matters).</w:t>
      </w:r>
    </w:p>
    <w:p>
      <w:pPr>
        <w:pStyle w:val="TextBody"/>
        <w:spacing w:before="8"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Equipment</w:t>
      </w:r>
      <w:r>
        <w:rPr>
          <w:color w:val="000000"/>
        </w:rPr>
        <w:t xml:space="preserve">” </w:t>
      </w:r>
      <w:r>
        <w:rPr>
          <w:rFonts w:ascii="Times New Roman;sans-serif" w:hAnsi="Times New Roman;sans-serif"/>
          <w:b w:val="false"/>
          <w:color w:val="000000"/>
          <w:sz w:val="20"/>
        </w:rPr>
        <w:t>is all “equipment” as defined in the Code with such additions to such term as may hereafter be made, and includes without limitation all machinery, fixtures, goods, vehicles (including motor vehicles and trailers), and any interest in any of the foregoing.</w:t>
      </w:r>
    </w:p>
    <w:p>
      <w:pPr>
        <w:pStyle w:val="TextBody"/>
        <w:spacing w:before="0" w:after="0"/>
        <w:rPr/>
      </w:pPr>
      <w:r>
        <w:rPr/>
      </w:r>
    </w:p>
    <w:p>
      <w:pPr>
        <w:pStyle w:val="TextBody"/>
        <w:spacing w:lineRule="auto" w:line="568" w:before="0" w:after="0"/>
        <w:rPr/>
      </w:pPr>
      <w:r>
        <w:rPr>
          <w:color w:val="000000"/>
        </w:rPr>
        <w:t>“</w:t>
      </w:r>
      <w:r>
        <w:rPr>
          <w:rFonts w:ascii="Times New Roman;sans-serif" w:hAnsi="Times New Roman;sans-serif"/>
          <w:b/>
          <w:color w:val="000000"/>
          <w:sz w:val="20"/>
        </w:rPr>
        <w:t>ERISA</w:t>
      </w:r>
      <w:r>
        <w:rPr>
          <w:color w:val="000000"/>
        </w:rPr>
        <w:t xml:space="preserve">” </w:t>
      </w:r>
      <w:r>
        <w:rPr>
          <w:rFonts w:ascii="Times New Roman;sans-serif" w:hAnsi="Times New Roman;sans-serif"/>
          <w:b w:val="false"/>
          <w:color w:val="000000"/>
          <w:sz w:val="20"/>
        </w:rPr>
        <w:t>is the Employee Retirement Income Security Act of 1974, as amended, and its regulations. “</w:t>
      </w:r>
      <w:r>
        <w:rPr>
          <w:rFonts w:ascii="Times New Roman;sans-serif" w:hAnsi="Times New Roman;sans-serif"/>
          <w:b/>
          <w:color w:val="000000"/>
          <w:sz w:val="20"/>
        </w:rPr>
        <w:t>Event of Default</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13">
        <w:r>
          <w:rPr>
            <w:rStyle w:val="InternetLink"/>
            <w:rFonts w:ascii="Times New Roman;sans-serif" w:hAnsi="Times New Roman;sans-serif"/>
            <w:b w:val="false"/>
            <w:strike w:val="false"/>
            <w:dstrike w:val="false"/>
            <w:color w:val="000000"/>
            <w:sz w:val="20"/>
            <w:u w:val="none"/>
            <w:effect w:val="none"/>
          </w:rPr>
          <w:t>6.11.</w:t>
        </w:r>
      </w:hyperlink>
    </w:p>
    <w:p>
      <w:pPr>
        <w:pStyle w:val="TextBody"/>
        <w:spacing w:lineRule="auto" w:line="273" w:before="0" w:after="0"/>
        <w:rPr/>
      </w:pPr>
      <w:r>
        <w:rPr>
          <w:color w:val="000000"/>
        </w:rPr>
        <w:t>“</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is the Securities Exchange Act of 1934, as amended.</w:t>
      </w:r>
    </w:p>
    <w:p>
      <w:pPr>
        <w:pStyle w:val="TextBody"/>
        <w:spacing w:before="8"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Excluded Taxes</w:t>
      </w:r>
      <w:r>
        <w:rPr>
          <w:color w:val="000000"/>
        </w:rPr>
        <w:t xml:space="preserve">” </w:t>
      </w:r>
      <w:r>
        <w:rPr>
          <w:rFonts w:ascii="Times New Roman;sans-serif" w:hAnsi="Times New Roman;sans-serif"/>
          <w:b w:val="false"/>
          <w:color w:val="000000"/>
          <w:sz w:val="20"/>
        </w:rPr>
        <w:t>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and/or any reporting and delivery requirements, and (d) any withholding Taxes imposed under FATCA.</w:t>
      </w:r>
    </w:p>
    <w:p>
      <w:pPr>
        <w:pStyle w:val="TextBody"/>
        <w:spacing w:before="0" w:after="0"/>
        <w:rPr/>
      </w:pPr>
      <w:r>
        <w:rPr/>
      </w:r>
    </w:p>
    <w:p>
      <w:pPr>
        <w:pStyle w:val="TextBody"/>
        <w:spacing w:lineRule="auto" w:line="240" w:before="0" w:after="0"/>
        <w:ind w:left="0" w:right="0" w:firstLine="770"/>
        <w:jc w:val="both"/>
        <w:rPr/>
      </w:pPr>
      <w:r>
        <w:rPr>
          <w:color w:val="000000"/>
        </w:rPr>
        <w:t>“</w:t>
      </w:r>
      <w:r>
        <w:rPr>
          <w:rFonts w:ascii="Times New Roman;sans-serif" w:hAnsi="Times New Roman;sans-serif"/>
          <w:b/>
          <w:color w:val="000000"/>
          <w:sz w:val="20"/>
        </w:rPr>
        <w:t>FATCA</w:t>
      </w:r>
      <w:r>
        <w:rPr>
          <w:color w:val="000000"/>
        </w:rPr>
        <w:t xml:space="preserve">” </w:t>
      </w:r>
      <w:r>
        <w:rPr>
          <w:rFonts w:ascii="Times New Roman;sans-serif" w:hAnsi="Times New Roman;sans-serif"/>
          <w:b w:val="false"/>
          <w:color w:val="000000"/>
          <w:sz w:val="20"/>
        </w:rPr>
        <w:t>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pStyle w:val="TextBody"/>
        <w:spacing w:before="8"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Final Payment</w:t>
      </w:r>
      <w:r>
        <w:rPr>
          <w:color w:val="000000"/>
        </w:rPr>
        <w:t xml:space="preserve">” </w:t>
      </w:r>
      <w:r>
        <w:rPr>
          <w:rFonts w:ascii="Times New Roman;sans-serif" w:hAnsi="Times New Roman;sans-serif"/>
          <w:b w:val="false"/>
          <w:color w:val="000000"/>
          <w:sz w:val="20"/>
        </w:rPr>
        <w:t>is a payment (in addition to and not a substitution for the regular monthly payments of principal plus accrued interest) due on the earliest to occur of (a) the Term Loan Maturity Date, (b) the repayment of the Term Loan Advance in full, (c) as required pursuant to Section 1.1(c) or 1.1(d), or (d) the termination of this Agreement, in an amount equal to the original aggregate principle amount of the Term Loan Advance extended by Bank to Borrower multiplied by two percent (2.0%).</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Financial Covenant Measuring Period</w:t>
      </w:r>
      <w:r>
        <w:rPr>
          <w:color w:val="000000"/>
        </w:rPr>
        <w:t xml:space="preserve">” </w:t>
      </w:r>
      <w:r>
        <w:rPr>
          <w:rFonts w:ascii="Times New Roman;sans-serif" w:hAnsi="Times New Roman;sans-serif"/>
          <w:b w:val="false"/>
          <w:color w:val="000000"/>
          <w:sz w:val="20"/>
        </w:rPr>
        <w:t>is any period of time (a) commencing on the later to occur of (i) the date on which the aggregate value of the Borrower’s unrestricted and unencumbered (except for Liens in favor of Bank) cash and Cash Equivalents held at SVB and SVB’s Affiliates falls below [***] Dollars and (ii) January 1, 2024 and (b) terminating on the date on which Borrower has achieved two (2) consecutive quarters of Adjusted EBITDA greater than [***] Dollars. After the termination of a Financial Covenant Measuring Period, if both (X) Borrower’s Adjusted EBITDA is equal to or less than [***] Dollars any such fiscal quarter and (Y) the aggregate value of the Borrower’s unrestricted and unencumbered (except for Liens in favor of Bank) cash and Cash Equivalents held at SVB and SVB’s Affiliates is less than [***] Dollars, then a new Financial Covenant Measuring Period shall start and shall not terminate until Borrower again achieves Adjusted EBITDA Balance greater than [***] Dollars for two (2) new consecutive quarters.</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Financial Statement Repository</w:t>
      </w:r>
      <w:r>
        <w:rPr>
          <w:color w:val="000000"/>
        </w:rPr>
        <w:t xml:space="preserve">” </w:t>
      </w:r>
      <w:r>
        <w:rPr>
          <w:rFonts w:ascii="Times New Roman;sans-serif" w:hAnsi="Times New Roman;sans-serif"/>
          <w:b w:val="false"/>
          <w:color w:val="000000"/>
          <w:sz w:val="20"/>
        </w:rPr>
        <w:t>is L43f1c@svb.com or such other means of collecting information approved and designated by Bank after providing notice thereof to Borrower from time to time.</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color w:val="000000"/>
          <w:sz w:val="20"/>
        </w:rPr>
        <w:t>First Amendment Effective Date</w:t>
      </w:r>
      <w:r>
        <w:rPr>
          <w:color w:val="000000"/>
        </w:rPr>
        <w:t xml:space="preserve">” </w:t>
      </w:r>
      <w:r>
        <w:rPr>
          <w:rFonts w:ascii="Times New Roman;sans-serif" w:hAnsi="Times New Roman;sans-serif"/>
          <w:b w:val="false"/>
          <w:color w:val="000000"/>
          <w:sz w:val="20"/>
        </w:rPr>
        <w:t>means January 6, 2023.</w:t>
      </w:r>
    </w:p>
    <w:p>
      <w:pPr>
        <w:pStyle w:val="TextBody"/>
        <w:spacing w:before="8" w:after="283"/>
        <w:rPr/>
      </w:pPr>
      <w:r>
        <w:rPr/>
      </w:r>
    </w:p>
    <w:p>
      <w:pPr>
        <w:pStyle w:val="TextBody"/>
        <w:spacing w:lineRule="auto" w:line="240" w:before="1" w:after="283"/>
        <w:rPr/>
      </w:pPr>
      <w:r>
        <w:rPr>
          <w:color w:val="000000"/>
        </w:rPr>
        <w:t>“</w:t>
      </w:r>
      <w:r>
        <w:rPr>
          <w:rFonts w:ascii="Times New Roman;sans-serif" w:hAnsi="Times New Roman;sans-serif"/>
          <w:b/>
          <w:color w:val="000000"/>
          <w:sz w:val="20"/>
        </w:rPr>
        <w:t>Foreign Currency</w:t>
      </w:r>
      <w:r>
        <w:rPr>
          <w:color w:val="000000"/>
        </w:rPr>
        <w:t xml:space="preserve">” </w:t>
      </w:r>
      <w:r>
        <w:rPr>
          <w:rFonts w:ascii="Times New Roman;sans-serif" w:hAnsi="Times New Roman;sans-serif"/>
          <w:b w:val="false"/>
          <w:color w:val="000000"/>
          <w:sz w:val="20"/>
        </w:rPr>
        <w:t>is the lawful money of a country other than the United States.</w:t>
      </w:r>
    </w:p>
    <w:p>
      <w:pPr>
        <w:pStyle w:val="TextBody"/>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Foreign Subsidiary</w:t>
      </w:r>
      <w:r>
        <w:rPr>
          <w:color w:val="000000"/>
        </w:rPr>
        <w:t xml:space="preserve">” </w:t>
      </w:r>
      <w:r>
        <w:rPr>
          <w:rFonts w:ascii="Times New Roman;sans-serif" w:hAnsi="Times New Roman;sans-serif"/>
          <w:b w:val="false"/>
          <w:color w:val="000000"/>
          <w:sz w:val="20"/>
        </w:rPr>
        <w:t>is a Subsidiary that is not an entity organized under the laws of the United States or any territory thereof or the District of Columbia.</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Funding Date</w:t>
      </w:r>
      <w:r>
        <w:rPr>
          <w:color w:val="000000"/>
        </w:rPr>
        <w:t xml:space="preserve">” </w:t>
      </w:r>
      <w:r>
        <w:rPr>
          <w:rFonts w:ascii="Times New Roman;sans-serif" w:hAnsi="Times New Roman;sans-serif"/>
          <w:b w:val="false"/>
          <w:color w:val="000000"/>
          <w:sz w:val="20"/>
        </w:rPr>
        <w:t>is any date on which a Credit Extension is made to or for the account of Borrower which shall be a Business Day.</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FX Business Day</w:t>
      </w:r>
      <w:r>
        <w:rPr>
          <w:color w:val="000000"/>
        </w:rPr>
        <w:t xml:space="preserve">” </w:t>
      </w:r>
      <w:r>
        <w:rPr>
          <w:rFonts w:ascii="Times New Roman;sans-serif" w:hAnsi="Times New Roman;sans-serif"/>
          <w:b w:val="false"/>
          <w:color w:val="000000"/>
          <w:sz w:val="20"/>
        </w:rPr>
        <w:t>is any day when (a) Bank’s Foreign Exchange Department is conducting its normal business and (b) the Foreign Currency being purchased or sold by Borrower is available to Bank from the entity from which Bank shall buy or sell such Foreign Currency.</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FX Contract</w:t>
      </w:r>
      <w:r>
        <w:rPr>
          <w:color w:val="000000"/>
        </w:rPr>
        <w:t xml:space="preserve">” </w:t>
      </w:r>
      <w:r>
        <w:rPr>
          <w:rFonts w:ascii="Times New Roman;sans-serif" w:hAnsi="Times New Roman;sans-serif"/>
          <w:b w:val="false"/>
          <w:color w:val="000000"/>
          <w:sz w:val="20"/>
        </w:rPr>
        <w:t>is any foreign exchange contract by and between Borrower and Bank under which Borrower commits to purchase from or sell to Bank a specific amount of Foreign Currency at a set price or on a specified date.</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GAAP</w:t>
      </w:r>
      <w:r>
        <w:rPr>
          <w:color w:val="000000"/>
        </w:rPr>
        <w:t xml:space="preserve">” </w:t>
      </w:r>
      <w:r>
        <w:rPr>
          <w:rFonts w:ascii="Times New Roman;sans-serif" w:hAnsi="Times New Roman;sans-serif"/>
          <w:b w:val="false"/>
          <w:color w:val="000000"/>
          <w:sz w:val="20"/>
        </w:rPr>
        <w:t>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(except for with respect to unaudited financial statements for the absence of footnotes and subject to year-end audit adjustments).</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General Intangibles</w:t>
      </w:r>
      <w:r>
        <w:rPr>
          <w:color w:val="000000"/>
        </w:rPr>
        <w:t xml:space="preserve">” </w:t>
      </w:r>
      <w:r>
        <w:rPr>
          <w:rFonts w:ascii="Times New Roman;sans-serif" w:hAnsi="Times New Roman;sans-serif"/>
          <w:b w:val="false"/>
          <w:color w:val="000000"/>
          <w:sz w:val="20"/>
        </w:rPr>
        <w:t>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color w:val="000000"/>
          <w:sz w:val="20"/>
        </w:rPr>
        <w:t>Good Faith Deposit</w:t>
      </w:r>
      <w:r>
        <w:rPr>
          <w:color w:val="000000"/>
        </w:rPr>
        <w:t xml:space="preserve">” </w:t>
      </w:r>
      <w:r>
        <w:rPr>
          <w:rFonts w:ascii="Times New Roman;sans-serif" w:hAnsi="Times New Roman;sans-serif"/>
          <w:b w:val="false"/>
          <w:color w:val="000000"/>
          <w:sz w:val="20"/>
        </w:rPr>
        <w:t>is defined in Section 1.3.</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Governmental Approval</w:t>
      </w:r>
      <w:r>
        <w:rPr>
          <w:color w:val="000000"/>
        </w:rPr>
        <w:t xml:space="preserve">” </w:t>
      </w:r>
      <w:r>
        <w:rPr>
          <w:rFonts w:ascii="Times New Roman;sans-serif" w:hAnsi="Times New Roman;sans-serif"/>
          <w:b w:val="false"/>
          <w:color w:val="000000"/>
          <w:sz w:val="20"/>
        </w:rPr>
        <w:t>is any consent, authorization, approval, order, license, franchise, permit, certificate, accreditation, registration, filing or notice, of, issued by, from or to, or other act by or in respect of, any Governmental Authority.</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Governmental Authority</w:t>
      </w:r>
      <w:r>
        <w:rPr>
          <w:color w:val="000000"/>
        </w:rPr>
        <w:t xml:space="preserve">” </w:t>
      </w:r>
      <w:r>
        <w:rPr>
          <w:rFonts w:ascii="Times New Roman;sans-serif" w:hAnsi="Times New Roman;sans-serif"/>
          <w:b w:val="false"/>
          <w:color w:val="000000"/>
          <w:sz w:val="20"/>
        </w:rPr>
        <w:t>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spacing w:lineRule="auto" w:line="655" w:before="2" w:after="283"/>
        <w:rPr/>
      </w:pPr>
      <w:r>
        <w:rPr>
          <w:color w:val="000000"/>
        </w:rPr>
        <w:t>“</w:t>
      </w:r>
      <w:r>
        <w:rPr>
          <w:rFonts w:ascii="Times New Roman;sans-serif" w:hAnsi="Times New Roman;sans-serif"/>
          <w:b/>
          <w:color w:val="000000"/>
          <w:sz w:val="20"/>
        </w:rPr>
        <w:t>Guarantor</w:t>
      </w:r>
      <w:r>
        <w:rPr>
          <w:color w:val="000000"/>
        </w:rPr>
        <w:t xml:space="preserve">” </w:t>
      </w:r>
      <w:r>
        <w:rPr>
          <w:rFonts w:ascii="Times New Roman;sans-serif" w:hAnsi="Times New Roman;sans-serif"/>
          <w:b w:val="false"/>
          <w:color w:val="000000"/>
          <w:sz w:val="20"/>
        </w:rPr>
        <w:t>is any Person providing a Guaranty in favor of Bank with respect to the Obligations. “</w:t>
      </w:r>
      <w:r>
        <w:rPr>
          <w:rFonts w:ascii="Times New Roman;sans-serif" w:hAnsi="Times New Roman;sans-serif"/>
          <w:b/>
          <w:color w:val="000000"/>
          <w:sz w:val="20"/>
        </w:rPr>
        <w:t>Guaranty</w:t>
      </w:r>
      <w:r>
        <w:rPr>
          <w:color w:val="000000"/>
        </w:rPr>
        <w:t xml:space="preserve">” </w:t>
      </w:r>
      <w:r>
        <w:rPr>
          <w:rFonts w:ascii="Times New Roman;sans-serif" w:hAnsi="Times New Roman;sans-serif"/>
          <w:b w:val="false"/>
          <w:color w:val="000000"/>
          <w:sz w:val="20"/>
        </w:rPr>
        <w:t>is any guarantee of all or any part of the Obligations, as the same may from time to time be</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amended, restated, modified or otherwise supplemented.</w:t>
      </w:r>
    </w:p>
    <w:p>
      <w:pPr>
        <w:pStyle w:val="TextBody"/>
        <w:spacing w:before="10" w:after="283"/>
        <w:rPr/>
      </w:pPr>
      <w:r>
        <w:rPr/>
      </w:r>
    </w:p>
    <w:p>
      <w:pPr>
        <w:pStyle w:val="TextBody"/>
        <w:spacing w:lineRule="auto" w:line="240" w:before="0" w:after="0"/>
        <w:ind w:left="0" w:right="0" w:firstLine="770"/>
        <w:jc w:val="both"/>
        <w:rPr/>
      </w:pPr>
      <w:r>
        <w:rPr>
          <w:color w:val="000000"/>
        </w:rPr>
        <w:t>“</w:t>
      </w:r>
      <w:r>
        <w:rPr>
          <w:rFonts w:ascii="Times New Roman;sans-serif" w:hAnsi="Times New Roman;sans-serif"/>
          <w:b/>
          <w:color w:val="000000"/>
          <w:sz w:val="20"/>
        </w:rPr>
        <w:t>Indebtedness</w:t>
      </w:r>
      <w:r>
        <w:rPr>
          <w:color w:val="000000"/>
        </w:rPr>
        <w:t xml:space="preserve">” </w:t>
      </w:r>
      <w:r>
        <w:rPr>
          <w:rFonts w:ascii="Times New Roman;sans-serif" w:hAnsi="Times New Roman;sans-serif"/>
          <w:b w:val="false"/>
          <w:color w:val="000000"/>
          <w:sz w:val="20"/>
        </w:rPr>
        <w:t>is (a) indebtedness for borrowed money or the deferred price of property or services, such as reimbursement and other obligations for surety bonds and letters of credit, (b) obligations evidenced by notes, bonds, debentures or similar instruments, (c) capital lease obligations, (d) Contingent Obligations and (e) other short- and long-term obligations under debt agreements, lines of credit and extensions of credit, provided, however, that in no event shall obligations under any Permitted Call Spread Agreement constitute Indebtedness.</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color w:val="000000"/>
          <w:sz w:val="20"/>
        </w:rPr>
        <w:t>Indemnified Person</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22">
        <w:r>
          <w:rPr>
            <w:rStyle w:val="InternetLink"/>
            <w:rFonts w:ascii="Times New Roman;sans-serif" w:hAnsi="Times New Roman;sans-serif"/>
            <w:b w:val="false"/>
            <w:strike w:val="false"/>
            <w:dstrike w:val="false"/>
            <w:color w:val="000000"/>
            <w:sz w:val="20"/>
            <w:u w:val="none"/>
            <w:effect w:val="none"/>
          </w:rPr>
          <w:t>11.3.</w:t>
        </w:r>
      </w:hyperlink>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Indemnified Taxes</w:t>
      </w:r>
      <w:r>
        <w:rPr>
          <w:color w:val="000000"/>
        </w:rPr>
        <w:t xml:space="preserve">” </w:t>
      </w:r>
      <w:r>
        <w:rPr>
          <w:rFonts w:ascii="Times New Roman;sans-serif" w:hAnsi="Times New Roman;sans-serif"/>
          <w:b w:val="false"/>
          <w:color w:val="000000"/>
          <w:sz w:val="20"/>
        </w:rPr>
        <w:t>means (a) Taxes, other than Excluded Taxes, imposed on or with respect to any payment made by or on account of any obligation of Borrower under any Loan Document and (b) to the extent not otherwise described in clause (a), Other Taxes.</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pPr>
      <w:r>
        <w:rPr>
          <w:color w:val="000000"/>
        </w:rPr>
        <w:t>“</w:t>
      </w:r>
      <w:r>
        <w:rPr>
          <w:rFonts w:ascii="Times New Roman;sans-serif" w:hAnsi="Times New Roman;sans-serif"/>
          <w:b/>
          <w:color w:val="000000"/>
          <w:sz w:val="20"/>
        </w:rPr>
        <w:t>Information</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22">
        <w:r>
          <w:rPr>
            <w:rStyle w:val="InternetLink"/>
            <w:rFonts w:ascii="Times New Roman;sans-serif" w:hAnsi="Times New Roman;sans-serif"/>
            <w:b w:val="false"/>
            <w:strike w:val="false"/>
            <w:dstrike w:val="false"/>
            <w:color w:val="000000"/>
            <w:sz w:val="20"/>
            <w:u w:val="none"/>
            <w:effect w:val="none"/>
          </w:rPr>
          <w:t>11.8.</w:t>
        </w:r>
      </w:hyperlink>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Initial Audit</w:t>
      </w:r>
      <w:r>
        <w:rPr>
          <w:color w:val="000000"/>
        </w:rPr>
        <w:t xml:space="preserve">” </w:t>
      </w:r>
      <w:r>
        <w:rPr>
          <w:rFonts w:ascii="Times New Roman;sans-serif" w:hAnsi="Times New Roman;sans-serif"/>
          <w:b w:val="false"/>
          <w:color w:val="000000"/>
          <w:sz w:val="20"/>
        </w:rPr>
        <w:t>is Bank’s inspection of Borrower’s Accounts, the Collateral, and Borrower’s Books, with results satisfactory to Bank in its sole discretion.</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Insolvency Proceeding</w:t>
      </w:r>
      <w:r>
        <w:rPr>
          <w:color w:val="000000"/>
        </w:rPr>
        <w:t xml:space="preserve">” </w:t>
      </w:r>
      <w:r>
        <w:rPr>
          <w:rFonts w:ascii="Times New Roman;sans-serif" w:hAnsi="Times New Roman;sans-serif"/>
          <w:b w:val="false"/>
          <w:color w:val="000000"/>
          <w:sz w:val="20"/>
        </w:rPr>
        <w:t>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Intellectual Property</w:t>
      </w:r>
      <w:r>
        <w:rPr>
          <w:color w:val="000000"/>
        </w:rPr>
        <w:t xml:space="preserve">” </w:t>
      </w:r>
      <w:r>
        <w:rPr>
          <w:rFonts w:ascii="Times New Roman;sans-serif" w:hAnsi="Times New Roman;sans-serif"/>
          <w:b w:val="false"/>
          <w:color w:val="000000"/>
          <w:sz w:val="20"/>
        </w:rPr>
        <w:t>means, with respect to any Person, all of such Person’s right, title, and interest in and to the following, whether now owned or hereafter acquired or created:</w:t>
      </w:r>
    </w:p>
    <w:p>
      <w:pPr>
        <w:pStyle w:val="TextBody"/>
        <w:spacing w:before="8"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(a)its Copyrights, Trademarks and Patents;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(b)any and all trade secrets and trade secret rights, including, without limitation, any rights to unpatented inventions, know-how and operating manuals;</w:t>
      </w:r>
    </w:p>
    <w:p>
      <w:pPr>
        <w:pStyle w:val="TextBody"/>
        <w:spacing w:before="10" w:after="283"/>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(c)licenses any and all source code;</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(d)any and all design rights which may be available to such Person;</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(e)any and all claims for damages by way of past, present and future infringement of any of the foregoing, with the right, but not the obligation, to sue for and collect such damages for said use or infringement of the Intellectual Property rights identified above; and</w:t>
      </w:r>
    </w:p>
    <w:p>
      <w:pPr>
        <w:pStyle w:val="TextBody"/>
        <w:spacing w:before="0" w:after="0"/>
        <w:rPr/>
      </w:pPr>
      <w:r>
        <w:rPr/>
      </w:r>
    </w:p>
    <w:p>
      <w:pPr>
        <w:pStyle w:val="TextBody"/>
        <w:spacing w:lineRule="auto" w:line="240"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(f)all amendments, renewals and extensions of any of the Copyrights, Trademarks or Patents.</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Interest Expense</w:t>
      </w:r>
      <w:r>
        <w:rPr>
          <w:color w:val="000000"/>
        </w:rPr>
        <w:t xml:space="preserve">” </w:t>
      </w:r>
      <w:r>
        <w:rPr>
          <w:rFonts w:ascii="Times New Roman;sans-serif" w:hAnsi="Times New Roman;sans-serif"/>
          <w:b w:val="false"/>
          <w:color w:val="000000"/>
          <w:sz w:val="20"/>
        </w:rPr>
        <w:t>means for any fiscal period, interest expense (whether cash or non-cash) determined in accordance with GAAP for the relevant period ending on such date, including, in any event, interest expense with respect to any Credit Extension and other Indebtedness of Borrower and its Subsidiaries, including, without limitation or duplication, all commissions, discounts, or related amortization and other fees and charges with respect to letters of credit and bankers’ acceptance financing and the net costs associated with interest rate swap, cap, and similar arrangements, and the interest portion of any deferred payment obligation (including leases of all types).</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Internal Revenue Code</w:t>
      </w:r>
      <w:r>
        <w:rPr>
          <w:color w:val="000000"/>
        </w:rPr>
        <w:t xml:space="preserve">” </w:t>
      </w:r>
      <w:r>
        <w:rPr>
          <w:rFonts w:ascii="Times New Roman;sans-serif" w:hAnsi="Times New Roman;sans-serif"/>
          <w:b w:val="false"/>
          <w:color w:val="000000"/>
          <w:sz w:val="20"/>
        </w:rPr>
        <w:t>means the U.S. Internal Revenue Code of 1986, and the rules and regulations promulgated thereunder, each as amended or modified from time to time.</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Inventory</w:t>
      </w:r>
      <w:r>
        <w:rPr>
          <w:color w:val="000000"/>
        </w:rPr>
        <w:t xml:space="preserve">” </w:t>
      </w:r>
      <w:r>
        <w:rPr>
          <w:rFonts w:ascii="Times New Roman;sans-serif" w:hAnsi="Times New Roman;sans-serif"/>
          <w:b w:val="false"/>
          <w:color w:val="000000"/>
          <w:sz w:val="20"/>
        </w:rPr>
        <w:t>is all “</w:t>
      </w:r>
      <w:r>
        <w:rPr>
          <w:rFonts w:ascii="Times New Roman;sans-serif" w:hAnsi="Times New Roman;sans-serif"/>
          <w:b/>
          <w:color w:val="000000"/>
          <w:sz w:val="20"/>
        </w:rPr>
        <w:t>inventory</w:t>
      </w:r>
      <w:r>
        <w:rPr>
          <w:color w:val="000000"/>
        </w:rPr>
        <w:t xml:space="preserve">” </w:t>
      </w:r>
      <w:r>
        <w:rPr>
          <w:rFonts w:ascii="Times New Roman;sans-serif" w:hAnsi="Times New Roman;sans-serif"/>
          <w:b w:val="false"/>
          <w:color w:val="000000"/>
          <w:sz w:val="20"/>
        </w:rPr>
        <w:t>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Investment</w:t>
      </w:r>
      <w:r>
        <w:rPr>
          <w:color w:val="000000"/>
        </w:rPr>
        <w:t xml:space="preserve">” </w:t>
      </w:r>
      <w:r>
        <w:rPr>
          <w:rFonts w:ascii="Times New Roman;sans-serif" w:hAnsi="Times New Roman;sans-serif"/>
          <w:b w:val="false"/>
          <w:color w:val="000000"/>
          <w:sz w:val="20"/>
        </w:rPr>
        <w:t>is any beneficial ownership interest in any Person (including stock, partnership, membership, or other ownership interest or other equity securities), and any loan, advance or capital contribution to any Person.</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Key Person</w:t>
      </w:r>
      <w:r>
        <w:rPr>
          <w:color w:val="000000"/>
        </w:rPr>
        <w:t xml:space="preserve">” </w:t>
      </w:r>
      <w:r>
        <w:rPr>
          <w:rFonts w:ascii="Times New Roman;sans-serif" w:hAnsi="Times New Roman;sans-serif"/>
          <w:b w:val="false"/>
          <w:color w:val="000000"/>
          <w:sz w:val="20"/>
        </w:rPr>
        <w:t>is each of Borrower’s (i) Chief Executive Officer, and (ii) Chief Financial Officer, as of the Effective Date.</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Letter of Credit</w:t>
      </w:r>
      <w:r>
        <w:rPr>
          <w:color w:val="000000"/>
        </w:rPr>
        <w:t xml:space="preserve">” </w:t>
      </w:r>
      <w:r>
        <w:rPr>
          <w:rFonts w:ascii="Times New Roman;sans-serif" w:hAnsi="Times New Roman;sans-serif"/>
          <w:b w:val="false"/>
          <w:color w:val="000000"/>
          <w:sz w:val="20"/>
        </w:rPr>
        <w:t>is a standby or commercial letter of credit issued by Bank upon request of Borrower based upon an application, guarantee, indemnity, or similar agreement.</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Lien</w:t>
      </w:r>
      <w:r>
        <w:rPr>
          <w:color w:val="000000"/>
        </w:rPr>
        <w:t xml:space="preserve">” </w:t>
      </w:r>
      <w:r>
        <w:rPr>
          <w:rFonts w:ascii="Times New Roman;sans-serif" w:hAnsi="Times New Roman;sans-serif"/>
          <w:b w:val="false"/>
          <w:color w:val="000000"/>
          <w:sz w:val="20"/>
        </w:rPr>
        <w:t>is a claim, mortgage, deed of trust, levy, attachment charge, pledge, hypothecation, security interest or other encumbrance of any kind, whether voluntarily incurred or arising by operation of law or otherwise against any property.</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Loan Documents</w:t>
      </w:r>
      <w:r>
        <w:rPr>
          <w:color w:val="000000"/>
        </w:rPr>
        <w:t xml:space="preserve">” </w:t>
      </w:r>
      <w:r>
        <w:rPr>
          <w:rFonts w:ascii="Times New Roman;sans-serif" w:hAnsi="Times New Roman;sans-serif"/>
          <w:b w:val="false"/>
          <w:color w:val="000000"/>
          <w:sz w:val="20"/>
        </w:rPr>
        <w:t>are, collectively, this Agreement and any schedules, exhibits, certificates, notices, and any other documents related to this Agreement, the Perfection Certificate, the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Material Adverse Change</w:t>
      </w:r>
      <w:r>
        <w:rPr>
          <w:color w:val="000000"/>
        </w:rPr>
        <w:t xml:space="preserve">” </w:t>
      </w:r>
      <w:r>
        <w:rPr>
          <w:rFonts w:ascii="Times New Roman;sans-serif" w:hAnsi="Times New Roman;sans-serif"/>
          <w:b w:val="false"/>
          <w:color w:val="000000"/>
          <w:sz w:val="20"/>
        </w:rPr>
        <w:t>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 when such Obligations are due.</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Net Income</w:t>
      </w:r>
      <w:r>
        <w:rPr>
          <w:color w:val="000000"/>
        </w:rPr>
        <w:t xml:space="preserve">” </w:t>
      </w:r>
      <w:r>
        <w:rPr>
          <w:rFonts w:ascii="Times New Roman;sans-serif" w:hAnsi="Times New Roman;sans-serif"/>
          <w:b w:val="false"/>
          <w:color w:val="000000"/>
          <w:sz w:val="20"/>
        </w:rPr>
        <w:t>means, as calculated on a consolidated basis for Borrower and its Subsidiaries for any period as at any date of determination, the net profit (or loss), after provision for taxes, of Borrower and its Subsidiaries for such period taken as a single accounting period.</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Net Revenue</w:t>
      </w:r>
      <w:r>
        <w:rPr>
          <w:color w:val="000000"/>
        </w:rPr>
        <w:t xml:space="preserve">” </w:t>
      </w:r>
      <w:r>
        <w:rPr>
          <w:rFonts w:ascii="Times New Roman;sans-serif" w:hAnsi="Times New Roman;sans-serif"/>
          <w:b w:val="false"/>
          <w:color w:val="000000"/>
          <w:sz w:val="20"/>
        </w:rPr>
        <w:t>means, for any period as of any date of determination, Borrower’s net revenue calculated in accordance with GAAP.</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Obligations</w:t>
      </w:r>
      <w:r>
        <w:rPr>
          <w:color w:val="000000"/>
        </w:rPr>
        <w:t xml:space="preserve">” </w:t>
      </w:r>
      <w:r>
        <w:rPr>
          <w:rFonts w:ascii="Times New Roman;sans-serif" w:hAnsi="Times New Roman;sans-serif"/>
          <w:b w:val="false"/>
          <w:color w:val="000000"/>
          <w:sz w:val="20"/>
        </w:rPr>
        <w:t>are Borrower’s obligations to pay when due any debts, principal, interest, fees, Bank Expenses, the Termination Fee (if applicable), the Revolving Line Commitment Fee, the Prepayment Fee (if applicable), the Final Payment, and other amounts Borrower owes Bank now or later, whether under this Agreement, or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 (but in all cases excluding any equity interests of Bank and/or its Affiliates in Borrower).</w:t>
      </w:r>
    </w:p>
    <w:p>
      <w:pPr>
        <w:pStyle w:val="TextBody"/>
        <w:spacing w:before="8"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OFAC</w:t>
      </w:r>
      <w:r>
        <w:rPr>
          <w:color w:val="000000"/>
        </w:rPr>
        <w:t xml:space="preserve">” </w:t>
      </w:r>
      <w:r>
        <w:rPr>
          <w:rFonts w:ascii="Times New Roman;sans-serif" w:hAnsi="Times New Roman;sans-serif"/>
          <w:b w:val="false"/>
          <w:color w:val="000000"/>
          <w:sz w:val="20"/>
        </w:rPr>
        <w:t>is the Office of Foreign Assets Control of the United States Department of the Treasury and any successor thereto.</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Operating Documents</w:t>
      </w:r>
      <w:r>
        <w:rPr>
          <w:color w:val="000000"/>
        </w:rPr>
        <w:t xml:space="preserve">” </w:t>
      </w:r>
      <w:r>
        <w:rPr>
          <w:rFonts w:ascii="Times New Roman;sans-serif" w:hAnsi="Times New Roman;sans-serif"/>
          <w:b w:val="false"/>
          <w:color w:val="000000"/>
          <w:sz w:val="20"/>
        </w:rPr>
        <w:t>are, for any Person, such Person’s formation documents, as certified by the Secretary of State (or equivalent agency) of such Person’s jurisdiction of organization on a date that is no earlier than thirty (30) days prior to the First Amendment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Other Connection Taxes</w:t>
      </w:r>
      <w:r>
        <w:rPr>
          <w:color w:val="000000"/>
        </w:rPr>
        <w:t xml:space="preserve">” </w:t>
      </w:r>
      <w:r>
        <w:rPr>
          <w:rFonts w:ascii="Times New Roman;sans-serif" w:hAnsi="Times New Roman;sans-serif"/>
          <w:b w:val="false"/>
          <w:color w:val="000000"/>
          <w:sz w:val="20"/>
        </w:rPr>
        <w:t>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Other Taxes</w:t>
      </w:r>
      <w:r>
        <w:rPr>
          <w:color w:val="000000"/>
        </w:rPr>
        <w:t xml:space="preserve">” </w:t>
      </w:r>
      <w:r>
        <w:rPr>
          <w:rFonts w:ascii="Times New Roman;sans-serif" w:hAnsi="Times New Roman;sans-serif"/>
          <w:b w:val="false"/>
          <w:color w:val="000000"/>
          <w:sz w:val="20"/>
        </w:rPr>
        <w:t>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spacing w:before="9" w:after="283"/>
        <w:rPr/>
      </w:pPr>
      <w:r>
        <w:rPr/>
      </w:r>
    </w:p>
    <w:p>
      <w:pPr>
        <w:pStyle w:val="TextBody"/>
        <w:spacing w:lineRule="auto" w:line="240" w:before="0" w:after="0"/>
        <w:rPr/>
      </w:pPr>
      <w:r>
        <w:rPr>
          <w:color w:val="000000"/>
        </w:rPr>
        <w:t>“</w:t>
      </w:r>
      <w:r>
        <w:rPr>
          <w:rFonts w:ascii="Times New Roman;sans-serif" w:hAnsi="Times New Roman;sans-serif"/>
          <w:b/>
          <w:color w:val="000000"/>
          <w:sz w:val="20"/>
        </w:rPr>
        <w:t>Overadvance</w:t>
      </w:r>
      <w:r>
        <w:rPr>
          <w:color w:val="000000"/>
        </w:rPr>
        <w:t xml:space="preserve">” </w:t>
      </w:r>
      <w:r>
        <w:rPr>
          <w:rFonts w:ascii="Times New Roman;sans-serif" w:hAnsi="Times New Roman;sans-serif"/>
          <w:b w:val="false"/>
          <w:color w:val="000000"/>
          <w:sz w:val="20"/>
        </w:rPr>
        <w:t>is defined in Section 1.1.B.</w:t>
      </w:r>
    </w:p>
    <w:p>
      <w:pPr>
        <w:pStyle w:val="TextBody"/>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Patents</w:t>
      </w:r>
      <w:r>
        <w:rPr>
          <w:color w:val="000000"/>
        </w:rPr>
        <w:t xml:space="preserve">” </w:t>
      </w:r>
      <w:r>
        <w:rPr>
          <w:rFonts w:ascii="Times New Roman;sans-serif" w:hAnsi="Times New Roman;sans-serif"/>
          <w:b w:val="false"/>
          <w:color w:val="000000"/>
          <w:sz w:val="20"/>
        </w:rPr>
        <w:t>means all patents, patent applications and like protections including without limitation improvements, divisions, continuations, renewals, reissues, extensions and continuations-in-part of the same.</w:t>
      </w:r>
    </w:p>
    <w:p>
      <w:pPr>
        <w:pStyle w:val="TextBody"/>
        <w:spacing w:before="10" w:after="283"/>
        <w:rPr/>
      </w:pPr>
      <w:r>
        <w:rPr/>
      </w:r>
    </w:p>
    <w:p>
      <w:pPr>
        <w:pStyle w:val="TextBody"/>
        <w:spacing w:lineRule="auto" w:line="566" w:before="1" w:after="283"/>
        <w:rPr/>
      </w:pPr>
      <w:r>
        <w:rPr>
          <w:color w:val="000000"/>
        </w:rPr>
        <w:t>“</w:t>
      </w:r>
      <w:r>
        <w:rPr>
          <w:rFonts w:ascii="Times New Roman;sans-serif" w:hAnsi="Times New Roman;sans-serif"/>
          <w:b/>
          <w:color w:val="000000"/>
          <w:sz w:val="20"/>
        </w:rPr>
        <w:t>Payment/Advance Form</w:t>
      </w:r>
      <w:r>
        <w:rPr>
          <w:color w:val="000000"/>
        </w:rPr>
        <w:t xml:space="preserve">” </w:t>
      </w:r>
      <w:r>
        <w:rPr>
          <w:rFonts w:ascii="Times New Roman;sans-serif" w:hAnsi="Times New Roman;sans-serif"/>
          <w:b w:val="false"/>
          <w:color w:val="000000"/>
          <w:sz w:val="20"/>
        </w:rPr>
        <w:t>is that certain form in the form attached hereto as Exhibit B. “</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is set forth on Schedule I hereto.</w:t>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Perfection Certificate</w:t>
      </w:r>
      <w:r>
        <w:rPr>
          <w:color w:val="000000"/>
        </w:rPr>
        <w:t xml:space="preserve">” </w:t>
      </w:r>
      <w:r>
        <w:rPr>
          <w:rFonts w:ascii="Times New Roman;sans-serif" w:hAnsi="Times New Roman;sans-serif"/>
          <w:b w:val="false"/>
          <w:color w:val="000000"/>
          <w:sz w:val="20"/>
        </w:rPr>
        <w:t>is the updated Perfection Certificate delivered by Borrower on or around the First Amendment Effective Date in connection with this Agreement.</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Permitted Acquisition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Permitted Acquisitions</w:t>
      </w:r>
      <w:r>
        <w:rPr>
          <w:color w:val="000000"/>
        </w:rPr>
        <w:t xml:space="preserve">” </w:t>
      </w:r>
      <w:r>
        <w:rPr>
          <w:rFonts w:ascii="Times New Roman;sans-serif" w:hAnsi="Times New Roman;sans-serif"/>
          <w:b w:val="false"/>
          <w:color w:val="000000"/>
          <w:sz w:val="20"/>
        </w:rPr>
        <w:t xml:space="preserve">means an acquisition by Borrower or any Subsidiary of any Intellectual Property or all or substantially all of the assets of, all of the ownership interests in, or a business line, product line (including rights in respect of any medical device) or unit or division of another Person (including any foreign corporations) for cash consideration (including any purchase price adjustments, indemnity payments and earn-out obligations in connection therewith) up to Ten Million Dollars ($10,000,000) in any fiscal year (or such greater amount as may be agreed with the prior written consent of Bank);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with respect to each such acquisition, each of the following conditions shall have been satisfied (or waived by Bank, acting in its commercially reasonable discretion):</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(a)no Event of Default shall have occurred and be continuing or would result from the consummation of the proposed acquisition and Bank has received evidence that Borrower is in compliance with all terms and conditions of this Agreement on a pro forma basis after giving effect to such acquisition,</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(b)such acquired Person or assets shall be in a similar line of business as is conducted by Borrower as of the Effective Date (or a line of business reasonably related thereto),</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(c)such acquisition shall not cause the focus or locations of Borrower’s and its Subsidiaries’ operations (when taken as a whole) to be located outside of the United States,</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(d)such acquisition shall not constitute a hostile acquisition,</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(e)any Person acquired as a result of such acquisition shall become a secured Guarantor (or co-borrower) subject to the terms herein, within fifteen (15) Business Days of the consummation of such acquisition,</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(f)in connection with such acquisition, neither Borrower nor any of its subsidiaries (including for this purpose, the target of the acquisition) shall acquire or be subject to any Indebtedness or Liens that are not otherwise permitted hereunder;</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(g)Borrower shall provide Bank with written notice of the proposed acquisition at least five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(5) Business Days prior to the anticipated signing, commitment, or closing date of the proposed acquisition, whichever occurs first;</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(h)Borrower shall provide to the Bank not later than five (5) Business Days after the execution thereof, a copy of the executed purchase agreement or similar agreement with respect to any such acquisition;</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(i)such acquisition has been approved by the board of directors (or other equivalent legally governing body) of the Person to be acquired,</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(j)the entity or assets to be acquired in such acquisition shall not be subject to any Lien other</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(x) the first priority Liens granted in favor of Bank and (y) Permitted Liens;</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(k)all transactions related to such acquisition shall be consummated in all material respects in accordance with applicable law; and</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(l)Borrower shall provide to the Bank as soon as available but in any event not later than five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(5) Business Days after the execution thereof, a copy of the executed purchase agreement or similar agreement with respect to any such acquisition.</w:t>
      </w:r>
    </w:p>
    <w:p>
      <w:pPr>
        <w:pStyle w:val="TextBody"/>
        <w:spacing w:before="9" w:after="283"/>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Borrower shall provide to the Bank as soon as available but in any event not later than five (5) Business Days after the execution thereof a certificate of a Responsible Officer of Borrower, in form and substance reasonably satisfactory to Bank, certifying that all of the requirements set forth in this definition have been satisfied or will be satisfied on or prior to the consummation of such acquisition. Notwithstanding the foregoing and for the avoidance of doubt, in no event shall Borrower or any of its Subsidiaries assume any liabilities with respect to any acquisition, including without limitation, any Permitted Indebtedness, in excess of Fifteen Million Dollars ($15,000,000) in aggregate outstanding at any time for such Permitted Acquisitions.</w:t>
      </w:r>
    </w:p>
    <w:p>
      <w:pPr>
        <w:pStyle w:val="TextBody"/>
        <w:spacing w:before="0" w:after="0"/>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Permitted Call Spread Agreements</w:t>
      </w:r>
      <w:r>
        <w:rPr>
          <w:color w:val="000000"/>
        </w:rPr>
        <w:t xml:space="preserve">” </w:t>
      </w:r>
      <w:r>
        <w:rPr>
          <w:rFonts w:ascii="Times New Roman;sans-serif" w:hAnsi="Times New Roman;sans-serif"/>
          <w:b w:val="false"/>
          <w:color w:val="000000"/>
          <w:sz w:val="20"/>
        </w:rPr>
        <w:t>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entered into by the Borrower in connection with the issuance of Permitted Convertible Debt (such transaction, a “</w:t>
      </w:r>
      <w:r>
        <w:rPr>
          <w:rFonts w:ascii="Times New Roman;sans-serif" w:hAnsi="Times New Roman;sans-serif"/>
          <w:b/>
          <w:color w:val="000000"/>
          <w:sz w:val="20"/>
        </w:rPr>
        <w:t>Bond Hedge Transaction</w:t>
      </w:r>
      <w:r>
        <w:rPr>
          <w:color w:val="000000"/>
        </w:rPr>
        <w:t>”</w:t>
      </w:r>
      <w:r>
        <w:rPr>
          <w:rFonts w:ascii="Times New Roman;sans-serif" w:hAnsi="Times New Roman;sans-serif"/>
          <w:b w:val="false"/>
          <w:color w:val="000000"/>
          <w:sz w:val="20"/>
        </w:rPr>
        <w:t>) and (b) any issued warrants to acquire common stock of the Borrower (or other securities or property following a merger event or other change of the common stock of the Borrower) (whether such warrant is settled in shares, cash or a combination thereof) issued by the Borrower in connection with the issuance of Permitted Convertible Debt and sold by Borrower substantially concurrently with any purchase by Borrower of a Bond Hedge Transaction and settled in (such transaction, a “</w:t>
      </w:r>
      <w:r>
        <w:rPr>
          <w:rFonts w:ascii="Times New Roman;sans-serif" w:hAnsi="Times New Roman;sans-serif"/>
          <w:b/>
          <w:color w:val="000000"/>
          <w:sz w:val="20"/>
        </w:rPr>
        <w:t>Warrant Transaction</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 the terms, conditions and covenants of each such call option transaction are customary for agreements of such type, as determined by the Board (or a committee thereof) in good faith, (ii) the purchase price for such Bond Hedge Transaction, less the proceeds received by the Borrower from the sale of any related Warrant Transaction, does not exceed the net proceeds received by the Borrower from the issuance of the related Permitted Convertible Indebtedness at the time of such purchase, and (iii) in the case of clause (b) above, such warrants would be classified as an equity instrument in accordance with GAAP.</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Permitted Convertible Debt</w:t>
      </w:r>
      <w:r>
        <w:rPr>
          <w:color w:val="000000"/>
        </w:rPr>
        <w:t xml:space="preserve">” </w:t>
      </w:r>
      <w:r>
        <w:rPr>
          <w:rFonts w:ascii="Times New Roman;sans-serif" w:hAnsi="Times New Roman;sans-serif"/>
          <w:b w:val="false"/>
          <w:color w:val="000000"/>
          <w:sz w:val="20"/>
        </w:rPr>
        <w:t xml:space="preserve">means any unsecured notes issued by the Borrower that are convertible into a fixed number (subject to customary anti-dilution adjustments, “make-whole” increases and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such Indebtedness must satisfy each of the following conditions: (i) both immediately prior to and after giving effect (including pro forma effect) to the issuance thereof, no Default or Event of Default shall exist or result therefrom, (ii) such Indebtedness matures after, and does not require any scheduled amortization or other scheduled or otherwise required payments of principal prior to, or have a scheduled maturity date earlier than, the date that is ninety one (91) calendar days after the Term Loan Maturity Date and prior to that date, does not provide for or require any payments of principal or any other payments with the exception of semi-annual interest payments, obligations to settle conversions, redemption rights (which, for the avoidance of doubt, will be subject to Section 6.7) and customary obligations to offer to repurchase the notes upon the occurrence of a “fundamental change”, (iii)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Times New Roman;sans-serif" w:hAnsi="Times New Roman;sans-serif"/>
          <w:b/>
          <w:color w:val="000000"/>
          <w:sz w:val="20"/>
        </w:rPr>
        <w:t>Cross-Default Reference Obligation</w:t>
      </w:r>
      <w:r>
        <w:rPr>
          <w:color w:val="000000"/>
        </w:rPr>
        <w:t>”</w:t>
      </w:r>
      <w:r>
        <w:rPr>
          <w:rFonts w:ascii="Times New Roman;sans-serif" w:hAnsi="Times New Roman;sans-serif"/>
          <w:b w:val="false"/>
          <w:color w:val="000000"/>
          <w:sz w:val="20"/>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(iv) the terms, conditions and covenants (other than pricing terms determined through a customary marketing process) of such Indebtedness must be customary for convertible Indebtedness of such type at the time of issuance (as determined by the Board, or a committee thereof, in good faith) and, (v) such Indebtedness is not guaranteed by any Subsidiary of the Borrower unless the Obligations are guaranteed by such Subsidiary on a secured basis. For the avoidance of doubt, and without limitation of the foregoing, Permitted Convertible Debt shall at all</w:t>
      </w:r>
    </w:p>
    <w:p>
      <w:pPr>
        <w:pStyle w:val="TextBody"/>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times be valued at the full stated principle amount thereof and shall not include any reduction or appreciation in value of the shares deliverable upon conversion thereof.</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color w:val="000000"/>
          <w:sz w:val="20"/>
        </w:rPr>
        <w:t>Permitted Foreign Subsidiary Accounts</w:t>
      </w:r>
      <w:r>
        <w:rPr>
          <w:color w:val="000000"/>
        </w:rPr>
        <w:t xml:space="preserve">” </w:t>
      </w:r>
      <w:r>
        <w:rPr>
          <w:rFonts w:ascii="Times New Roman;sans-serif" w:hAnsi="Times New Roman;sans-serif"/>
          <w:b w:val="false"/>
          <w:color w:val="000000"/>
          <w:sz w:val="20"/>
        </w:rPr>
        <w:t>is defined in Section 5.9(a).</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Permitted Hedging Agreement</w:t>
      </w:r>
      <w:r>
        <w:rPr>
          <w:color w:val="000000"/>
        </w:rPr>
        <w:t xml:space="preserve">” </w:t>
      </w:r>
      <w:r>
        <w:rPr>
          <w:rFonts w:ascii="Times New Roman;sans-serif" w:hAnsi="Times New Roman;sans-serif"/>
          <w:b w:val="false"/>
          <w:color w:val="000000"/>
          <w:sz w:val="20"/>
        </w:rPr>
        <w:t xml:space="preserve">means any currency agreement, all rate swap transactions or other contract or arrangement designed solely to protect a Person against fluctuations in currency exchange rates and interest rate risk, and any confirmation executed in connection with any such agreement, contract, or arrangement, in each case, entered into by Borrower or any of its Subsidiaries solely to hedge or mitigate the risks of foreign exchange rate fluctuations and interest rate risk and not for any speculative or other purposes;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such agreement, contract or arrangement shall comply in all respects with the hedging policies or guidelines as are approved by the Board or as are approved by Bank (such approval not to be unreasonably withheld, delayed or conditioned);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that all accrued and reasonably expected liabilities of Borrower or its Subsidiaries arising under Permitted Hedging Agreements shall not exceed One Million Dollars ($1,000,000) in the aggregate at any time. For the avoidance of doubt, no Permitted Call Spread Agreement shall constitute a Permitted Hedging Agreement.</w:t>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0"/>
        </w:rPr>
        <w:t>Permitted Indebtedness</w:t>
      </w:r>
      <w:r>
        <w:rPr>
          <w:color w:val="000000"/>
        </w:rPr>
        <w:t xml:space="preserve">” </w:t>
      </w:r>
      <w:r>
        <w:rPr>
          <w:rFonts w:ascii="Times New Roman;sans-serif" w:hAnsi="Times New Roman;sans-serif"/>
          <w:b w:val="false"/>
          <w:color w:val="000000"/>
          <w:sz w:val="20"/>
        </w:rPr>
        <w:t>is: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(a)Borrower’s Indebtedness to Bank under this Agreement, the other Loan Documents and under any other agreement with Bank;</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(b)Indebtedness existing on the Effective Date which is shown on the Perfection Certificate;</w:t>
      </w:r>
    </w:p>
    <w:p>
      <w:pPr>
        <w:pStyle w:val="TextBody"/>
        <w:spacing w:before="10" w:after="283"/>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(c)Subordinated Debt;</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(d)unsecured Indebtedness to trade creditors incurred in the ordinary course of business;</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(e)Indebtedness incurred as a result of endorsing negotiable instruments received in the ordinary course of business;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(f)Indebtedness secured by Liens permitted under clauses (a) and (c) of the definition of “Permitted Liens” hereunder;</w:t>
      </w:r>
    </w:p>
    <w:p>
      <w:pPr>
        <w:pStyle w:val="TextBody"/>
        <w:spacing w:before="8"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(g)other unsecured Indebtedness not otherwise permitted by Section 6.4 not exceeding Two Hundred Fifty Thousand Dollars ($250,000.00) in the aggregate outstanding at any time;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(h)Indebtedness with respect to credit cards maintained with American Express, not to exceed Five Hundred Thousand Dollars ($500,000) outstanding at any time;</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(i)Permitted Hedging Agreements;</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(j)intercompany Indebtedness by and among Borrower and its Subsidiaries (subject to “Permitted Investments” part (g)(i);</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(k)Indebtedness in respect of letters of credit, bank guarantees and similar instruments issued for the account of Borrower and/or its Subsidiaries in the ordinary course of business not to exceed Seven Hundred Fifty Thousand Dollars ($750,000) outstanding at any time;</w:t>
      </w:r>
    </w:p>
    <w:p>
      <w:pPr>
        <w:pStyle w:val="TextBody"/>
        <w:spacing w:before="1" w:after="283"/>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(l)advances or deposits received in the ordinary course of business from customers or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vendors;</w:t>
      </w:r>
    </w:p>
    <w:p>
      <w:pPr>
        <w:pStyle w:val="TextBody"/>
        <w:spacing w:before="9" w:after="283"/>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and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Indebtedness arising in connection with automated clearing house transfer of funds or the use of other payment processing services;</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(n)Indebtedness arising in connection with the financing of insurance premiums in the ordinary course of business not to exceed Seven Hundred Fifty Thousand Dollars ($750,000) outstanding at any time;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(o)Indebtedness in respect of performance bonds, bid bonds, appeal bonds, surety bonds, completion guarantees and similar obligations arising in the ordinary course of business not to exceed Seven Hundred Fifty Thousand Dollars ($750,000) in the aggregate outstanding at any time;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(p)Unsecured Indebtedness in connection with Permitted Acquisitions, not to exceed Fifteen Million Dollars ($15,000,000) in aggregate outstanding at any time;</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(q)Permitted Convertible Debt in aggregate principal amount not to exceed Two Hundred Fifty Million Dollars ($250,000,000) in principal amount at any time outstanding;</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(r)Indebtedness of Borrower’s Subsidiaries in connection with the sale of Inventory by Borrower to its Subsidiaries in the ordinary course of business, which may from time to time be forgiven by Borrower;</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(s)purchase price adjustments, indemnity payments and earn-out obligations in connection with any Permitted Acquisition (to the extent not in excess of the consideration limitations set forth in the definition thereof); and</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(t)extensions, refinancings, modifications, amendments and restatements of any items of Permitted Indebtedness (a) through (s) above, provided that the principal amount thereof is not increased or the terms thereof are not modified to impose more burdensome terms upon Borrower or its Subsidiary, as the case may be.</w:t>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0"/>
        </w:rPr>
        <w:t>Permitted Investments</w:t>
      </w:r>
      <w:r>
        <w:rPr>
          <w:color w:val="000000"/>
        </w:rPr>
        <w:t xml:space="preserve">” </w:t>
      </w:r>
      <w:r>
        <w:rPr>
          <w:rFonts w:ascii="Times New Roman;sans-serif" w:hAnsi="Times New Roman;sans-serif"/>
          <w:b w:val="false"/>
          <w:color w:val="000000"/>
          <w:sz w:val="20"/>
        </w:rPr>
        <w:t>are:</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(a)Investments (including, without limitation, Subsidiaries) existing on the Effective Date which are shown on the Perfection Certificate;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 Investments consisting of cash and Cash Equivalents, and (ii) any other Investments permitted by Borrower’s investment policy, as amended from time to time, provided that such investment policy (and any such amendment thereto) has been approved in writing by Bank, further provided that Bank hereby confirms approval of such investment policy delivered to Bank around the Effective Date;</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(c)Investments consisting of the endorsement of negotiable instruments for deposit or collection or similar transactions in the ordinary course of Borrower’s business;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(d)Investments consisting of deposit and securities accounts (but only to the extent that Borrower or its Subsidiaries is permitted to maintain such accounts pursuant to Section 5.9 of this Agreement) in which Bank has a first priority perfected security interest (only if and to the extent required pursuant to Section 5.9 of this Agreement);</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00000"/>
          <w:sz w:val="20"/>
        </w:rPr>
        <w:t xml:space="preserve">(e)Investments accepted in connection with Transfers permitted by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6.1</w:t>
        </w:r>
      </w:hyperlink>
      <w:r>
        <w:rPr>
          <w:rFonts w:ascii="Times New Roman;sans-serif" w:hAnsi="Times New Roman;sans-serif"/>
          <w:b w:val="false"/>
          <w:color w:val="000000"/>
          <w:sz w:val="20"/>
        </w:rPr>
        <w:t>;</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 xml:space="preserve">(f)Investments consisting of the creation of a Subsidiary for the purpose of consummating a merger transactions and Permitted Acquisitions permitted by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6.3</w:t>
        </w:r>
      </w:hyperlink>
      <w:r>
        <w:rPr>
          <w:rFonts w:ascii="Times New Roman;sans-serif" w:hAnsi="Times New Roman;sans-serif"/>
          <w:b w:val="false"/>
          <w:color w:val="000000"/>
          <w:sz w:val="20"/>
        </w:rPr>
        <w:t xml:space="preserve"> of this Agreement, which is otherwise a Permitted Investment;</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(g)Investments by Borrower in Subsidiaries that are not borrowers hereunder (or Guarantors), not to exceed (i) (x) Seven Million Five Hundred Thousand Dollars ($7,500,000) in the aggregate in any fiscal year; and (y) Three Million Dollars ($3,000,000) in any fiscal quarter, plus (ii) the ongoing day-to-day operations of such Subsidiaries in the ordinary course of business, so long as such (part (ii)) Investments are (A) made on a cost-plus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basis, or (B) otherwise in accordance with transfer pricing arrangements, or (C) are otherwise approved in advance in writing by Bank;</w:t>
      </w:r>
    </w:p>
    <w:p>
      <w:pPr>
        <w:pStyle w:val="TextBody"/>
        <w:spacing w:before="10" w:after="283"/>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(h)Investments by Borrower in any other co-borrower under this Agreement or Guarantor;</w:t>
      </w:r>
    </w:p>
    <w:p>
      <w:pPr>
        <w:pStyle w:val="TextBody"/>
        <w:spacing w:before="8"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(l)Cash investments of up to One Million Dollars ($1,000,000) per fiscal year,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non-cash Investments in joint ventures or strategic alliances in the ordinary course of Borrower’s business consisting of the non- exclusive licensing of technology, the development of technology or the providing of technical support;</w:t>
      </w:r>
    </w:p>
    <w:p>
      <w:pPr>
        <w:pStyle w:val="TextBody"/>
        <w:spacing w:before="9"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(m)any Permitted Call Spread Agreements;</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(n)Permitted Acquisitions;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(o)Investments not to exceed Five Million Dollars ($5,000,000) per fiscal year to fund the expansion of Borrower and/or its Subsidiaries in (i) Japan, and/or (ii) any other jurisdiction as may be agreed by Bank (in its commercially reasonable discretion) and Borrower; and</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(p)other Investments not otherwise enumerated in this defined term “Permitted Investments” not exceeding Five Hundred Thousand Dollars ($500,000) in the aggregate during any fiscal year.</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color w:val="000000"/>
          <w:sz w:val="20"/>
        </w:rPr>
        <w:t>Permitted Liens</w:t>
      </w:r>
      <w:r>
        <w:rPr>
          <w:color w:val="000000"/>
        </w:rPr>
        <w:t xml:space="preserve">” </w:t>
      </w:r>
      <w:r>
        <w:rPr>
          <w:rFonts w:ascii="Times New Roman;sans-serif" w:hAnsi="Times New Roman;sans-serif"/>
          <w:b w:val="false"/>
          <w:color w:val="000000"/>
          <w:sz w:val="20"/>
        </w:rPr>
        <w:t>are: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(a)Liens existing on the Effective Date which are shown on the Perfection Certificate or arising under this Agreement or the other Loan Documents;</w:t>
      </w:r>
    </w:p>
    <w:p>
      <w:pPr>
        <w:pStyle w:val="TextBody"/>
        <w:spacing w:before="8"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(c)purchase money Liens and equipment liens (i) on Equipment or software acquired or held by Borrower incurred for financing the acquisition of the Equipment or software securing no more than One Million Dollars ($1,000,000) in the aggregate amount outstanding, or (ii) existing on Equipment or software when acquired, if the Lien is confined to the property and improvements and the proceeds of the Equipment or software;</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 which are being contested in good faith and by appropriate proceedings which proceedings have the effect of preventing the forfeiture or sale of the property subject thereto;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(e)Liens to secure payment of workers’ compensation, employment insurance, old-age pensions, social security and other like obligations incurred in the ordinary course of business (other than Liens imposed by ERISA);</w:t>
      </w:r>
    </w:p>
    <w:p>
      <w:pPr>
        <w:pStyle w:val="TextBody"/>
        <w:spacing w:before="9"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(g)leases or subleases of real property granted in the ordinary course of Borrower’s business (or, if referring to another Person, in the ordinary course of such Person’s business), and leases, subleases, non- 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(h)(i) non-exclusive licenses of Intellectual Property granted to third parties in the ordinary course of business, (ii) licenses of Intellectual Property that could not reasonably be expected to result in a legal transfer of title of the licensed property that may be exclusive in respects of territory (as to discreet geographical areas inside and outside of the United States), and (iii) licenses existing on the Effective Date and disclosed on the Perfection Certificate;</w:t>
      </w:r>
    </w:p>
    <w:p>
      <w:pPr>
        <w:pStyle w:val="TextBody"/>
        <w:spacing w:before="9"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(i)customary Liens of any bank in connection with statutory, common law and contractual rights of setoff and recoupment with respect to any deposit account or securities account of Borrower, provided that</w:t>
      </w:r>
    </w:p>
    <w:p>
      <w:pPr>
        <w:pStyle w:val="TextBody"/>
        <w:spacing w:lineRule="auto" w:line="240" w:before="0" w:after="0"/>
        <w:rPr/>
      </w:pPr>
      <w:r>
        <w:rPr>
          <w:rFonts w:ascii="Times New Roman;sans-serif" w:hAnsi="Times New Roman;sans-serif"/>
          <w:b w:val="false"/>
          <w:color w:val="000000"/>
          <w:sz w:val="20"/>
        </w:rPr>
        <w:t xml:space="preserve">(i) Bank has a first priority perfected security interest in such account (if perfection is required pursuant to Section 5.9 of this Agreement), and (ii) such account is permitted to be maintained pursuant to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5.9</w:t>
        </w:r>
      </w:hyperlink>
      <w:r>
        <w:rPr>
          <w:rFonts w:ascii="Times New Roman;sans-serif" w:hAnsi="Times New Roman;sans-serif"/>
          <w:b w:val="false"/>
          <w:color w:val="000000"/>
          <w:sz w:val="20"/>
        </w:rPr>
        <w:t xml:space="preserve"> of this Agreement;</w:t>
      </w:r>
    </w:p>
    <w:p>
      <w:pPr>
        <w:pStyle w:val="TextBody"/>
        <w:spacing w:before="9"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(j)Liens arising from attachments or judgments, orders, or decrees in circumstances not constituting an Event of Default under Sections and </w:t>
      </w:r>
      <w:hyperlink w:anchor="i37efde9015094164b274aef726ee5ee2_16">
        <w:r>
          <w:rPr>
            <w:rStyle w:val="InternetLink"/>
            <w:rFonts w:ascii="Times New Roman;sans-serif" w:hAnsi="Times New Roman;sans-serif"/>
            <w:b w:val="false"/>
            <w:strike w:val="false"/>
            <w:dstrike w:val="false"/>
            <w:color w:val="000000"/>
            <w:sz w:val="20"/>
            <w:u w:val="none"/>
            <w:effect w:val="none"/>
          </w:rPr>
          <w:t>7.7;</w:t>
        </w:r>
      </w:hyperlink>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(k)deposits under real property leases that are made in the ordinary course of business not to exceed Seven Hundred Fifty Thousand Dollars ($750,000) at any time;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(l)easements,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(m)other Liens (not otherwise enumerated in this defined term) not exceeding One Hundred Thousand Dollars ($100,000) in the aggregate outstanding at any time;</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(n)Liens in respect of performance bonds, bid bonds, appeal bonds, surety bonds, completion guarantees and similar obligations arising in the ordinary course of business not to exceed Seven Hundred Fifty Thousand Dollars ($750,000) in the aggregate outstanding at any time; and</w:t>
      </w:r>
    </w:p>
    <w:p>
      <w:pPr>
        <w:pStyle w:val="TextBody"/>
        <w:spacing w:before="10" w:after="283"/>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(o)Liens on cash and Cash Equivalents securing obligations under Permitted Hedging</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Agreements.</w:t>
      </w:r>
    </w:p>
    <w:p>
      <w:pPr>
        <w:pStyle w:val="TextBody"/>
        <w:spacing w:before="0" w:after="0"/>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Person</w:t>
      </w:r>
      <w:r>
        <w:rPr>
          <w:color w:val="000000"/>
        </w:rPr>
        <w:t xml:space="preserve">” </w:t>
      </w:r>
      <w:r>
        <w:rPr>
          <w:rFonts w:ascii="Times New Roman;sans-serif" w:hAnsi="Times New Roman;sans-serif"/>
          <w:b w:val="false"/>
          <w:color w:val="000000"/>
          <w:sz w:val="20"/>
        </w:rPr>
        <w:t>is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Prepayment Fee</w:t>
      </w:r>
      <w:r>
        <w:rPr>
          <w:color w:val="000000"/>
        </w:rPr>
        <w:t xml:space="preserve">” </w:t>
      </w:r>
      <w:r>
        <w:rPr>
          <w:rFonts w:ascii="Times New Roman;sans-serif" w:hAnsi="Times New Roman;sans-serif"/>
          <w:b w:val="false"/>
          <w:color w:val="000000"/>
          <w:sz w:val="20"/>
        </w:rPr>
        <w:t>is a fee due upon prepayment (whether voluntary or otherwise) of the Term Loan Advance in full prior to the Term Loan Maturity Date equal to two percent (2.00%) of the aggregate l principal amount of the Term Loan Advance being prepaid on such date, provided, however, that no such Prepayment Fee is accrued or payable to Bank, and such Prepayment Fee is waived by Bank (i) with respect to the Term Loan Advance (as defined in the Agreement prior to the First Amendment Effective Date) prepaid on or around the First Amendment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Effective Date, and (ii) if any such prepaid Term Loan Advance is refinanced through a new credit facility provided by Bank.</w:t>
      </w:r>
    </w:p>
    <w:p>
      <w:pPr>
        <w:pStyle w:val="TextBody"/>
        <w:spacing w:before="10" w:after="283"/>
        <w:rPr/>
      </w:pPr>
      <w:r>
        <w:rPr/>
      </w:r>
    </w:p>
    <w:p>
      <w:pPr>
        <w:pStyle w:val="TextBody"/>
        <w:spacing w:lineRule="auto" w:line="240" w:before="1" w:after="283"/>
        <w:rPr/>
      </w:pPr>
      <w:r>
        <w:rPr>
          <w:color w:val="000000"/>
        </w:rPr>
        <w:t>“</w:t>
      </w:r>
      <w:r>
        <w:rPr>
          <w:rFonts w:ascii="Times New Roman;sans-serif" w:hAnsi="Times New Roman;sans-serif"/>
          <w:b/>
          <w:color w:val="000000"/>
          <w:sz w:val="20"/>
        </w:rPr>
        <w:t>Prime Rate</w:t>
      </w:r>
      <w:r>
        <w:rPr>
          <w:color w:val="000000"/>
        </w:rPr>
        <w:t xml:space="preserve">” </w:t>
      </w:r>
      <w:r>
        <w:rPr>
          <w:rFonts w:ascii="Times New Roman;sans-serif" w:hAnsi="Times New Roman;sans-serif"/>
          <w:b w:val="false"/>
          <w:color w:val="000000"/>
          <w:sz w:val="20"/>
        </w:rPr>
        <w:t>is set forth on Schedule I hereto.</w:t>
      </w:r>
    </w:p>
    <w:p>
      <w:pPr>
        <w:pStyle w:val="TextBody"/>
        <w:spacing w:before="8" w:after="283"/>
        <w:rPr/>
      </w:pPr>
      <w:r>
        <w:rPr/>
      </w:r>
    </w:p>
    <w:p>
      <w:pPr>
        <w:pStyle w:val="TextBody"/>
        <w:spacing w:lineRule="auto" w:line="240" w:before="0" w:after="0"/>
        <w:rPr/>
      </w:pPr>
      <w:r>
        <w:rPr>
          <w:color w:val="000000"/>
        </w:rPr>
        <w:t>“</w:t>
      </w:r>
      <w:r>
        <w:rPr>
          <w:rFonts w:ascii="Times New Roman;sans-serif" w:hAnsi="Times New Roman;sans-serif"/>
          <w:b/>
          <w:color w:val="000000"/>
          <w:sz w:val="20"/>
        </w:rPr>
        <w:t>Prime Rate Margin</w:t>
      </w:r>
      <w:r>
        <w:rPr>
          <w:color w:val="000000"/>
        </w:rPr>
        <w:t xml:space="preserve">” </w:t>
      </w:r>
      <w:r>
        <w:rPr>
          <w:rFonts w:ascii="Times New Roman;sans-serif" w:hAnsi="Times New Roman;sans-serif"/>
          <w:b w:val="false"/>
          <w:color w:val="000000"/>
          <w:sz w:val="20"/>
        </w:rPr>
        <w:t>is set forth on Schedule I hereto.</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Qualified Cash</w:t>
      </w:r>
      <w:r>
        <w:rPr>
          <w:color w:val="000000"/>
        </w:rPr>
        <w:t xml:space="preserve">” </w:t>
      </w:r>
      <w:r>
        <w:rPr>
          <w:rFonts w:ascii="Times New Roman;sans-serif" w:hAnsi="Times New Roman;sans-serif"/>
          <w:b w:val="false"/>
          <w:color w:val="000000"/>
          <w:sz w:val="20"/>
        </w:rPr>
        <w:t>means the amount of the Borrower and its Subsidiaries cash and Cash Equivalents held with Bank and/or Banks’ Affiliates and/or in accounts subject to a Control Agreement in favor of Bank;</w:t>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0"/>
        </w:rPr>
        <w:t>Quarterly Financial Statements</w:t>
      </w:r>
      <w:r>
        <w:rPr>
          <w:color w:val="000000"/>
        </w:rPr>
        <w:t xml:space="preserve">” </w:t>
      </w:r>
      <w:r>
        <w:rPr>
          <w:rFonts w:ascii="Times New Roman;sans-serif" w:hAnsi="Times New Roman;sans-serif"/>
          <w:b w:val="false"/>
          <w:color w:val="000000"/>
          <w:sz w:val="20"/>
        </w:rPr>
        <w:t>is defined in Section 5.3(c).</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Quick Assets</w:t>
      </w:r>
      <w:r>
        <w:rPr>
          <w:color w:val="000000"/>
        </w:rPr>
        <w:t xml:space="preserve">” </w:t>
      </w:r>
      <w:r>
        <w:rPr>
          <w:rFonts w:ascii="Times New Roman;sans-serif" w:hAnsi="Times New Roman;sans-serif"/>
          <w:b w:val="false"/>
          <w:color w:val="000000"/>
          <w:sz w:val="20"/>
        </w:rPr>
        <w:t>is, on any date, Borrower’s unrestricted and unencumbered cash and Cash Equivalents, including, for the avoidance of doubt, balances in the Cash Collateral Account, and Eligible Accounts.</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Redemption Conditions</w:t>
      </w:r>
      <w:r>
        <w:rPr>
          <w:color w:val="000000"/>
        </w:rPr>
        <w:t xml:space="preserve">” </w:t>
      </w:r>
      <w:r>
        <w:rPr>
          <w:rFonts w:ascii="Times New Roman;sans-serif" w:hAnsi="Times New Roman;sans-serif"/>
          <w:b w:val="false"/>
          <w:color w:val="000000"/>
          <w:sz w:val="20"/>
        </w:rPr>
        <w:t>means, with respect to any redemption by the Borrower of any Permitted Convertible Debt, satisfaction of each of the following events: (a) no Event of Default shall exist or result therefrom,</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both immediately before and after such redemption, Borrower’s Qualified Cash shall be no less than the amount required to prepay the outstanding Obligations in full at the time of such redemption, including all outstanding principal of the Term Loans, the accrued and unpaid interest thereon, the Final Payment, and the Prepayment Fee (provided, however, for the avoidance of doubt no such prepayment is required at such time), and (c) both immediately before and after such redemption, Borrower’s Remaining Months Liquidity shall be no less than twelve (12).</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Registered Organization</w:t>
      </w:r>
      <w:r>
        <w:rPr>
          <w:color w:val="000000"/>
        </w:rPr>
        <w:t xml:space="preserve">” </w:t>
      </w:r>
      <w:r>
        <w:rPr>
          <w:rFonts w:ascii="Times New Roman;sans-serif" w:hAnsi="Times New Roman;sans-serif"/>
          <w:b w:val="false"/>
          <w:color w:val="000000"/>
          <w:sz w:val="20"/>
        </w:rPr>
        <w:t>is any “registered organization” as defined in the Code with such additions to such term as may hereafter be made.</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Remaining Months Liquidity</w:t>
      </w:r>
      <w:r>
        <w:rPr>
          <w:color w:val="000000"/>
        </w:rPr>
        <w:t xml:space="preserve">” </w:t>
      </w:r>
      <w:r>
        <w:rPr>
          <w:rFonts w:ascii="Times New Roman;sans-serif" w:hAnsi="Times New Roman;sans-serif"/>
          <w:b w:val="false"/>
          <w:color w:val="000000"/>
          <w:sz w:val="20"/>
        </w:rPr>
        <w:t>means Qualified Cash divided by Adjusted EBITDA (measured on a trailing twelve (12) month basis).</w:t>
      </w:r>
    </w:p>
    <w:p>
      <w:pPr>
        <w:pStyle w:val="TextBody"/>
        <w:spacing w:before="8" w:after="283"/>
        <w:rPr/>
      </w:pPr>
      <w:r>
        <w:rPr/>
      </w:r>
    </w:p>
    <w:p>
      <w:pPr>
        <w:pStyle w:val="TextBody"/>
        <w:spacing w:lineRule="auto" w:line="240" w:before="0" w:after="0"/>
        <w:rPr/>
      </w:pPr>
      <w:r>
        <w:rPr>
          <w:color w:val="000000"/>
        </w:rPr>
        <w:t>“</w:t>
      </w:r>
      <w:r>
        <w:rPr>
          <w:rFonts w:ascii="Times New Roman;sans-serif" w:hAnsi="Times New Roman;sans-serif"/>
          <w:b/>
          <w:color w:val="000000"/>
          <w:sz w:val="20"/>
        </w:rPr>
        <w:t>Representatives</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22">
        <w:r>
          <w:rPr>
            <w:rStyle w:val="InternetLink"/>
            <w:rFonts w:ascii="Times New Roman;sans-serif" w:hAnsi="Times New Roman;sans-serif"/>
            <w:b w:val="false"/>
            <w:strike w:val="false"/>
            <w:dstrike w:val="false"/>
            <w:color w:val="000000"/>
            <w:sz w:val="20"/>
            <w:u w:val="none"/>
            <w:effect w:val="none"/>
          </w:rPr>
          <w:t>11.8.</w:t>
        </w:r>
      </w:hyperlink>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Reserves</w:t>
      </w:r>
      <w:r>
        <w:rPr>
          <w:color w:val="000000"/>
        </w:rPr>
        <w:t xml:space="preserve">” </w:t>
      </w:r>
      <w:r>
        <w:rPr>
          <w:rFonts w:ascii="Times New Roman;sans-serif" w:hAnsi="Times New Roman;sans-serif"/>
          <w:b w:val="false"/>
          <w:color w:val="000000"/>
          <w:sz w:val="20"/>
        </w:rPr>
        <w:t>means, as of any date of determination, such amounts as Bank may from time to time establish and revise in its commercially reasonable discretion, reducing the amount of Advances and other financial accommodations which would otherwise be available to Borrower (a) to reflect events, conditions, contingencies or risks which, as determined by Bank in its commercially reasonable discretion,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 (c) in respect of any state of facts which Bank determines in its commercially reasonable discretion constitutes a Default or an Event of Default.</w:t>
      </w:r>
    </w:p>
    <w:p>
      <w:pPr>
        <w:pStyle w:val="TextBody"/>
        <w:spacing w:before="9"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Responsible Officer</w:t>
      </w:r>
      <w:r>
        <w:rPr>
          <w:color w:val="000000"/>
        </w:rPr>
        <w:t xml:space="preserve">” </w:t>
      </w:r>
      <w:r>
        <w:rPr>
          <w:rFonts w:ascii="Times New Roman;sans-serif" w:hAnsi="Times New Roman;sans-serif"/>
          <w:b w:val="false"/>
          <w:color w:val="000000"/>
          <w:sz w:val="20"/>
        </w:rPr>
        <w:t>is any of the Chief Executive Officer, President, Chief Financial Officer, Chief Legal Officer, and Controller of Borrower.</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Restricted License</w:t>
      </w:r>
      <w:r>
        <w:rPr>
          <w:color w:val="000000"/>
        </w:rPr>
        <w:t xml:space="preserve">” </w:t>
      </w:r>
      <w:r>
        <w:rPr>
          <w:rFonts w:ascii="Times New Roman;sans-serif" w:hAnsi="Times New Roman;sans-serif"/>
          <w:b w:val="false"/>
          <w:color w:val="000000"/>
          <w:sz w:val="20"/>
        </w:rPr>
        <w:t>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material Collateral.</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color w:val="000000"/>
          <w:sz w:val="20"/>
        </w:rPr>
        <w:t>Revolving Line</w:t>
      </w:r>
      <w:r>
        <w:rPr>
          <w:color w:val="000000"/>
        </w:rPr>
        <w:t xml:space="preserve">” </w:t>
      </w:r>
      <w:r>
        <w:rPr>
          <w:rFonts w:ascii="Times New Roman;sans-serif" w:hAnsi="Times New Roman;sans-serif"/>
          <w:b w:val="false"/>
          <w:color w:val="000000"/>
          <w:sz w:val="20"/>
        </w:rPr>
        <w:t>is set forth on Schedule I hereto.</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color w:val="000000"/>
          <w:sz w:val="20"/>
        </w:rPr>
        <w:t>Revolving Line Maturity Date</w:t>
      </w:r>
      <w:r>
        <w:rPr>
          <w:color w:val="000000"/>
        </w:rPr>
        <w:t xml:space="preserve">” </w:t>
      </w:r>
      <w:r>
        <w:rPr>
          <w:rFonts w:ascii="Times New Roman;sans-serif" w:hAnsi="Times New Roman;sans-serif"/>
          <w:b w:val="false"/>
          <w:color w:val="000000"/>
          <w:sz w:val="20"/>
        </w:rPr>
        <w:t>is set forth on Schedule I hereto.</w:t>
      </w:r>
    </w:p>
    <w:p>
      <w:pPr>
        <w:pStyle w:val="TextBody"/>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Sanctioned Person</w:t>
      </w:r>
      <w:r>
        <w:rPr>
          <w:color w:val="000000"/>
        </w:rPr>
        <w:t xml:space="preserve">” </w:t>
      </w:r>
      <w:r>
        <w:rPr>
          <w:rFonts w:ascii="Times New Roman;sans-serif" w:hAnsi="Times New Roman;sans-serif"/>
          <w:b w:val="false"/>
          <w:color w:val="000000"/>
          <w:sz w:val="20"/>
        </w:rPr>
        <w:t>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 clauses (a) and (b) hereof.</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Sanctions</w:t>
      </w:r>
      <w:r>
        <w:rPr>
          <w:color w:val="000000"/>
        </w:rPr>
        <w:t xml:space="preserve">” </w:t>
      </w:r>
      <w:r>
        <w:rPr>
          <w:rFonts w:ascii="Times New Roman;sans-serif" w:hAnsi="Times New Roman;sans-serif"/>
          <w:b w:val="false"/>
          <w:color w:val="000000"/>
          <w:sz w:val="20"/>
        </w:rPr>
        <w:t>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pStyle w:val="TextBody"/>
        <w:spacing w:before="9"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SEC</w:t>
      </w:r>
      <w:r>
        <w:rPr>
          <w:color w:val="000000"/>
        </w:rPr>
        <w:t xml:space="preserve">” </w:t>
      </w:r>
      <w:r>
        <w:rPr>
          <w:rFonts w:ascii="Times New Roman;sans-serif" w:hAnsi="Times New Roman;sans-serif"/>
          <w:b w:val="false"/>
          <w:color w:val="000000"/>
          <w:sz w:val="20"/>
        </w:rPr>
        <w:t>is the Securities and Exchange Commission, any successor thereto, and any analogous Governmental Authority.</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Securities Account</w:t>
      </w:r>
      <w:r>
        <w:rPr>
          <w:color w:val="000000"/>
        </w:rPr>
        <w:t xml:space="preserve">” </w:t>
      </w:r>
      <w:r>
        <w:rPr>
          <w:rFonts w:ascii="Times New Roman;sans-serif" w:hAnsi="Times New Roman;sans-serif"/>
          <w:b w:val="false"/>
          <w:color w:val="000000"/>
          <w:sz w:val="20"/>
        </w:rPr>
        <w:t>is any “securities account” as defined in the Code with such additions to such term as may hereafter be made.</w:t>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0"/>
        </w:rPr>
        <w:t>Streamline Balance</w:t>
      </w:r>
      <w:r>
        <w:rPr>
          <w:color w:val="000000"/>
        </w:rPr>
        <w:t xml:space="preserve">” </w:t>
      </w:r>
      <w:r>
        <w:rPr>
          <w:rFonts w:ascii="Times New Roman;sans-serif" w:hAnsi="Times New Roman;sans-serif"/>
          <w:b w:val="false"/>
          <w:color w:val="000000"/>
          <w:sz w:val="20"/>
        </w:rPr>
        <w:t>is defined in the definition of Streamline Period.</w:t>
      </w:r>
    </w:p>
    <w:p>
      <w:pPr>
        <w:pStyle w:val="TextBody"/>
        <w:spacing w:before="10" w:after="283"/>
        <w:rPr/>
      </w:pPr>
      <w:r>
        <w:rPr/>
      </w:r>
    </w:p>
    <w:p>
      <w:pPr>
        <w:pStyle w:val="TextBody"/>
        <w:spacing w:lineRule="auto" w:line="240" w:before="0" w:after="0"/>
        <w:ind w:left="0" w:right="0" w:firstLine="770"/>
        <w:jc w:val="both"/>
        <w:rPr/>
      </w:pPr>
      <w:r>
        <w:rPr>
          <w:color w:val="000000"/>
        </w:rPr>
        <w:t>“</w:t>
      </w:r>
      <w:r>
        <w:rPr>
          <w:rFonts w:ascii="Times New Roman;sans-serif" w:hAnsi="Times New Roman;sans-serif"/>
          <w:b/>
          <w:color w:val="000000"/>
          <w:sz w:val="20"/>
        </w:rPr>
        <w:t>Streamline Period</w:t>
      </w:r>
      <w:r>
        <w:rPr>
          <w:color w:val="000000"/>
        </w:rPr>
        <w:t xml:space="preserve">” </w:t>
      </w:r>
      <w:r>
        <w:rPr>
          <w:rFonts w:ascii="Times New Roman;sans-serif" w:hAnsi="Times New Roman;sans-serif"/>
          <w:b w:val="false"/>
          <w:color w:val="000000"/>
          <w:sz w:val="20"/>
        </w:rPr>
        <w:t>is, on and after the First Amendment Effective Date, provided no Event of Default has occurred and is continuing, the period (a) commencing on the first (1st) day of the month following the day that Borrower provides to Bank a written report that Borrower has, for the immediately preceding month, measured at month-end (only when Advances are outstanding or are being requested by Borrower), as determined by Bank in its commercially reasonable discretion, an Adjusted Quick Ratio in an amount as of such measurement date of greater than or equal to 1.50 to 1.00 (the “</w:t>
      </w:r>
      <w:r>
        <w:rPr>
          <w:rFonts w:ascii="Times New Roman;sans-serif" w:hAnsi="Times New Roman;sans-serif"/>
          <w:b/>
          <w:color w:val="000000"/>
          <w:sz w:val="20"/>
        </w:rPr>
        <w:t>Streamline Balance</w:t>
      </w:r>
      <w:r>
        <w:rPr>
          <w:color w:val="000000"/>
        </w:rPr>
        <w:t>”</w:t>
      </w:r>
      <w:r>
        <w:rPr>
          <w:rFonts w:ascii="Times New Roman;sans-serif" w:hAnsi="Times New Roman;sans-serif"/>
          <w:b w:val="false"/>
          <w:color w:val="000000"/>
          <w:sz w:val="20"/>
        </w:rPr>
        <w:t>); and (b) terminating on the earlier to occur of (i) the occurrence of an Event of Default, and (ii) the first month-end measured thereafter in which Borrower fails to maintain the Streamline Balance, as determined by Bank in its commercially reasonable discretion. Upon the termination of a Streamline Period, Borrower shall maintain the Streamline Balance each month end for one (1) fiscal quarter, as determined by Bank in its commercially reasonable discretion, prior to entering into a subsequent Streamline Period. Borrower shall give Bank prior written notice of Borrower’s election to enter into any such Streamline Period, and each such Streamline Period shall commence on the first (1st) day of the monthly period following the date Bank determines, in its commercially reasonable discretion, that the Streamline Balance has been achieved.</w:t>
      </w:r>
    </w:p>
    <w:p>
      <w:pPr>
        <w:pStyle w:val="TextBody"/>
        <w:spacing w:before="9"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Subordinated Debt</w:t>
      </w:r>
      <w:r>
        <w:rPr>
          <w:color w:val="000000"/>
        </w:rPr>
        <w:t xml:space="preserve">” </w:t>
      </w:r>
      <w:r>
        <w:rPr>
          <w:rFonts w:ascii="Times New Roman;sans-serif" w:hAnsi="Times New Roman;sans-serif"/>
          <w:b w:val="false"/>
          <w:color w:val="000000"/>
          <w:sz w:val="20"/>
        </w:rPr>
        <w:t>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 For the avoidance of doubt, Permitted Convertible Debt shall not constitute Subordinated Debt.</w:t>
      </w:r>
    </w:p>
    <w:p>
      <w:pPr>
        <w:pStyle w:val="TextBody"/>
        <w:spacing w:before="9"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Taxes</w:t>
      </w:r>
      <w:r>
        <w:rPr>
          <w:color w:val="000000"/>
        </w:rPr>
        <w:t xml:space="preserve">” </w:t>
      </w:r>
      <w:r>
        <w:rPr>
          <w:rFonts w:ascii="Times New Roman;sans-serif" w:hAnsi="Times New Roman;sans-serif"/>
          <w:b w:val="false"/>
          <w:color w:val="000000"/>
          <w:sz w:val="20"/>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spacing w:before="11" w:after="283"/>
        <w:rPr/>
      </w:pPr>
      <w:r>
        <w:rPr/>
      </w:r>
    </w:p>
    <w:p>
      <w:pPr>
        <w:pStyle w:val="TextBody"/>
        <w:spacing w:lineRule="auto" w:line="566" w:before="0" w:after="0"/>
        <w:rPr/>
      </w:pPr>
      <w:r>
        <w:rPr>
          <w:color w:val="000000"/>
        </w:rPr>
        <w:t>“</w:t>
      </w:r>
      <w:r>
        <w:rPr>
          <w:rFonts w:ascii="Times New Roman;sans-serif" w:hAnsi="Times New Roman;sans-serif"/>
          <w:b/>
          <w:color w:val="000000"/>
          <w:sz w:val="20"/>
        </w:rPr>
        <w:t>Term Loan Advance</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4">
        <w:r>
          <w:rPr>
            <w:rStyle w:val="InternetLink"/>
            <w:rFonts w:ascii="Times New Roman;sans-serif" w:hAnsi="Times New Roman;sans-serif"/>
            <w:b w:val="false"/>
            <w:strike w:val="false"/>
            <w:dstrike w:val="false"/>
            <w:color w:val="000000"/>
            <w:sz w:val="20"/>
            <w:u w:val="none"/>
            <w:effect w:val="none"/>
          </w:rPr>
          <w:t>1.1</w:t>
        </w:r>
      </w:hyperlink>
      <w:r>
        <w:rPr>
          <w:rFonts w:ascii="Times New Roman;sans-serif" w:hAnsi="Times New Roman;sans-serif"/>
          <w:b w:val="false"/>
          <w:color w:val="000000"/>
          <w:sz w:val="20"/>
        </w:rPr>
        <w:t>(a) of this Agreement. “</w:t>
      </w:r>
      <w:r>
        <w:rPr>
          <w:rFonts w:ascii="Times New Roman;sans-serif" w:hAnsi="Times New Roman;sans-serif"/>
          <w:b/>
          <w:color w:val="000000"/>
          <w:sz w:val="20"/>
        </w:rPr>
        <w:t>Term Loan Amortization Date</w:t>
      </w:r>
      <w:r>
        <w:rPr>
          <w:color w:val="000000"/>
        </w:rPr>
        <w:t xml:space="preserve">” </w:t>
      </w:r>
      <w:r>
        <w:rPr>
          <w:rFonts w:ascii="Times New Roman;sans-serif" w:hAnsi="Times New Roman;sans-serif"/>
          <w:b w:val="false"/>
          <w:color w:val="000000"/>
          <w:sz w:val="20"/>
        </w:rPr>
        <w:t>is set forth on Schedule I hereto.</w:t>
      </w:r>
    </w:p>
    <w:p>
      <w:pPr>
        <w:pStyle w:val="TextBody"/>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568" w:before="0" w:after="0"/>
        <w:rPr/>
      </w:pPr>
      <w:r>
        <w:rPr>
          <w:color w:val="000000"/>
        </w:rPr>
        <w:t>“</w:t>
      </w:r>
      <w:r>
        <w:rPr>
          <w:rFonts w:ascii="Times New Roman;sans-serif" w:hAnsi="Times New Roman;sans-serif"/>
          <w:b/>
          <w:color w:val="000000"/>
          <w:sz w:val="20"/>
        </w:rPr>
        <w:t>Term Loan Availability Amount</w:t>
      </w:r>
      <w:r>
        <w:rPr>
          <w:color w:val="000000"/>
        </w:rPr>
        <w:t xml:space="preserve">” </w:t>
      </w:r>
      <w:r>
        <w:rPr>
          <w:rFonts w:ascii="Times New Roman;sans-serif" w:hAnsi="Times New Roman;sans-serif"/>
          <w:b w:val="false"/>
          <w:color w:val="000000"/>
          <w:sz w:val="20"/>
        </w:rPr>
        <w:t>is set forth on Schedule I hereto. “</w:t>
      </w:r>
      <w:r>
        <w:rPr>
          <w:rFonts w:ascii="Times New Roman;sans-serif" w:hAnsi="Times New Roman;sans-serif"/>
          <w:b/>
          <w:color w:val="000000"/>
          <w:sz w:val="20"/>
        </w:rPr>
        <w:t>Term Loan Maturity Date</w:t>
      </w:r>
      <w:r>
        <w:rPr>
          <w:color w:val="000000"/>
        </w:rPr>
        <w:t xml:space="preserve">” </w:t>
      </w:r>
      <w:r>
        <w:rPr>
          <w:rFonts w:ascii="Times New Roman;sans-serif" w:hAnsi="Times New Roman;sans-serif"/>
          <w:b w:val="false"/>
          <w:color w:val="000000"/>
          <w:sz w:val="20"/>
        </w:rPr>
        <w:t>is set forth on Schedule I hereto. “</w:t>
      </w:r>
      <w:r>
        <w:rPr>
          <w:rFonts w:ascii="Times New Roman;sans-serif" w:hAnsi="Times New Roman;sans-serif"/>
          <w:b/>
          <w:color w:val="000000"/>
          <w:sz w:val="20"/>
        </w:rPr>
        <w:t>Termination Fee</w:t>
      </w:r>
      <w:r>
        <w:rPr>
          <w:color w:val="000000"/>
        </w:rPr>
        <w:t xml:space="preserve">” </w:t>
      </w:r>
      <w:r>
        <w:rPr>
          <w:rFonts w:ascii="Times New Roman;sans-serif" w:hAnsi="Times New Roman;sans-serif"/>
          <w:b w:val="false"/>
          <w:color w:val="000000"/>
          <w:sz w:val="20"/>
        </w:rPr>
        <w:t>is defined in Section 1.3(c).</w:t>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Total Liabilities</w:t>
      </w:r>
      <w:r>
        <w:rPr>
          <w:color w:val="000000"/>
        </w:rPr>
        <w:t xml:space="preserve">” </w:t>
      </w:r>
      <w:r>
        <w:rPr>
          <w:rFonts w:ascii="Times New Roman;sans-serif" w:hAnsi="Times New Roman;sans-serif"/>
          <w:b w:val="false"/>
          <w:color w:val="000000"/>
          <w:sz w:val="20"/>
        </w:rPr>
        <w:t>is on any day, obligations that should, under GAAP, be classified as liabilities on Borrower’s consolidated balance sheet, including all Indebtedness, but excluding all Subordinated Debt.</w:t>
      </w:r>
    </w:p>
    <w:p>
      <w:pPr>
        <w:pStyle w:val="TextBody"/>
        <w:spacing w:before="5"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Trademarks</w:t>
      </w:r>
      <w:r>
        <w:rPr>
          <w:color w:val="000000"/>
        </w:rPr>
        <w:t xml:space="preserve">” </w:t>
      </w:r>
      <w:r>
        <w:rPr>
          <w:rFonts w:ascii="Times New Roman;sans-serif" w:hAnsi="Times New Roman;sans-serif"/>
          <w:b w:val="false"/>
          <w:color w:val="000000"/>
          <w:sz w:val="20"/>
        </w:rPr>
        <w:t>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0"/>
        </w:rPr>
        <w:t>Transfer</w:t>
      </w:r>
      <w:r>
        <w:rPr>
          <w:color w:val="000000"/>
        </w:rPr>
        <w:t xml:space="preserve">” </w:t>
      </w:r>
      <w:r>
        <w:rPr>
          <w:rFonts w:ascii="Times New Roman;sans-serif" w:hAnsi="Times New Roman;sans-serif"/>
          <w:b w:val="false"/>
          <w:color w:val="000000"/>
          <w:sz w:val="20"/>
        </w:rPr>
        <w:t xml:space="preserve">is defined in Section </w:t>
      </w:r>
      <w:hyperlink w:anchor="i37efde9015094164b274aef726ee5ee2_10">
        <w:r>
          <w:rPr>
            <w:rStyle w:val="InternetLink"/>
            <w:rFonts w:ascii="Times New Roman;sans-serif" w:hAnsi="Times New Roman;sans-serif"/>
            <w:b w:val="false"/>
            <w:strike w:val="false"/>
            <w:dstrike w:val="false"/>
            <w:color w:val="000000"/>
            <w:sz w:val="20"/>
            <w:u w:val="none"/>
            <w:effect w:val="none"/>
          </w:rPr>
          <w:t>6.1.</w:t>
        </w:r>
      </w:hyperlink>
    </w:p>
    <w:p>
      <w:pPr>
        <w:pStyle w:val="TextBody"/>
        <w:spacing w:before="8" w:after="283"/>
        <w:rPr/>
      </w:pPr>
      <w:r>
        <w:rPr/>
      </w:r>
    </w:p>
    <w:p>
      <w:pPr>
        <w:pStyle w:val="TextBody"/>
        <w:spacing w:lineRule="auto" w:line="240" w:before="0" w:after="0"/>
        <w:rPr/>
      </w:pPr>
      <w:r>
        <w:rPr>
          <w:color w:val="000000"/>
        </w:rPr>
        <w:t>“</w:t>
      </w:r>
      <w:r>
        <w:rPr>
          <w:rFonts w:ascii="Times New Roman;sans-serif" w:hAnsi="Times New Roman;sans-serif"/>
          <w:b/>
          <w:color w:val="000000"/>
          <w:sz w:val="20"/>
        </w:rPr>
        <w:t>Uncommitted Accordion</w:t>
      </w:r>
      <w:r>
        <w:rPr>
          <w:color w:val="000000"/>
        </w:rPr>
        <w:t xml:space="preserve">” </w:t>
      </w:r>
      <w:r>
        <w:rPr>
          <w:rFonts w:ascii="Times New Roman;sans-serif" w:hAnsi="Times New Roman;sans-serif"/>
          <w:b w:val="false"/>
          <w:color w:val="000000"/>
          <w:sz w:val="20"/>
        </w:rPr>
        <w:t>is defined in Section 1.1(a) of this Agreement.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USA Patriot Act</w:t>
      </w:r>
      <w:r>
        <w:rPr>
          <w:color w:val="000000"/>
        </w:rPr>
        <w:t xml:space="preserve">” </w:t>
      </w:r>
      <w:r>
        <w:rPr>
          <w:rFonts w:ascii="Times New Roman;sans-serif" w:hAnsi="Times New Roman;sans-serif"/>
          <w:b w:val="false"/>
          <w:color w:val="000000"/>
          <w:sz w:val="20"/>
        </w:rPr>
        <w:t>means the “Uniting and Strengthening America by Providing Appropriate Tools Required to Intercept and Obstruct Terrorism Act of 2001” (Public Law 107-56, signed into law on October 26, 2001), as amended from time to time.</w:t>
      </w:r>
    </w:p>
    <w:p>
      <w:pPr>
        <w:pStyle w:val="TextBody"/>
        <w:spacing w:before="0" w:after="0"/>
        <w:rPr/>
      </w:pPr>
      <w:r>
        <w:rPr/>
      </w:r>
    </w:p>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follows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hereto have caused this Agreement to be executed as of the Effective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Date.</w:t>
      </w:r>
    </w:p>
    <w:p>
      <w:pPr>
        <w:pStyle w:val="TextBody"/>
        <w:spacing w:before="0" w:after="0"/>
        <w:rPr/>
      </w:pPr>
      <w:r>
        <w:rPr/>
      </w:r>
    </w:p>
    <w:p>
      <w:pPr>
        <w:pStyle w:val="TextBody"/>
        <w:spacing w:lineRule="auto" w:line="240" w:before="91" w:after="283"/>
        <w:rPr>
          <w:rFonts w:ascii="Times New Roman;sans-serif" w:hAnsi="Times New Roman;sans-serif"/>
          <w:b/>
          <w:color w:val="000000"/>
          <w:sz w:val="20"/>
        </w:rPr>
      </w:pPr>
      <w:r>
        <w:rPr>
          <w:rFonts w:ascii="Times New Roman;sans-serif" w:hAnsi="Times New Roman;sans-serif"/>
          <w:b/>
          <w:color w:val="000000"/>
          <w:sz w:val="20"/>
        </w:rPr>
        <w:t>BORROWER:</w:t>
      </w:r>
    </w:p>
    <w:p>
      <w:pPr>
        <w:pStyle w:val="TextBody"/>
        <w:spacing w:before="8" w:after="283"/>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spacing w:before="0" w:after="0"/>
        <w:rPr/>
      </w:pPr>
      <w:r>
        <w:rPr/>
      </w:r>
    </w:p>
    <w:p>
      <w:pPr>
        <w:pStyle w:val="TextBody"/>
        <w:spacing w:before="0" w:after="0"/>
        <w:rPr/>
      </w:pPr>
      <w:r>
        <w:rPr/>
      </w:r>
    </w:p>
    <w:p>
      <w:pPr>
        <w:pStyle w:val="TextBody"/>
        <w:spacing w:before="9" w:after="283"/>
        <w:rPr/>
      </w:pPr>
      <w:r>
        <w:rPr/>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By: /s/ Anshul Maheshwari</w:t>
      </w:r>
    </w:p>
    <w:p>
      <w:pPr>
        <w:pStyle w:val="TextBody"/>
        <w:spacing w:before="11" w:after="283"/>
        <w:rPr/>
      </w:pPr>
      <w:r>
        <w:rPr/>
      </w:r>
    </w:p>
    <w:p>
      <w:pPr>
        <w:pStyle w:val="TextBody"/>
        <w:spacing w:lineRule="auto" w:line="240" w:before="91" w:after="283"/>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Anshul Maheshwari</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Chief Financial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BANK:</w:t>
      </w:r>
    </w:p>
    <w:p>
      <w:pPr>
        <w:pStyle w:val="TextBody"/>
        <w:spacing w:before="10" w:after="283"/>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SILICON VALLEY BANK</w:t>
      </w:r>
    </w:p>
    <w:p>
      <w:pPr>
        <w:pStyle w:val="TextBody"/>
        <w:spacing w:before="0" w:after="0"/>
        <w:rPr/>
      </w:pPr>
      <w:r>
        <w:rPr/>
      </w:r>
    </w:p>
    <w:p>
      <w:pPr>
        <w:pStyle w:val="TextBody"/>
        <w:spacing w:before="0" w:after="0"/>
        <w:rPr/>
      </w:pPr>
      <w:r>
        <w:rPr/>
      </w:r>
    </w:p>
    <w:p>
      <w:pPr>
        <w:pStyle w:val="TextBody"/>
        <w:spacing w:before="9" w:after="283"/>
        <w:rPr/>
      </w:pPr>
      <w:r>
        <w:rPr/>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By: /s/ Mark Davis</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Mark Davis</w:t>
      </w:r>
    </w:p>
    <w:p>
      <w:pPr>
        <w:pStyle w:val="TextBody"/>
        <w:spacing w:before="9" w:after="283"/>
        <w:rPr/>
      </w:pPr>
      <w:r>
        <w:rPr/>
      </w:r>
    </w:p>
    <w:p>
      <w:pPr>
        <w:pStyle w:val="TextBody"/>
        <w:spacing w:lineRule="auto" w:line="240" w:before="91" w:after="283"/>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Vice President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3" w:after="283"/>
        <w:rPr/>
      </w:pPr>
      <w:r>
        <w:rPr/>
      </w:r>
    </w:p>
    <w:p>
      <w:pPr>
        <w:pStyle w:val="TextBody"/>
        <w:spacing w:lineRule="auto" w:line="240" w:before="9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Loan and Security Agreement</w:t>
      </w:r>
    </w:p>
    <w:p>
      <w:pPr>
        <w:pStyle w:val="TextBody"/>
        <w:spacing w:before="8"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783590"/>
                <wp:effectExtent l="0" t="0" r="0" b="0"/>
                <wp:wrapNone/>
                <wp:docPr id="125" name="Frame125"/>
                <a:graphic xmlns:a="http://schemas.openxmlformats.org/drawingml/2006/main">
                  <a:graphicData uri="http://schemas.microsoft.com/office/word/2010/wordprocessingShape">
                    <wps:wsp>
                      <wps:cNvSpPr txBox="1"/>
                      <wps:spPr>
                        <a:xfrm>
                          <a:off x="0" y="0"/>
                          <a:ext cx="6480175" cy="78359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I</w:t>
      </w:r>
    </w:p>
    <w:p>
      <w:pPr>
        <w:pStyle w:val="TextBody"/>
        <w:spacing w:before="0" w:after="0"/>
        <w:rPr/>
      </w:pPr>
      <w:r>
        <w:rPr/>
      </w:r>
    </w:p>
    <w:p>
      <w:pPr>
        <w:pStyle w:val="TextBody"/>
        <w:spacing w:lineRule="auto" w:line="240" w:before="9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LSA PROVISIONS</w:t>
      </w:r>
    </w:p>
    <w:p>
      <w:pPr>
        <w:pStyle w:val="TextBody"/>
        <w:spacing w:before="0" w:after="0"/>
        <w:rPr/>
      </w:pPr>
      <w:r>
        <w:rPr/>
      </w:r>
    </w:p>
    <w:p>
      <w:pPr>
        <w:pStyle w:val="TextBody"/>
        <w:spacing w:before="0" w:after="0"/>
        <w:rPr/>
      </w:pPr>
      <w:r>
        <w:rPr/>
      </w:r>
    </w:p>
    <w:p>
      <w:pPr>
        <w:pStyle w:val="TextBody"/>
        <w:spacing w:before="6" w:after="283"/>
        <w:rPr/>
      </w:pPr>
      <w:r>
        <w:rPr/>
      </w:r>
    </w:p>
    <w:tbl>
      <w:tblPr>
        <w:tblW w:w="10205" w:type="dxa"/>
        <w:jc w:val="left"/>
        <w:tblInd w:w="0" w:type="dxa"/>
        <w:tblCellMar>
          <w:top w:w="28" w:type="dxa"/>
          <w:left w:w="28" w:type="dxa"/>
          <w:bottom w:w="28" w:type="dxa"/>
          <w:right w:w="28" w:type="dxa"/>
        </w:tblCellMar>
      </w:tblPr>
      <w:tblGrid>
        <w:gridCol w:w="737"/>
        <w:gridCol w:w="618"/>
        <w:gridCol w:w="625"/>
        <w:gridCol w:w="2555"/>
        <w:gridCol w:w="2337"/>
        <w:gridCol w:w="3333"/>
      </w:tblGrid>
      <w:tr>
        <w:trPr/>
        <w:tc>
          <w:tcPr>
            <w:tcW w:w="73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c>
          <w:tcPr>
            <w:tcW w:w="2337" w:type="dxa"/>
            <w:tcBorders/>
            <w:shd w:fill="auto" w:val="clear"/>
            <w:vAlign w:val="center"/>
          </w:tcPr>
          <w:p>
            <w:pPr>
              <w:pStyle w:val="TableContents"/>
              <w:spacing w:before="0" w:after="283"/>
              <w:rPr>
                <w:sz w:val="4"/>
                <w:szCs w:val="4"/>
              </w:rPr>
            </w:pPr>
            <w:r>
              <w:rPr>
                <w:sz w:val="4"/>
                <w:szCs w:val="4"/>
              </w:rPr>
            </w:r>
          </w:p>
        </w:tc>
        <w:tc>
          <w:tcPr>
            <w:tcW w:w="3333"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2"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Section</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2"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Provision</w:t>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1.1A(a) – Revolving Line - Availability</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Revolving Line may be prepaid or repaid and, prior to the Revolving Line Maturity Date, reborrowed, subject to the applicable terms and conditions precedent herein, without penalty or premium.</w:t>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hyperlink w:anchor="i37efde9015094164b274aef726ee5ee2_4">
              <w:r>
                <w:rPr>
                  <w:rStyle w:val="InternetLink"/>
                  <w:rFonts w:ascii="Times New Roman;sans-serif" w:hAnsi="Times New Roman;sans-serif"/>
                  <w:b w:val="false"/>
                  <w:strike w:val="false"/>
                  <w:dstrike w:val="false"/>
                  <w:color w:val="000000"/>
                  <w:sz w:val="20"/>
                  <w:u w:val="none"/>
                  <w:effect w:val="none"/>
                </w:rPr>
                <w:t>1.1(a)</w:t>
              </w:r>
            </w:hyperlink>
            <w:r>
              <w:rPr>
                <w:rFonts w:ascii="Times New Roman;sans-serif" w:hAnsi="Times New Roman;sans-serif"/>
                <w:b w:val="false"/>
                <w:color w:val="000000"/>
                <w:sz w:val="20"/>
              </w:rPr>
              <w:t xml:space="preserve"> – Term Loan – Availability</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Term Loan Advance must be in an amount equal to the initial Term Loan Availability Amount available on the First Amendment Effective Date (excluding the Uncommitted Accordion, for the avoidance of doubt). After repayment, the Term Loan Advance (or any portion thereof) may not be reborrowed.</w:t>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hyperlink w:anchor="i37efde9015094164b274aef726ee5ee2_4">
              <w:r>
                <w:rPr>
                  <w:rStyle w:val="InternetLink"/>
                  <w:rFonts w:ascii="Times New Roman;sans-serif" w:hAnsi="Times New Roman;sans-serif"/>
                  <w:b w:val="false"/>
                  <w:strike w:val="false"/>
                  <w:dstrike w:val="false"/>
                  <w:color w:val="000000"/>
                  <w:sz w:val="20"/>
                  <w:u w:val="none"/>
                  <w:effect w:val="none"/>
                </w:rPr>
                <w:t>1.1(b)</w:t>
              </w:r>
            </w:hyperlink>
            <w:r>
              <w:rPr>
                <w:rFonts w:ascii="Times New Roman;sans-serif" w:hAnsi="Times New Roman;sans-serif"/>
                <w:b w:val="false"/>
                <w:color w:val="000000"/>
                <w:sz w:val="20"/>
              </w:rPr>
              <w:t xml:space="preserve"> – Term Loan – Repayment</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Commencing on the Term Loan Amortization Date, and continuing on each Payment Date thereafter until the Term Loan Advance is paid in full, Borrower shall repay the outstanding Term Loan Advance in (i) thirty (30) equal monthly installments of principal, plus (ii) monthly payments of accrued interest in accordance with Section 1.2(a)(ii) at the rate set forth in Section </w:t>
            </w:r>
            <w:hyperlink w:anchor="i37efde9015094164b274aef726ee5ee2_7">
              <w:r>
                <w:rPr>
                  <w:rStyle w:val="InternetLink"/>
                  <w:rFonts w:ascii="Times New Roman;sans-serif" w:hAnsi="Times New Roman;sans-serif"/>
                  <w:b w:val="false"/>
                  <w:strike w:val="false"/>
                  <w:dstrike w:val="false"/>
                  <w:color w:val="000000"/>
                  <w:sz w:val="20"/>
                  <w:u w:val="none"/>
                  <w:effect w:val="none"/>
                </w:rPr>
                <w:t>1.2(b)(iii).</w:t>
              </w:r>
            </w:hyperlink>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1.2(a)(i) – Interest Payments - Advances</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the outstanding principal amount of each Advance is payable in arrears monthly (A) on each Payment Date, (B) on the date of any prepayment and (C) on the Revolving Line Maturity Date.</w:t>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1.2(a)(ii) – Interest Payments – Term Loan Advances</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the outstanding principal amount of the Term Loan Advance is payable in arrears monthly (i) on each Payment Date commencing on the first Payment Date following the Funding Date of each such Term Loan Advance, (ii) on the date of any prepayment of the Term Loan Advance, and (iii) on the Term Loan Maturity Date.</w:t>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1.2(b)(i) – Interest Rate - Advances</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amount of any Advance shall accrue interest at a floating rate per annum equal to the greater of (A) six and one quarter of one percent (6.25%) and (B) the Prime Rate plus the applicable Prime Rate Margin, which interest shall be payable in accordance with Section 1.2(a)(i).</w:t>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1.2(b)(ii) – Interest Rate – Term Loan Advances</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The outstanding principal amount of the Term Loan Advance shall accrue interest at a floating rate per annum equal to the greater of (A) six and three quarters of one percent (6.75%) and (B) the Prime Rate plus the applicable Prime Rate Margin, which interest shall be payable in accordance with Section </w:t>
            </w:r>
            <w:hyperlink w:anchor="i37efde9015094164b274aef726ee5ee2_7">
              <w:r>
                <w:rPr>
                  <w:rStyle w:val="InternetLink"/>
                  <w:rFonts w:ascii="Times New Roman;sans-serif" w:hAnsi="Times New Roman;sans-serif"/>
                  <w:b w:val="false"/>
                  <w:strike w:val="false"/>
                  <w:dstrike w:val="false"/>
                  <w:color w:val="000000"/>
                  <w:sz w:val="20"/>
                  <w:u w:val="none"/>
                  <w:effect w:val="none"/>
                </w:rPr>
                <w:t>1.2(a)</w:t>
              </w:r>
            </w:hyperlink>
            <w:r>
              <w:rPr>
                <w:rFonts w:ascii="Times New Roman;sans-serif" w:hAnsi="Times New Roman;sans-serif"/>
                <w:b w:val="false"/>
                <w:color w:val="000000"/>
                <w:sz w:val="20"/>
              </w:rPr>
              <w:t>(ii).</w:t>
            </w:r>
          </w:p>
        </w:tc>
      </w:tr>
      <w:tr>
        <w:trPr/>
        <w:tc>
          <w:tcPr>
            <w:tcW w:w="19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1.2(e) – Interest Computation</w:t>
            </w:r>
          </w:p>
        </w:tc>
        <w:tc>
          <w:tcPr>
            <w:tcW w:w="822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shall be computed on the basis of the actual number of days elapsed and a 360-day year for any Credit Extension outstanding.</w:t>
            </w:r>
          </w:p>
        </w:tc>
      </w:tr>
      <w:tr>
        <w:trPr/>
        <w:tc>
          <w:tcPr>
            <w:tcW w:w="1980"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1.3(c) – Revolving Line Commitment Fee</w:t>
            </w:r>
          </w:p>
        </w:tc>
        <w:tc>
          <w:tcPr>
            <w:tcW w:w="822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fully earned, non-refundable commitment fee of (i) Seventy-Five Thousand Dollars ($75,000) on the First Amendment Effective Date, (ii)</w:t>
            </w:r>
          </w:p>
          <w:p>
            <w:pPr>
              <w:pStyle w:val="TableContents"/>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Seventy-Five Thousand Dollars ($75,000) on the first anniversary of the</w:t>
            </w:r>
          </w:p>
        </w:tc>
      </w:tr>
    </w:tbl>
    <w:p>
      <w:pPr>
        <w:pStyle w:val="TextBody"/>
        <w:spacing w:before="5" w:after="283"/>
        <w:rPr/>
      </w:pPr>
      <w:r>
        <w:rPr/>
      </w:r>
    </w:p>
    <w:p>
      <w:pPr>
        <w:pStyle w:val="TextBody"/>
        <w:spacing w:lineRule="auto" w:line="240" w:before="9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783590"/>
                <wp:effectExtent l="0" t="0" r="0" b="0"/>
                <wp:wrapNone/>
                <wp:docPr id="126" name="Frame126"/>
                <a:graphic xmlns:a="http://schemas.openxmlformats.org/drawingml/2006/main">
                  <a:graphicData uri="http://schemas.microsoft.com/office/word/2010/wordprocessingShape">
                    <wps:wsp>
                      <wps:cNvSpPr txBox="1"/>
                      <wps:spPr>
                        <a:xfrm>
                          <a:off x="0" y="0"/>
                          <a:ext cx="6480175" cy="78359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9" w:after="283"/>
        <w:rPr/>
      </w:pPr>
      <w:r>
        <w:rPr/>
      </w:r>
    </w:p>
    <w:tbl>
      <w:tblPr>
        <w:tblW w:w="10205" w:type="dxa"/>
        <w:jc w:val="left"/>
        <w:tblInd w:w="0" w:type="dxa"/>
        <w:tblCellMar>
          <w:top w:w="28" w:type="dxa"/>
          <w:left w:w="28" w:type="dxa"/>
          <w:bottom w:w="28" w:type="dxa"/>
          <w:right w:w="28" w:type="dxa"/>
        </w:tblCellMar>
      </w:tblPr>
      <w:tblGrid>
        <w:gridCol w:w="613"/>
        <w:gridCol w:w="445"/>
        <w:gridCol w:w="411"/>
        <w:gridCol w:w="2748"/>
        <w:gridCol w:w="2490"/>
        <w:gridCol w:w="3498"/>
      </w:tblGrid>
      <w:tr>
        <w:trPr/>
        <w:tc>
          <w:tcPr>
            <w:tcW w:w="61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2490" w:type="dxa"/>
            <w:tcBorders/>
            <w:shd w:fill="auto" w:val="clear"/>
            <w:vAlign w:val="center"/>
          </w:tcPr>
          <w:p>
            <w:pPr>
              <w:pStyle w:val="TableContents"/>
              <w:spacing w:before="0" w:after="283"/>
              <w:rPr>
                <w:sz w:val="4"/>
                <w:szCs w:val="4"/>
              </w:rPr>
            </w:pPr>
            <w:r>
              <w:rPr>
                <w:sz w:val="4"/>
                <w:szCs w:val="4"/>
              </w:rPr>
            </w:r>
          </w:p>
        </w:tc>
        <w:tc>
          <w:tcPr>
            <w:tcW w:w="3498"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Section</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Provision</w:t>
            </w:r>
          </w:p>
        </w:tc>
      </w:tr>
      <w:tr>
        <w:trPr/>
        <w:tc>
          <w:tcPr>
            <w:tcW w:w="1469"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First Amendment Effective Date, and (iii) Thirty-Seven Thousand Five Hundred ($37,500) on the second anniversary of the First Amendment Effective Date.</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hyperlink w:anchor="i37efde9015094164b274aef726ee5ee2_25">
              <w:r>
                <w:rPr>
                  <w:rStyle w:val="InternetLink"/>
                  <w:rFonts w:ascii="Times New Roman;sans-serif" w:hAnsi="Times New Roman;sans-serif"/>
                  <w:b w:val="false"/>
                  <w:strike w:val="false"/>
                  <w:dstrike w:val="false"/>
                  <w:color w:val="000000"/>
                  <w:sz w:val="20"/>
                  <w:u w:val="none"/>
                  <w:effect w:val="none"/>
                </w:rPr>
                <w:t>12.2</w:t>
              </w:r>
            </w:hyperlink>
            <w:r>
              <w:rPr>
                <w:rFonts w:ascii="Times New Roman;sans-serif" w:hAnsi="Times New Roman;sans-serif"/>
                <w:b w:val="false"/>
                <w:color w:val="000000"/>
                <w:sz w:val="20"/>
              </w:rPr>
              <w:t xml:space="preserve"> – “Borrower”</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Borrower</w:t>
            </w:r>
            <w:r>
              <w:rPr>
                <w:color w:val="000000"/>
              </w:rPr>
              <w:t xml:space="preserve">” </w:t>
            </w:r>
            <w:r>
              <w:rPr>
                <w:rFonts w:ascii="Times New Roman;sans-serif" w:hAnsi="Times New Roman;sans-serif"/>
                <w:b w:val="false"/>
                <w:color w:val="000000"/>
                <w:sz w:val="20"/>
              </w:rPr>
              <w:t xml:space="preserve">means (i) </w:t>
            </w:r>
            <w:r>
              <w:rPr>
                <w:rFonts w:ascii="Times New Roman;sans-serif" w:hAnsi="Times New Roman;sans-serif"/>
                <w:b/>
                <w:color w:val="000000"/>
                <w:sz w:val="20"/>
              </w:rPr>
              <w:t>SI-BONE, INC.</w:t>
            </w:r>
            <w:r>
              <w:rPr>
                <w:rFonts w:ascii="Times New Roman;sans-serif" w:hAnsi="Times New Roman;sans-serif"/>
                <w:b w:val="false"/>
                <w:color w:val="000000"/>
                <w:sz w:val="20"/>
              </w:rPr>
              <w:t>, a Delaware corporation.</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hyperlink w:anchor="i37efde9015094164b274aef726ee5ee2_25">
              <w:r>
                <w:rPr>
                  <w:rStyle w:val="InternetLink"/>
                  <w:rFonts w:ascii="Times New Roman;sans-serif" w:hAnsi="Times New Roman;sans-serif"/>
                  <w:b w:val="false"/>
                  <w:strike w:val="false"/>
                  <w:dstrike w:val="false"/>
                  <w:color w:val="000000"/>
                  <w:sz w:val="20"/>
                  <w:u w:val="none"/>
                  <w:effect w:val="none"/>
                </w:rPr>
                <w:t>12.2</w:t>
              </w:r>
            </w:hyperlink>
            <w:r>
              <w:rPr>
                <w:rFonts w:ascii="Times New Roman;sans-serif" w:hAnsi="Times New Roman;sans-serif"/>
                <w:b w:val="false"/>
                <w:color w:val="000000"/>
                <w:sz w:val="20"/>
              </w:rPr>
              <w:t xml:space="preserve"> – “Effective Date”</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is August 12, 2021.</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hyperlink w:anchor="i37efde9015094164b274aef726ee5ee2_25">
              <w:r>
                <w:rPr>
                  <w:rStyle w:val="InternetLink"/>
                  <w:rFonts w:ascii="Times New Roman;sans-serif" w:hAnsi="Times New Roman;sans-serif"/>
                  <w:b w:val="false"/>
                  <w:strike w:val="false"/>
                  <w:dstrike w:val="false"/>
                  <w:color w:val="000000"/>
                  <w:sz w:val="20"/>
                  <w:u w:val="none"/>
                  <w:effect w:val="none"/>
                </w:rPr>
                <w:t>12.2</w:t>
              </w:r>
            </w:hyperlink>
            <w:r>
              <w:rPr>
                <w:rFonts w:ascii="Times New Roman;sans-serif" w:hAnsi="Times New Roman;sans-serif"/>
                <w:b w:val="false"/>
                <w:color w:val="000000"/>
                <w:sz w:val="20"/>
              </w:rPr>
              <w:t xml:space="preserve"> – “Payment Date”</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pPr>
            <w:r>
              <w:rPr>
                <w:color w:val="000000"/>
              </w:rPr>
              <w:t>“</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is (a) with respect to Term Loan Advances, the first (1st) calendar day of each month and (b) with respect to Advances, the last calendar day of each month.</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hyperlink w:anchor="i37efde9015094164b274aef726ee5ee2_25">
              <w:r>
                <w:rPr>
                  <w:rStyle w:val="InternetLink"/>
                  <w:rFonts w:ascii="Times New Roman;sans-serif" w:hAnsi="Times New Roman;sans-serif"/>
                  <w:b w:val="false"/>
                  <w:strike w:val="false"/>
                  <w:dstrike w:val="false"/>
                  <w:color w:val="000000"/>
                  <w:sz w:val="20"/>
                  <w:u w:val="none"/>
                  <w:effect w:val="none"/>
                </w:rPr>
                <w:t>12.2</w:t>
              </w:r>
            </w:hyperlink>
            <w:r>
              <w:rPr>
                <w:rFonts w:ascii="Times New Roman;sans-serif" w:hAnsi="Times New Roman;sans-serif"/>
                <w:b w:val="false"/>
                <w:color w:val="000000"/>
                <w:sz w:val="20"/>
              </w:rPr>
              <w:t xml:space="preserve"> – “Prime Rate”</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pPr>
            <w:r>
              <w:rPr>
                <w:color w:val="000000"/>
              </w:rPr>
              <w:t>“</w:t>
            </w:r>
            <w:r>
              <w:rPr>
                <w:rFonts w:ascii="Times New Roman;sans-serif" w:hAnsi="Times New Roman;sans-serif"/>
                <w:b/>
                <w:color w:val="000000"/>
                <w:sz w:val="20"/>
              </w:rPr>
              <w:t>Prime Rate</w:t>
            </w:r>
            <w:r>
              <w:rPr>
                <w:color w:val="000000"/>
              </w:rPr>
              <w:t xml:space="preserve">” </w:t>
            </w:r>
            <w:r>
              <w:rPr>
                <w:rFonts w:ascii="Times New Roman;sans-serif" w:hAnsi="Times New Roman;sans-serif"/>
                <w:b w:val="false"/>
                <w:color w:val="000000"/>
                <w:sz w:val="20"/>
              </w:rPr>
              <w:t xml:space="preserve">is the rate of interest per annum from time to time published in the money rates section of </w:t>
            </w:r>
            <w:r>
              <w:rPr>
                <w:rFonts w:ascii="Times New Roman;sans-serif" w:hAnsi="Times New Roman;sans-serif"/>
                <w:b w:val="false"/>
                <w:color w:val="000000"/>
                <w:sz w:val="20"/>
                <w:u w:val="single"/>
              </w:rPr>
              <w:t>The Wall Street Journal</w:t>
            </w:r>
            <w:r>
              <w:rPr>
                <w:color w:val="000000"/>
              </w:rPr>
              <w:t xml:space="preserve"> </w:t>
            </w:r>
            <w:r>
              <w:rPr>
                <w:rFonts w:ascii="Times New Roman;sans-serif" w:hAnsi="Times New Roman;sans-serif"/>
                <w:b w:val="false"/>
                <w:color w:val="000000"/>
                <w:sz w:val="20"/>
              </w:rPr>
              <w:t xml:space="preserve">or any successor publication thereto as the “prime rate” then in effect; provided that if such rate of interest, as set forth from time to time in the money rates section of </w:t>
            </w:r>
            <w:r>
              <w:rPr>
                <w:rFonts w:ascii="Times New Roman;sans-serif" w:hAnsi="Times New Roman;sans-serif"/>
                <w:b w:val="false"/>
                <w:color w:val="000000"/>
                <w:sz w:val="20"/>
                <w:u w:val="single"/>
              </w:rPr>
              <w:t>The Wall Street Journal</w:t>
            </w:r>
            <w:r>
              <w:rPr>
                <w:rFonts w:ascii="Times New Roman;sans-serif" w:hAnsi="Times New Roman;sans-serif"/>
                <w:b w:val="false"/>
                <w:color w:val="000000"/>
                <w:sz w:val="20"/>
              </w:rPr>
              <w:t>,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percent (0.0%) per annum, such rate shall be deemed to be zero percent (0.0%) per annum for purposes of this Agreement.</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pPr>
            <w:hyperlink w:anchor="i37efde9015094164b274aef726ee5ee2_25">
              <w:r>
                <w:rPr>
                  <w:rStyle w:val="InternetLink"/>
                  <w:rFonts w:ascii="Times New Roman;sans-serif" w:hAnsi="Times New Roman;sans-serif"/>
                  <w:b w:val="false"/>
                  <w:strike w:val="false"/>
                  <w:dstrike w:val="false"/>
                  <w:color w:val="000000"/>
                  <w:sz w:val="20"/>
                  <w:u w:val="none"/>
                  <w:effect w:val="none"/>
                </w:rPr>
                <w:t>12.2</w:t>
              </w:r>
            </w:hyperlink>
            <w:r>
              <w:rPr>
                <w:rFonts w:ascii="Times New Roman;sans-serif" w:hAnsi="Times New Roman;sans-serif"/>
                <w:b w:val="false"/>
                <w:color w:val="000000"/>
                <w:sz w:val="20"/>
              </w:rPr>
              <w:t xml:space="preserve"> – “Prime Rate Margin”</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Prime Rate Margin</w:t>
            </w:r>
            <w:r>
              <w:rPr>
                <w:color w:val="000000"/>
              </w:rPr>
              <w:t xml:space="preserve">” </w:t>
            </w:r>
            <w:r>
              <w:rPr>
                <w:rFonts w:ascii="Times New Roman;sans-serif" w:hAnsi="Times New Roman;sans-serif"/>
                <w:b w:val="false"/>
                <w:color w:val="000000"/>
                <w:sz w:val="20"/>
              </w:rPr>
              <w:t>is (a) for Advances, (i) zero percent (0.00%), and</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for Term Loan Advances, one half of one percent (0.50%).</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“Revolving Line”</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Revolving Line</w:t>
            </w:r>
            <w:r>
              <w:rPr>
                <w:color w:val="000000"/>
              </w:rPr>
              <w:t xml:space="preserve">” </w:t>
            </w:r>
            <w:r>
              <w:rPr>
                <w:rFonts w:ascii="Times New Roman;sans-serif" w:hAnsi="Times New Roman;sans-serif"/>
                <w:b w:val="false"/>
                <w:color w:val="000000"/>
                <w:sz w:val="20"/>
              </w:rPr>
              <w:t>is an aggregate principal amount equal to Fifteen Million Dollars ($15,000,000).</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“Term Loan Amortization Date”</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Term Loan Amortization Date</w:t>
            </w:r>
            <w:r>
              <w:rPr>
                <w:color w:val="000000"/>
              </w:rPr>
              <w:t xml:space="preserve">” </w:t>
            </w:r>
            <w:r>
              <w:rPr>
                <w:rFonts w:ascii="Times New Roman;sans-serif" w:hAnsi="Times New Roman;sans-serif"/>
                <w:b w:val="false"/>
                <w:color w:val="000000"/>
                <w:sz w:val="20"/>
              </w:rPr>
              <w:t>is July 1, 2025.</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“Revolving Line Maturity Date”</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Revolving Line Maturity Date</w:t>
            </w:r>
            <w:r>
              <w:rPr>
                <w:color w:val="000000"/>
              </w:rPr>
              <w:t xml:space="preserve">” </w:t>
            </w:r>
            <w:r>
              <w:rPr>
                <w:rFonts w:ascii="Times New Roman;sans-serif" w:hAnsi="Times New Roman;sans-serif"/>
                <w:b w:val="false"/>
                <w:color w:val="000000"/>
                <w:sz w:val="20"/>
              </w:rPr>
              <w:t>is the date that is thirty (30) months after the First Amendment Effective Date.</w:t>
            </w:r>
          </w:p>
        </w:tc>
      </w:tr>
      <w:tr>
        <w:trPr/>
        <w:tc>
          <w:tcPr>
            <w:tcW w:w="146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“Term Loan Availability Amount”</w:t>
            </w:r>
          </w:p>
        </w:tc>
        <w:tc>
          <w:tcPr>
            <w:tcW w:w="873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both"/>
              <w:rPr/>
            </w:pPr>
            <w:r>
              <w:rPr>
                <w:color w:val="000000"/>
              </w:rPr>
              <w:t>“</w:t>
            </w:r>
            <w:r>
              <w:rPr>
                <w:rFonts w:ascii="Times New Roman;sans-serif" w:hAnsi="Times New Roman;sans-serif"/>
                <w:b/>
                <w:color w:val="000000"/>
                <w:sz w:val="20"/>
              </w:rPr>
              <w:t>Term Loan Availability Amount</w:t>
            </w:r>
            <w:r>
              <w:rPr>
                <w:color w:val="000000"/>
              </w:rPr>
              <w:t xml:space="preserve">” </w:t>
            </w:r>
            <w:r>
              <w:rPr>
                <w:rFonts w:ascii="Times New Roman;sans-serif" w:hAnsi="Times New Roman;sans-serif"/>
                <w:b w:val="false"/>
                <w:color w:val="000000"/>
                <w:sz w:val="20"/>
              </w:rPr>
              <w:t>is Thirty-Six Million Dollars ($36,000,000); provided however, upon Borrower’s request, if Bank, in its sole and absolute discretion, grant Borrower’s request to make the Uncommitted Accordion available to Borrower, then “</w:t>
            </w:r>
            <w:r>
              <w:rPr>
                <w:rFonts w:ascii="Times New Roman;sans-serif" w:hAnsi="Times New Roman;sans-serif"/>
                <w:b/>
                <w:color w:val="000000"/>
                <w:sz w:val="20"/>
              </w:rPr>
              <w:t>Term Loan Availability Amount</w:t>
            </w:r>
            <w:r>
              <w:rPr>
                <w:color w:val="000000"/>
              </w:rPr>
              <w:t xml:space="preserve">” </w:t>
            </w:r>
            <w:r>
              <w:rPr>
                <w:rFonts w:ascii="Times New Roman;sans-serif" w:hAnsi="Times New Roman;sans-serif"/>
                <w:b w:val="false"/>
                <w:color w:val="000000"/>
                <w:sz w:val="20"/>
              </w:rPr>
              <w:t>shall mean an aggregate principal amount equal to Fifty-One Million Dollars ($51,000,000).</w:t>
            </w:r>
          </w:p>
        </w:tc>
      </w:tr>
      <w:tr>
        <w:trPr/>
        <w:tc>
          <w:tcPr>
            <w:tcW w:w="146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pPr>
            <w:hyperlink w:anchor="i37efde9015094164b274aef726ee5ee2_25">
              <w:r>
                <w:rPr>
                  <w:rStyle w:val="InternetLink"/>
                  <w:rFonts w:ascii="Times New Roman;sans-serif" w:hAnsi="Times New Roman;sans-serif"/>
                  <w:b w:val="false"/>
                  <w:strike w:val="false"/>
                  <w:dstrike w:val="false"/>
                  <w:color w:val="000000"/>
                  <w:sz w:val="20"/>
                  <w:u w:val="none"/>
                  <w:effect w:val="none"/>
                </w:rPr>
                <w:t>12.2</w:t>
              </w:r>
            </w:hyperlink>
            <w:r>
              <w:rPr>
                <w:rFonts w:ascii="Times New Roman;sans-serif" w:hAnsi="Times New Roman;sans-serif"/>
                <w:b w:val="false"/>
                <w:color w:val="000000"/>
                <w:sz w:val="20"/>
              </w:rPr>
              <w:t xml:space="preserve"> – “Term Loan Maturity Date”</w:t>
            </w:r>
          </w:p>
        </w:tc>
        <w:tc>
          <w:tcPr>
            <w:tcW w:w="8736"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Term Loan Maturity Date</w:t>
            </w:r>
            <w:r>
              <w:rPr>
                <w:color w:val="000000"/>
              </w:rPr>
              <w:t xml:space="preserve">” </w:t>
            </w:r>
            <w:r>
              <w:rPr>
                <w:rFonts w:ascii="Times New Roman;sans-serif" w:hAnsi="Times New Roman;sans-serif"/>
                <w:b w:val="false"/>
                <w:color w:val="000000"/>
                <w:sz w:val="20"/>
              </w:rPr>
              <w:t>is December 1, 2027.</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9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I-2</w:t>
      </w:r>
    </w:p>
    <w:p>
      <w:pPr>
        <w:pStyle w:val="TextBody"/>
        <w:spacing w:before="1"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783590"/>
                <wp:effectExtent l="0" t="0" r="0" b="0"/>
                <wp:wrapNone/>
                <wp:docPr id="127" name="Frame127"/>
                <a:graphic xmlns:a="http://schemas.openxmlformats.org/drawingml/2006/main">
                  <a:graphicData uri="http://schemas.microsoft.com/office/word/2010/wordprocessingShape">
                    <wps:wsp>
                      <wps:cNvSpPr txBox="1"/>
                      <wps:spPr>
                        <a:xfrm>
                          <a:off x="0" y="0"/>
                          <a:ext cx="6480175" cy="78359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lineRule="auto" w:line="240" w:before="9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spacing w:before="0" w:after="0"/>
        <w:rPr/>
      </w:pPr>
      <w:r>
        <w:rPr/>
      </w:r>
    </w:p>
    <w:p>
      <w:pPr>
        <w:pStyle w:val="TextBody"/>
        <w:spacing w:lineRule="auto" w:line="240" w:before="91"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COMPLIANCE STATEMENT</w:t>
      </w:r>
    </w:p>
    <w:p>
      <w:pPr>
        <w:pStyle w:val="TextBody"/>
        <w:spacing w:before="9" w:after="283"/>
        <w:rPr/>
      </w:pPr>
      <w:r>
        <w:rPr/>
      </w:r>
    </w:p>
    <w:p>
      <w:pPr>
        <w:pStyle w:val="TextBody"/>
        <w:spacing w:lineRule="auto" w:line="240" w:before="91" w:after="283"/>
        <w:rPr/>
      </w:pPr>
      <w:r>
        <w:rPr>
          <w:rFonts w:ascii="Times New Roman;sans-serif" w:hAnsi="Times New Roman;sans-serif"/>
          <w:b w:val="false"/>
          <w:color w:val="000000"/>
          <w:sz w:val="20"/>
        </w:rPr>
        <w:t xml:space="preserve">TO:    SILICON VALLEY BANK    Date: </w:t>
      </w:r>
      <w:r>
        <w:rPr>
          <w:color w:val="000000"/>
          <w:u w:val="single"/>
        </w:rPr>
        <w:t>    </w:t>
      </w:r>
      <w:r>
        <w:rPr>
          <w:color w:val="000000"/>
        </w:rPr>
        <w:t xml:space="preserve"> </w:t>
      </w:r>
      <w:r>
        <w:rPr>
          <w:rFonts w:ascii="Times New Roman;sans-serif" w:hAnsi="Times New Roman;sans-serif"/>
          <w:b w:val="false"/>
          <w:color w:val="000000"/>
          <w:sz w:val="20"/>
        </w:rPr>
        <w:t>FROM:    SI-BONE, INC.</w:t>
      </w:r>
    </w:p>
    <w:p>
      <w:pPr>
        <w:pStyle w:val="TextBody"/>
        <w:spacing w:before="1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Under the terms and conditions of the Loan and Security Agreement between Borrower and Bank (as amended, modified, supplemented and/or restated from time to time,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Borrower is in complete compliance for the period ending </w:t>
      </w:r>
      <w:r>
        <w:rPr>
          <w:color w:val="000000"/>
          <w:u w:val="single"/>
        </w:rPr>
        <w:t>    </w:t>
      </w:r>
      <w:r>
        <w:rPr>
          <w:rFonts w:ascii="Times New Roman;sans-serif" w:hAnsi="Times New Roman;sans-serif"/>
          <w:b w:val="false"/>
          <w:color w:val="000000"/>
          <w:sz w:val="20"/>
        </w:rPr>
        <w:t>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(and except for with respect to unaudited financial statements for the absence of footnotes and subject to year-end audit adjustments). Capitalized terms used but not otherwise defined herein shall have the meanings given them in the Agreement.</w:t>
      </w:r>
    </w:p>
    <w:p>
      <w:pPr>
        <w:pStyle w:val="TextBody"/>
        <w:spacing w:before="11" w:after="283"/>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Please indicate compliance status by circling Yes/No under “Complies” column.</w:t>
      </w:r>
    </w:p>
    <w:p>
      <w:pPr>
        <w:pStyle w:val="TextBody"/>
        <w:spacing w:before="7" w:after="283"/>
        <w:rPr/>
      </w:pPr>
      <w:r>
        <w:rPr/>
      </w:r>
    </w:p>
    <w:tbl>
      <w:tblPr>
        <w:tblW w:w="10205" w:type="dxa"/>
        <w:jc w:val="left"/>
        <w:tblInd w:w="0" w:type="dxa"/>
        <w:tblCellMar>
          <w:top w:w="28" w:type="dxa"/>
          <w:left w:w="28" w:type="dxa"/>
          <w:bottom w:w="28" w:type="dxa"/>
          <w:right w:w="28" w:type="dxa"/>
        </w:tblCellMar>
      </w:tblPr>
      <w:tblGrid>
        <w:gridCol w:w="1339"/>
        <w:gridCol w:w="1104"/>
        <w:gridCol w:w="1111"/>
        <w:gridCol w:w="1958"/>
        <w:gridCol w:w="1837"/>
        <w:gridCol w:w="1845"/>
        <w:gridCol w:w="295"/>
        <w:gridCol w:w="295"/>
        <w:gridCol w:w="421"/>
      </w:tblGrid>
      <w:tr>
        <w:trPr/>
        <w:tc>
          <w:tcPr>
            <w:tcW w:w="133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r>
      <w:tr>
        <w:trPr/>
        <w:tc>
          <w:tcPr>
            <w:tcW w:w="35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28" w:before="0" w:after="0"/>
              <w:jc w:val="left"/>
              <w:rPr>
                <w:rFonts w:ascii="Times New Roman;sans-serif" w:hAnsi="Times New Roman;sans-serif"/>
                <w:b/>
                <w:color w:val="000000"/>
                <w:sz w:val="20"/>
              </w:rPr>
            </w:pPr>
            <w:r>
              <w:rPr>
                <w:rFonts w:ascii="Times New Roman;sans-serif" w:hAnsi="Times New Roman;sans-serif"/>
                <w:b/>
                <w:color w:val="000000"/>
                <w:sz w:val="20"/>
              </w:rPr>
              <w:t>Reporting Covenants</w:t>
            </w:r>
          </w:p>
        </w:tc>
        <w:tc>
          <w:tcPr>
            <w:tcW w:w="56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28" w:before="0" w:after="0"/>
              <w:jc w:val="center"/>
              <w:rPr>
                <w:rFonts w:ascii="Times New Roman;sans-serif" w:hAnsi="Times New Roman;sans-serif"/>
                <w:b/>
                <w:color w:val="000000"/>
                <w:sz w:val="20"/>
              </w:rPr>
            </w:pPr>
            <w:r>
              <w:rPr>
                <w:rFonts w:ascii="Times New Roman;sans-serif" w:hAnsi="Times New Roman;sans-serif"/>
                <w:b/>
                <w:color w:val="000000"/>
                <w:sz w:val="20"/>
              </w:rPr>
              <w:t>Required</w:t>
            </w:r>
          </w:p>
        </w:tc>
        <w:tc>
          <w:tcPr>
            <w:tcW w:w="10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28" w:before="0" w:after="0"/>
              <w:jc w:val="center"/>
              <w:rPr>
                <w:rFonts w:ascii="Times New Roman;sans-serif" w:hAnsi="Times New Roman;sans-serif"/>
                <w:b/>
                <w:color w:val="000000"/>
                <w:sz w:val="20"/>
              </w:rPr>
            </w:pPr>
            <w:r>
              <w:rPr>
                <w:rFonts w:ascii="Times New Roman;sans-serif" w:hAnsi="Times New Roman;sans-serif"/>
                <w:b/>
                <w:color w:val="000000"/>
                <w:sz w:val="20"/>
              </w:rPr>
              <w:t>Complies</w:t>
            </w:r>
          </w:p>
        </w:tc>
      </w:tr>
      <w:tr>
        <w:trPr/>
        <w:tc>
          <w:tcPr>
            <w:tcW w:w="3554" w:type="dxa"/>
            <w:gridSpan w:val="3"/>
            <w:tcBorders>
              <w:top w:val="double" w:sz="5" w:space="0" w:color="000000"/>
              <w:left w:val="single" w:sz="4" w:space="0" w:color="000000"/>
            </w:tcBorders>
            <w:shd w:fill="auto" w:val="clear"/>
            <w:tcMar>
              <w:top w:w="30" w:type="dxa"/>
              <w:bottom w:w="0" w:type="dxa"/>
              <w:right w:w="0" w:type="dxa"/>
            </w:tcMar>
            <w:vAlign w:val="center"/>
          </w:tcPr>
          <w:p>
            <w:pPr>
              <w:pStyle w:val="TableContents"/>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Quarterly Financial Statements with</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Statement</w:t>
            </w:r>
          </w:p>
        </w:tc>
        <w:tc>
          <w:tcPr>
            <w:tcW w:w="5640" w:type="dxa"/>
            <w:gridSpan w:val="3"/>
            <w:tcBorders>
              <w:top w:val="double" w:sz="5" w:space="0" w:color="000000"/>
              <w:left w:val="single" w:sz="4" w:space="0" w:color="000000"/>
            </w:tcBorders>
            <w:shd w:fill="auto" w:val="clear"/>
            <w:tcMar>
              <w:top w:w="30" w:type="dxa"/>
              <w:bottom w:w="0" w:type="dxa"/>
              <w:right w:w="0" w:type="dxa"/>
            </w:tcMar>
            <w:vAlign w:val="center"/>
          </w:tcPr>
          <w:p>
            <w:pPr>
              <w:pStyle w:val="TableContents"/>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Quarterly within 45 days and</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FYE within 90 days</w:t>
            </w:r>
          </w:p>
        </w:tc>
        <w:tc>
          <w:tcPr>
            <w:tcW w:w="1011" w:type="dxa"/>
            <w:gridSpan w:val="3"/>
            <w:tcBorders>
              <w:top w:val="double" w:sz="5"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5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35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 financial statements (CPA Audited)</w:t>
            </w:r>
          </w:p>
        </w:tc>
        <w:tc>
          <w:tcPr>
            <w:tcW w:w="56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FYE within 180 days</w:t>
            </w:r>
          </w:p>
        </w:tc>
        <w:tc>
          <w:tcPr>
            <w:tcW w:w="10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35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10-Q, 10-K and 8-K</w:t>
            </w:r>
          </w:p>
        </w:tc>
        <w:tc>
          <w:tcPr>
            <w:tcW w:w="56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5 Business Days after filing with SEC</w:t>
            </w:r>
          </w:p>
        </w:tc>
        <w:tc>
          <w:tcPr>
            <w:tcW w:w="10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 N/A</w:t>
            </w:r>
          </w:p>
        </w:tc>
      </w:tr>
      <w:tr>
        <w:trPr/>
        <w:tc>
          <w:tcPr>
            <w:tcW w:w="35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approved projections</w:t>
            </w:r>
          </w:p>
        </w:tc>
        <w:tc>
          <w:tcPr>
            <w:tcW w:w="56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FYE within 30 days and within 30 days, as amended/updated, in each case as approved by the</w:t>
            </w:r>
          </w:p>
          <w:p>
            <w:pPr>
              <w:pStyle w:val="TableContents"/>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10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35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Borrowing Base Reports</w:t>
            </w:r>
          </w:p>
        </w:tc>
        <w:tc>
          <w:tcPr>
            <w:tcW w:w="56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5"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Advances are outstanding or are being requested, weekly on Friday of each week if an Streamline Period is not in effect; monthly within 30 days of month</w:t>
            </w:r>
          </w:p>
          <w:p>
            <w:pPr>
              <w:pStyle w:val="TableContents"/>
              <w:spacing w:lineRule="auto" w:line="240" w:before="6"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if and Streamline Period</w:t>
            </w:r>
          </w:p>
          <w:p>
            <w:pPr>
              <w:pStyle w:val="TableContents"/>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 in effect; and with each Advance</w:t>
            </w:r>
          </w:p>
        </w:tc>
        <w:tc>
          <w:tcPr>
            <w:tcW w:w="10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3554"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 &amp; A/P Agings and Deferred Revenue reports</w:t>
            </w:r>
          </w:p>
        </w:tc>
        <w:tc>
          <w:tcPr>
            <w:tcW w:w="564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When Advances are outstanding or are being requested, monthly within 30 days</w:t>
            </w:r>
          </w:p>
        </w:tc>
        <w:tc>
          <w:tcPr>
            <w:tcW w:w="101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3554"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Have there been any material amendments to the Operating Documents of Borrower? If yes,</w:t>
            </w:r>
          </w:p>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provide copies of any such amendments or changes with this Compliance Statement</w:t>
            </w:r>
          </w:p>
        </w:tc>
        <w:tc>
          <w:tcPr>
            <w:tcW w:w="5640" w:type="dxa"/>
            <w:gridSpan w:val="3"/>
            <w:tcBorders>
              <w:top w:val="single" w:sz="4" w:space="0" w:color="000000"/>
              <w:left w:val="single" w:sz="4" w:space="0" w:color="000000"/>
              <w:bottom w:val="single" w:sz="4" w:space="0" w:color="000000"/>
            </w:tcBorders>
            <w:shd w:fill="auto" w:val="clear"/>
            <w:tcMar>
              <w:top w:w="30" w:type="dxa"/>
              <w:left w:w="128"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11"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bl>
    <w:p>
      <w:pPr>
        <w:pStyle w:val="TextBody"/>
        <w:spacing w:before="0" w:after="0"/>
        <w:rPr/>
      </w:pPr>
      <w:r>
        <w:rPr/>
      </w:r>
    </w:p>
    <w:tbl>
      <w:tblPr>
        <w:tblW w:w="7740" w:type="dxa"/>
        <w:jc w:val="left"/>
        <w:tblInd w:w="0" w:type="dxa"/>
        <w:tblCellMar>
          <w:top w:w="28" w:type="dxa"/>
          <w:left w:w="28" w:type="dxa"/>
          <w:bottom w:w="28" w:type="dxa"/>
          <w:right w:w="28" w:type="dxa"/>
        </w:tblCellMar>
      </w:tblPr>
      <w:tblGrid>
        <w:gridCol w:w="2521"/>
        <w:gridCol w:w="2212"/>
        <w:gridCol w:w="2226"/>
        <w:gridCol w:w="228"/>
        <w:gridCol w:w="228"/>
        <w:gridCol w:w="325"/>
      </w:tblGrid>
      <w:tr>
        <w:trPr/>
        <w:tc>
          <w:tcPr>
            <w:tcW w:w="2521" w:type="dxa"/>
            <w:tcBorders/>
            <w:shd w:fill="auto" w:val="clear"/>
            <w:vAlign w:val="center"/>
          </w:tcPr>
          <w:p>
            <w:pPr>
              <w:pStyle w:val="TableContents"/>
              <w:spacing w:before="0" w:after="283"/>
              <w:rPr>
                <w:sz w:val="4"/>
                <w:szCs w:val="4"/>
              </w:rPr>
            </w:pPr>
            <w:r>
              <w:rPr>
                <w:sz w:val="4"/>
                <w:szCs w:val="4"/>
              </w:rPr>
            </w:r>
          </w:p>
        </w:tc>
        <w:tc>
          <w:tcPr>
            <w:tcW w:w="2212"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695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7"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Streamline Period</w:t>
            </w:r>
          </w:p>
          <w:p>
            <w:pPr>
              <w:pStyle w:val="TableContents"/>
              <w:spacing w:lineRule="auto" w:line="333" w:before="0" w:after="0"/>
              <w:ind w:left="0" w:right="0" w:hanging="480"/>
              <w:jc w:val="left"/>
              <w:rPr>
                <w:rFonts w:ascii="Times New Roman;sans-serif" w:hAnsi="Times New Roman;sans-serif"/>
                <w:b w:val="false"/>
                <w:color w:val="000000"/>
                <w:sz w:val="20"/>
              </w:rPr>
            </w:pPr>
            <w:r>
              <w:rPr>
                <w:rFonts w:ascii="Times New Roman;sans-serif" w:hAnsi="Times New Roman;sans-serif"/>
                <w:b w:val="false"/>
                <w:color w:val="000000"/>
                <w:sz w:val="20"/>
              </w:rPr>
              <w:t>(Measured only when Advances are outstanding or are being requested by Borrower)</w:t>
            </w:r>
          </w:p>
        </w:tc>
        <w:tc>
          <w:tcPr>
            <w:tcW w:w="781" w:type="dxa"/>
            <w:gridSpan w:val="3"/>
            <w:tcBorders>
              <w:top w:val="single" w:sz="4" w:space="0" w:color="000000"/>
              <w:left w:val="single" w:sz="4" w:space="0" w:color="000000"/>
              <w:right w:val="single" w:sz="4" w:space="0" w:color="000000"/>
            </w:tcBorders>
            <w:shd w:fill="auto" w:val="clear"/>
            <w:tcMar>
              <w:top w:w="30" w:type="dxa"/>
              <w:left w:w="1102"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Applies</w:t>
            </w:r>
          </w:p>
        </w:tc>
      </w:tr>
      <w:tr>
        <w:trPr/>
        <w:tc>
          <w:tcPr>
            <w:tcW w:w="695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56" w:before="5"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Quick Ratio &gt; 1.50 to 1.00</w:t>
            </w:r>
          </w:p>
        </w:tc>
        <w:tc>
          <w:tcPr>
            <w:tcW w:w="781"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56" w:before="5"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6959" w:type="dxa"/>
            <w:gridSpan w:val="3"/>
            <w:tcBorders>
              <w:left w:val="single" w:sz="4" w:space="0" w:color="000000"/>
              <w:bottom w:val="single" w:sz="4" w:space="0" w:color="000000"/>
            </w:tcBorders>
            <w:shd w:fill="auto" w:val="clear"/>
            <w:tcMar>
              <w:top w:w="0" w:type="dxa"/>
              <w:bottom w:w="30" w:type="dxa"/>
              <w:right w:w="0" w:type="dxa"/>
            </w:tcMar>
            <w:vAlign w:val="center"/>
          </w:tcPr>
          <w:p>
            <w:pPr>
              <w:pStyle w:val="TableContents"/>
              <w:spacing w:lineRule="auto" w:line="256" w:before="5"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Quick Ratio &lt; 1.50 to 1.00</w:t>
            </w:r>
          </w:p>
        </w:tc>
        <w:tc>
          <w:tcPr>
            <w:tcW w:w="781"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56" w:before="5"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bl>
    <w:p>
      <w:pPr>
        <w:pStyle w:val="TextBody"/>
        <w:spacing w:before="0" w:after="0"/>
        <w:rPr/>
      </w:pPr>
      <w:r>
        <w:rPr/>
      </w:r>
    </w:p>
    <w:p>
      <w:pPr>
        <w:pStyle w:val="TextBody"/>
        <w:spacing w:before="5"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783590"/>
                <wp:effectExtent l="0" t="0" r="0" b="0"/>
                <wp:wrapNone/>
                <wp:docPr id="128" name="Frame128"/>
                <a:graphic xmlns:a="http://schemas.openxmlformats.org/drawingml/2006/main">
                  <a:graphicData uri="http://schemas.microsoft.com/office/word/2010/wordprocessingShape">
                    <wps:wsp>
                      <wps:cNvSpPr txBox="1"/>
                      <wps:spPr>
                        <a:xfrm>
                          <a:off x="0" y="0"/>
                          <a:ext cx="6480175" cy="78359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lineRule="auto" w:line="240" w:before="91"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financial covenant analyses and information set forth in Schedule 1 attached hereto are true and correct as of the date of this Compliance Statement.</w:t>
      </w:r>
    </w:p>
    <w:p>
      <w:pPr>
        <w:pStyle w:val="TextBody"/>
        <w:spacing w:before="9" w:after="283"/>
        <w:rPr/>
      </w:pPr>
      <w:r>
        <w:rPr/>
      </w:r>
    </w:p>
    <w:p>
      <w:pPr>
        <w:pStyle w:val="TextBody"/>
        <w:spacing w:lineRule="auto" w:line="240"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are the exceptions with respect to the statements above: (If no exceptions exist, state “No exceptions to note.”)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5" w:after="283"/>
        <w:rPr>
          <w:rFonts w:ascii="Times New Roman;sans-serif" w:hAnsi="Times New Roman;sans-serif"/>
          <w:b w:val="false"/>
          <w:color w:val="000000"/>
          <w:sz w:val="20"/>
        </w:rPr>
      </w:pPr>
      <w:r>
        <w:rPr>
          <w:rFonts w:ascii="Times New Roman;sans-serif" w:hAnsi="Times New Roman;sans-serif"/>
          <w:b w:val="false"/>
          <w:color w:val="000000"/>
          <w:sz w:val="20"/>
        </w:rPr>
        <w:t>SI-Bone, INC.</w:t>
      </w:r>
    </w:p>
    <w:p>
      <w:pPr>
        <w:pStyle w:val="TextBody"/>
        <w:spacing w:before="0" w:after="0"/>
        <w:rPr/>
      </w:pPr>
      <w:r>
        <w:rPr/>
      </w:r>
    </w:p>
    <w:p>
      <w:pPr>
        <w:pStyle w:val="TextBody"/>
        <w:spacing w:before="7" w:after="283"/>
        <w:rPr/>
      </w:pPr>
      <w:r>
        <w:rPr/>
      </w:r>
    </w:p>
    <w:p>
      <w:pPr>
        <w:pStyle w:val="TextBody"/>
        <w:spacing w:lineRule="auto" w:line="288" w:before="0" w:after="0"/>
        <w:jc w:val="both"/>
        <w:rPr/>
      </w:pPr>
      <w:r>
        <w:rPr>
          <w:rFonts w:ascii="Times New Roman;sans-serif" w:hAnsi="Times New Roman;sans-serif"/>
          <w:b w:val="false"/>
          <w:color w:val="000000"/>
          <w:sz w:val="20"/>
        </w:rPr>
        <w:t xml:space="preserve">By: </w:t>
      </w:r>
      <w:r>
        <w:rPr>
          <w:color w:val="000000"/>
          <w:u w:val="single"/>
        </w:rPr>
        <w:t>    </w:t>
      </w:r>
      <w:r>
        <w:rPr>
          <w:color w:val="000000"/>
        </w:rPr>
        <w:t xml:space="preserve"> </w:t>
      </w:r>
      <w:r>
        <w:rPr>
          <w:rFonts w:ascii="Times New Roman;sans-serif" w:hAnsi="Times New Roman;sans-serif"/>
          <w:b w:val="false"/>
          <w:color w:val="000000"/>
          <w:sz w:val="20"/>
        </w:rPr>
        <w:t xml:space="preserve">Name: </w:t>
      </w:r>
      <w:r>
        <w:rPr>
          <w:color w:val="000000"/>
          <w:u w:val="single"/>
        </w:rPr>
        <w:t>    </w:t>
      </w:r>
      <w:r>
        <w:rPr>
          <w:color w:val="000000"/>
        </w:rPr>
        <w:t xml:space="preserve"> </w:t>
      </w:r>
      <w:r>
        <w:rPr>
          <w:rFonts w:ascii="Times New Roman;sans-serif" w:hAnsi="Times New Roman;sans-serif"/>
          <w:b w:val="false"/>
          <w:color w:val="000000"/>
          <w:sz w:val="20"/>
        </w:rPr>
        <w:t xml:space="preserve">Title: </w:t>
      </w:r>
      <w:r>
        <w:rPr>
          <w:color w:val="000000"/>
          <w:u w:val="single"/>
        </w:rPr>
        <w:t>    </w:t>
      </w:r>
    </w:p>
    <w:p>
      <w:pPr>
        <w:pStyle w:val="TextBody"/>
        <w:spacing w:before="5" w:after="283"/>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BANK USE ONLY</w:t>
      </w:r>
    </w:p>
    <w:p>
      <w:pPr>
        <w:pStyle w:val="TextBody"/>
        <w:spacing w:before="9" w:after="283"/>
        <w:rPr/>
      </w:pPr>
      <w:r>
        <w:rPr/>
      </w:r>
    </w:p>
    <w:p>
      <w:pPr>
        <w:pStyle w:val="TextBody"/>
        <w:spacing w:lineRule="auto" w:line="240" w:before="0" w:after="0"/>
        <w:rPr/>
      </w:pPr>
      <w:r>
        <w:rPr>
          <w:rFonts w:ascii="Times New Roman;sans-serif" w:hAnsi="Times New Roman;sans-serif"/>
          <w:b w:val="false"/>
          <w:color w:val="000000"/>
          <w:sz w:val="20"/>
        </w:rPr>
        <w:t xml:space="preserve">Received by: </w:t>
      </w:r>
      <w:r>
        <w:rPr>
          <w:color w:val="000000"/>
          <w:u w:val="single"/>
        </w:rPr>
        <w:t>    </w:t>
      </w:r>
    </w:p>
    <w:p>
      <w:pPr>
        <w:pStyle w:val="TextBody"/>
        <w:spacing w:lineRule="auto" w:line="240" w:before="47"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AUTHORIZED SIGNER</w:t>
      </w:r>
    </w:p>
    <w:p>
      <w:pPr>
        <w:pStyle w:val="TextBody"/>
        <w:spacing w:lineRule="auto" w:line="240" w:before="19" w:after="283"/>
        <w:rPr/>
      </w:pPr>
      <w:r>
        <w:rPr>
          <w:rFonts w:ascii="Times New Roman;sans-serif" w:hAnsi="Times New Roman;sans-serif"/>
          <w:b w:val="false"/>
          <w:color w:val="000000"/>
          <w:sz w:val="20"/>
        </w:rPr>
        <w:t xml:space="preserve">Date: </w:t>
      </w:r>
      <w:r>
        <w:rPr>
          <w:color w:val="000000"/>
          <w:u w:val="single"/>
        </w:rPr>
        <w:t>    </w:t>
      </w:r>
    </w:p>
    <w:p>
      <w:pPr>
        <w:pStyle w:val="TextBody"/>
        <w:spacing w:before="8" w:after="283"/>
        <w:rPr/>
      </w:pPr>
      <w:r>
        <w:rPr/>
      </w:r>
    </w:p>
    <w:p>
      <w:pPr>
        <w:pStyle w:val="TextBody"/>
        <w:spacing w:lineRule="auto" w:line="240" w:before="0" w:after="0"/>
        <w:rPr/>
      </w:pPr>
      <w:r>
        <w:rPr>
          <w:rFonts w:ascii="Times New Roman;sans-serif" w:hAnsi="Times New Roman;sans-serif"/>
          <w:b w:val="false"/>
          <w:color w:val="000000"/>
          <w:sz w:val="20"/>
        </w:rPr>
        <w:t xml:space="preserve">Verified: </w:t>
      </w:r>
      <w:r>
        <w:rPr>
          <w:color w:val="000000"/>
          <w:u w:val="single"/>
        </w:rPr>
        <w:t>    </w:t>
      </w:r>
    </w:p>
    <w:p>
      <w:pPr>
        <w:pStyle w:val="TextBody"/>
        <w:spacing w:lineRule="auto" w:line="240" w:before="48"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AUTHORIZED SIGNER</w:t>
      </w:r>
    </w:p>
    <w:p>
      <w:pPr>
        <w:pStyle w:val="TextBody"/>
        <w:spacing w:lineRule="auto" w:line="240" w:before="18" w:after="283"/>
        <w:rPr/>
      </w:pPr>
      <w:r>
        <w:rPr>
          <w:rFonts w:ascii="Times New Roman;sans-serif" w:hAnsi="Times New Roman;sans-serif"/>
          <w:b w:val="false"/>
          <w:color w:val="000000"/>
          <w:sz w:val="20"/>
        </w:rPr>
        <w:t xml:space="preserve">Date: </w:t>
      </w:r>
      <w:r>
        <w:rPr>
          <w:color w:val="000000"/>
          <w:u w:val="single"/>
        </w:rPr>
        <w:t>    </w:t>
      </w:r>
    </w:p>
    <w:p>
      <w:pPr>
        <w:pStyle w:val="TextBody"/>
        <w:spacing w:before="10" w:after="283"/>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Compliance Status:    Yes    No</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783590"/>
                <wp:effectExtent l="0" t="0" r="0" b="0"/>
                <wp:wrapNone/>
                <wp:docPr id="129" name="Frame129"/>
                <a:graphic xmlns:a="http://schemas.openxmlformats.org/drawingml/2006/main">
                  <a:graphicData uri="http://schemas.microsoft.com/office/word/2010/wordprocessingShape">
                    <wps:wsp>
                      <wps:cNvSpPr txBox="1"/>
                      <wps:spPr>
                        <a:xfrm>
                          <a:off x="0" y="0"/>
                          <a:ext cx="6480175" cy="78359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lineRule="auto" w:line="240" w:before="9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1 to Compliance Statement</w:t>
      </w:r>
    </w:p>
    <w:p>
      <w:pPr>
        <w:pStyle w:val="TextBody"/>
        <w:spacing w:before="5" w:after="283"/>
        <w:rPr/>
      </w:pPr>
      <w:r>
        <w:rPr/>
      </w:r>
    </w:p>
    <w:p>
      <w:pPr>
        <w:pStyle w:val="TextBody"/>
        <w:spacing w:lineRule="auto" w:line="240" w:before="9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Financial Covenants of Borrower</w:t>
      </w:r>
    </w:p>
    <w:p>
      <w:pPr>
        <w:pStyle w:val="TextBody"/>
        <w:spacing w:before="5" w:after="283"/>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In the event of a conflict between this Schedule and the Agreement, the terms of the Agreement shall govern.</w:t>
      </w:r>
    </w:p>
    <w:p>
      <w:pPr>
        <w:pStyle w:val="TextBody"/>
        <w:spacing w:before="8" w:after="283"/>
        <w:rPr/>
      </w:pPr>
      <w:r>
        <w:rPr/>
      </w:r>
    </w:p>
    <w:p>
      <w:pPr>
        <w:pStyle w:val="TextBody"/>
        <w:spacing w:lineRule="auto" w:line="240" w:before="0" w:after="0"/>
        <w:rPr/>
      </w:pPr>
      <w:r>
        <w:rPr>
          <w:rFonts w:ascii="Times New Roman;sans-serif" w:hAnsi="Times New Roman;sans-serif"/>
          <w:b w:val="false"/>
          <w:color w:val="000000"/>
          <w:sz w:val="20"/>
        </w:rPr>
        <w:t>I.    </w:t>
      </w:r>
      <w:r>
        <w:rPr>
          <w:rFonts w:ascii="Times New Roman;sans-serif" w:hAnsi="Times New Roman;sans-serif"/>
          <w:b/>
          <w:color w:val="000000"/>
          <w:sz w:val="20"/>
        </w:rPr>
        <w:t xml:space="preserve">Minimum Net Revenue </w:t>
      </w:r>
      <w:r>
        <w:rPr>
          <w:rFonts w:ascii="Times New Roman;sans-serif" w:hAnsi="Times New Roman;sans-serif"/>
          <w:b w:val="false"/>
          <w:color w:val="000000"/>
          <w:sz w:val="20"/>
        </w:rPr>
        <w:t>(Section 5.10)</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Required:    When a Financial Covenant Measuring Period is in effect, Borrower shall achieve Net Revenue as required by Section</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5.10 and set forth below (pursuant to the amendment(s) required under Section 5.10):</w:t>
      </w:r>
    </w:p>
    <w:p>
      <w:pPr>
        <w:pStyle w:val="TextBody"/>
        <w:spacing w:before="0" w:after="0"/>
        <w:rPr/>
      </w:pPr>
      <w:r>
        <w:rPr/>
      </w:r>
    </w:p>
    <w:tbl>
      <w:tblPr>
        <w:tblW w:w="8324" w:type="dxa"/>
        <w:jc w:val="left"/>
        <w:tblInd w:w="0" w:type="dxa"/>
        <w:tblCellMar>
          <w:top w:w="28" w:type="dxa"/>
          <w:left w:w="28" w:type="dxa"/>
          <w:bottom w:w="28" w:type="dxa"/>
          <w:right w:w="28" w:type="dxa"/>
        </w:tblCellMar>
      </w:tblPr>
      <w:tblGrid>
        <w:gridCol w:w="428"/>
        <w:gridCol w:w="374"/>
        <w:gridCol w:w="374"/>
        <w:gridCol w:w="374"/>
        <w:gridCol w:w="374"/>
        <w:gridCol w:w="383"/>
        <w:gridCol w:w="935"/>
        <w:gridCol w:w="935"/>
        <w:gridCol w:w="935"/>
        <w:gridCol w:w="935"/>
        <w:gridCol w:w="935"/>
        <w:gridCol w:w="1342"/>
      </w:tblGrid>
      <w:tr>
        <w:trPr/>
        <w:tc>
          <w:tcPr>
            <w:tcW w:w="428"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r>
      <w:tr>
        <w:trPr/>
        <w:tc>
          <w:tcPr>
            <w:tcW w:w="2307" w:type="dxa"/>
            <w:gridSpan w:val="6"/>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Measuring Period Ending</w:t>
            </w:r>
          </w:p>
        </w:tc>
        <w:tc>
          <w:tcPr>
            <w:tcW w:w="6017" w:type="dxa"/>
            <w:gridSpan w:val="6"/>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0"/>
              <w:ind w:left="0" w:right="0" w:firstLine="650"/>
              <w:jc w:val="left"/>
              <w:rPr>
                <w:rFonts w:ascii="Times New Roman;sans-serif" w:hAnsi="Times New Roman;sans-serif"/>
                <w:b/>
                <w:color w:val="000000"/>
                <w:sz w:val="20"/>
              </w:rPr>
            </w:pPr>
            <w:r>
              <w:rPr>
                <w:rFonts w:ascii="Times New Roman;sans-serif" w:hAnsi="Times New Roman;sans-serif"/>
                <w:b/>
                <w:color w:val="000000"/>
                <w:sz w:val="20"/>
              </w:rPr>
              <w:t>Minimum Net Revenue (measured on a trailing 6 month basis)</w:t>
            </w:r>
          </w:p>
        </w:tc>
      </w:tr>
      <w:tr>
        <w:trPr/>
        <w:tc>
          <w:tcPr>
            <w:tcW w:w="117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12"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12"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6"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12" w:type="dxa"/>
            <w:gridSpan w:val="3"/>
            <w:tcBorders>
              <w:top w:val="single" w:sz="4" w:space="0" w:color="000000"/>
              <w:right w:val="single" w:sz="4" w:space="0" w:color="000000"/>
            </w:tcBorders>
            <w:shd w:fill="auto" w:val="clear"/>
            <w:tcMar>
              <w:top w:w="3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6"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gridSpan w:val="3"/>
            <w:tcBorders>
              <w:top w:val="single" w:sz="4" w:space="0" w:color="000000"/>
              <w:bottom w:val="single" w:sz="4"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0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12" w:type="dxa"/>
            <w:gridSpan w:val="3"/>
            <w:tcBorders>
              <w:top w:val="single" w:sz="4" w:space="0" w:color="000000"/>
              <w:bottom w:val="single" w:sz="4" w:space="0" w:color="000000"/>
              <w:right w:val="single" w:sz="4"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0"/>
        </w:rPr>
        <w:t>Actual: $</w:t>
      </w:r>
      <w:r>
        <w:rPr>
          <w:color w:val="000000"/>
          <w:u w:val="single"/>
        </w:rPr>
        <w:t>    </w:t>
      </w:r>
    </w:p>
    <w:p>
      <w:pPr>
        <w:pStyle w:val="TextBody"/>
        <w:spacing w:before="1" w:after="283"/>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Is Borrower’s Net Revenue (measured on a trailing 6 month basis) greater than or equal to the required amount for the corresponding measuring period set forth in the chart above?</w:t>
      </w:r>
    </w:p>
    <w:p>
      <w:pPr>
        <w:pStyle w:val="TextBody"/>
        <w:spacing w:before="11" w:after="283"/>
        <w:rPr/>
      </w:pPr>
      <w:r>
        <w:rPr/>
      </w:r>
    </w:p>
    <w:p>
      <w:pPr>
        <w:pStyle w:val="TextBody"/>
        <w:spacing w:lineRule="auto" w:line="240" w:before="0" w:after="0"/>
        <w:rPr/>
      </w:pPr>
      <w:r>
        <w:rPr>
          <w:color w:val="000000"/>
          <w:u w:val="single"/>
        </w:rPr>
        <w:t>    </w:t>
      </w:r>
      <w:r>
        <w:rPr>
          <w:color w:val="000000"/>
        </w:rPr>
        <w:t xml:space="preserve"> </w:t>
      </w:r>
      <w:r>
        <w:rPr>
          <w:rFonts w:ascii="Times New Roman;sans-serif" w:hAnsi="Times New Roman;sans-serif"/>
          <w:b w:val="false"/>
          <w:color w:val="000000"/>
          <w:sz w:val="20"/>
        </w:rPr>
        <w:t>No, not in compliance    </w:t>
      </w:r>
      <w:r>
        <w:rPr>
          <w:color w:val="000000"/>
          <w:u w:val="single"/>
        </w:rPr>
        <w:t>    </w:t>
      </w:r>
      <w:r>
        <w:rPr>
          <w:color w:val="000000"/>
        </w:rPr>
        <w:t xml:space="preserve"> </w:t>
      </w:r>
      <w:r>
        <w:rPr>
          <w:rFonts w:ascii="Times New Roman;sans-serif" w:hAnsi="Times New Roman;sans-serif"/>
          <w:b w:val="false"/>
          <w:color w:val="000000"/>
          <w:sz w:val="20"/>
        </w:rPr>
        <w:t>Yes, in compliance</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3"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783590"/>
                <wp:effectExtent l="0" t="0" r="0" b="0"/>
                <wp:wrapNone/>
                <wp:docPr id="130" name="Frame130"/>
                <a:graphic xmlns:a="http://schemas.openxmlformats.org/drawingml/2006/main">
                  <a:graphicData uri="http://schemas.microsoft.com/office/word/2010/wordprocessingShape">
                    <wps:wsp>
                      <wps:cNvSpPr txBox="1"/>
                      <wps:spPr>
                        <a:xfrm>
                          <a:off x="0" y="0"/>
                          <a:ext cx="6480175" cy="78359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7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283"/>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EXHIBIT B</w:t>
      </w:r>
    </w:p>
    <w:p>
      <w:pPr>
        <w:pStyle w:val="TextBody"/>
        <w:spacing w:lineRule="auto" w:line="422" w:before="120" w:after="283"/>
        <w:ind w:left="0" w:right="0" w:firstLine="273"/>
        <w:rPr/>
      </w:pPr>
      <w:r>
        <w:rPr>
          <w:rFonts w:ascii="Times New Roman;sans-serif" w:hAnsi="Times New Roman;sans-serif"/>
          <w:b/>
          <w:color w:val="000000"/>
          <w:sz w:val="20"/>
          <w:u w:val="single"/>
        </w:rPr>
        <w:t>LOAN PAYMENT/ADVANCE REQUEST FORM</w:t>
      </w:r>
      <w:r>
        <w:rPr>
          <w:color w:val="000000"/>
        </w:rPr>
        <w:t xml:space="preserve"> </w:t>
      </w:r>
      <w:r>
        <w:rPr>
          <w:rFonts w:ascii="Times New Roman;sans-serif" w:hAnsi="Times New Roman;sans-serif"/>
          <w:b/>
          <w:color w:val="000000"/>
          <w:sz w:val="20"/>
          <w:u w:val="single"/>
        </w:rPr>
        <w:t>Deadline for same day processing is Noon Pacific Time</w:t>
      </w:r>
    </w:p>
    <w:p>
      <w:pPr>
        <w:pStyle w:val="TextBody"/>
        <w:spacing w:lineRule="auto" w:line="304" w:before="0" w:after="0"/>
        <w:rPr/>
      </w:pPr>
      <w:r>
        <w:rPr>
          <w:rFonts w:ascii="Times New Roman;sans-serif" w:hAnsi="Times New Roman;sans-serif"/>
          <w:b w:val="false"/>
          <w:color w:val="000000"/>
          <w:sz w:val="16"/>
        </w:rPr>
        <w:t>FAX TO</w:t>
      </w:r>
      <w:r>
        <w:rPr>
          <w:rFonts w:ascii="Times New Roman;sans-serif" w:hAnsi="Times New Roman;sans-serif"/>
          <w:b w:val="false"/>
          <w:color w:val="000000"/>
          <w:sz w:val="20"/>
        </w:rPr>
        <w:t xml:space="preserve">:    Date: </w:t>
      </w:r>
      <w:r>
        <w:rPr>
          <w:color w:val="000000"/>
          <w:u w:val="single"/>
        </w:rPr>
        <w:t>    </w:t>
      </w:r>
    </w:p>
    <w:p>
      <w:pPr>
        <w:pStyle w:val="TextBody"/>
        <w:spacing w:before="9" w:after="283"/>
        <w:rPr/>
      </w:pPr>
      <w:r>
        <w:rPr/>
      </w:r>
    </w:p>
    <w:p>
      <w:pPr>
        <w:pStyle w:val="TextBody"/>
        <w:spacing w:before="10" w:after="283"/>
        <w:rPr/>
      </w:pPr>
      <w:r>
        <w:rPr/>
        <w:drawing>
          <wp:inline distT="0" distB="63500" distL="0" distR="0">
            <wp:extent cx="6629400" cy="1409700"/>
            <wp:effectExtent l="0" t="0" r="0" b="0"/>
            <wp:docPr id="1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 descr=""/>
                    <pic:cNvPicPr>
                      <a:picLocks noChangeAspect="1" noChangeArrowheads="1"/>
                    </pic:cNvPicPr>
                  </pic:nvPicPr>
                  <pic:blipFill>
                    <a:blip r:embed="rId7"/>
                    <a:stretch>
                      <a:fillRect/>
                    </a:stretch>
                  </pic:blipFill>
                  <pic:spPr bwMode="auto">
                    <a:xfrm>
                      <a:off x="0" y="0"/>
                      <a:ext cx="6629400" cy="1409700"/>
                    </a:xfrm>
                    <a:prstGeom prst="rect">
                      <a:avLst/>
                    </a:prstGeom>
                  </pic:spPr>
                </pic:pic>
              </a:graphicData>
            </a:graphic>
          </wp:inline>
        </w:drawing>
      </w:r>
      <w:r>
        <w:rPr/>
        <w:drawing>
          <wp:inline distT="0" distB="63500" distL="0" distR="0">
            <wp:extent cx="6629400" cy="2447925"/>
            <wp:effectExtent l="0" t="0" r="0" b="0"/>
            <wp:docPr id="1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 descr=""/>
                    <pic:cNvPicPr>
                      <a:picLocks noChangeAspect="1" noChangeArrowheads="1"/>
                    </pic:cNvPicPr>
                  </pic:nvPicPr>
                  <pic:blipFill>
                    <a:blip r:embed="rId8"/>
                    <a:stretch>
                      <a:fillRect/>
                    </a:stretch>
                  </pic:blipFill>
                  <pic:spPr bwMode="auto">
                    <a:xfrm>
                      <a:off x="0" y="0"/>
                      <a:ext cx="6629400" cy="244792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793115"/>
                <wp:effectExtent l="0" t="0" r="0" b="0"/>
                <wp:wrapNone/>
                <wp:docPr id="133" name="Frame131"/>
                <a:graphic xmlns:a="http://schemas.openxmlformats.org/drawingml/2006/main">
                  <a:graphicData uri="http://schemas.microsoft.com/office/word/2010/wordprocessingShape">
                    <wps:wsp>
                      <wps:cNvSpPr txBox="1"/>
                      <wps:spPr>
                        <a:xfrm>
                          <a:off x="0" y="0"/>
                          <a:ext cx="6480175" cy="793115"/>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29" w:after="283"/>
                                    <w:rPr/>
                                  </w:pPr>
                                  <w:r>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4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29" w:after="283"/>
                              <w:rPr/>
                            </w:pPr>
                            <w:r>
                              <w:rPr/>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4" w:after="283"/>
        <w:rPr/>
      </w:pPr>
      <w:r>
        <w:rPr/>
      </w:r>
    </w:p>
    <w:p>
      <w:pPr>
        <w:pStyle w:val="TextBody"/>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B</w:t>
      </w:r>
    </w:p>
    <w:p>
      <w:pPr>
        <w:pStyle w:val="TextBody"/>
        <w:spacing w:before="1" w:after="283"/>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[Attached]</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8" w:after="283"/>
        <w:rPr/>
      </w:pPr>
      <w:r>
        <w:rPr/>
      </w:r>
    </w:p>
    <w:p>
      <w:pPr>
        <w:pStyle w:val="TextBody"/>
        <w:spacing w:lineRule="auto" w:line="240" w:before="95" w:after="283"/>
        <w:rPr>
          <w:rFonts w:ascii="Arial;sans-serif" w:hAnsi="Arial;sans-serif"/>
          <w:b w:val="false"/>
          <w:color w:val="000000"/>
          <w:sz w:val="14"/>
        </w:rPr>
      </w:pPr>
      <w:r>
        <w:rPr>
          <w:rFonts w:ascii="Arial;sans-serif" w:hAnsi="Arial;sans-serif"/>
          <w:b w:val="false"/>
          <w:color w:val="000000"/>
          <w:sz w:val="14"/>
        </w:rPr>
        <w:t>278639749 v2</w:t>
      </w:r>
    </w:p>
    <w:p>
      <w:pPr>
        <w:pStyle w:val="TextBody"/>
        <w:spacing w:lineRule="auto" w:line="240" w:before="79" w:after="283"/>
        <w:rPr>
          <w:rFonts w:ascii="Times New Roman;sans-serif" w:hAnsi="Times New Roman;sans-serif"/>
          <w:b w:val="false"/>
          <w:color w:val="000000"/>
          <w:sz w:val="18"/>
        </w:rPr>
      </w:pPr>
      <w:r>
        <w:rPr>
          <w:rFonts w:ascii="Times New Roman;sans-serif" w:hAnsi="Times New Roman;sans-serif"/>
          <w:b w:val="false"/>
          <w:color w:val="000000"/>
          <w:sz w:val="18"/>
        </w:rPr>
        <w:t>WEST\300647616.3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LOAN AND SECURITY AGREEMENT</w:t>
      </w:r>
    </w:p>
    <w:p>
      <w:pPr>
        <w:pStyle w:val="TextBody"/>
        <w:spacing w:before="0" w:after="0"/>
        <w:rPr/>
      </w:pPr>
      <w:r>
        <w:rPr/>
      </w:r>
    </w:p>
    <w:p>
      <w:pPr>
        <w:pStyle w:val="TextBody"/>
        <w:spacing w:before="9"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This </w:t>
      </w:r>
      <w:r>
        <w:rPr>
          <w:rFonts w:ascii="Times New Roman;sans-serif" w:hAnsi="Times New Roman;sans-serif"/>
          <w:b/>
          <w:color w:val="000000"/>
          <w:sz w:val="20"/>
        </w:rPr>
        <w:t xml:space="preserve">LOAN AND SECURITY AGREEMENT </w:t>
      </w:r>
      <w:r>
        <w:rPr>
          <w:rFonts w:ascii="Times New Roman;sans-serif" w:hAnsi="Times New Roman;sans-serif"/>
          <w:b w:val="false"/>
          <w:color w:val="000000"/>
          <w:sz w:val="20"/>
        </w:rPr>
        <w:t>(this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is dated as of the Effective Date between </w:t>
      </w:r>
      <w:r>
        <w:rPr>
          <w:rFonts w:ascii="Times New Roman;sans-serif" w:hAnsi="Times New Roman;sans-serif"/>
          <w:b/>
          <w:color w:val="000000"/>
          <w:sz w:val="20"/>
        </w:rPr>
        <w:t>SILICON VALLEY BANK</w:t>
      </w:r>
      <w:r>
        <w:rPr>
          <w:rFonts w:ascii="Times New Roman;sans-serif" w:hAnsi="Times New Roman;sans-serif"/>
          <w:b w:val="false"/>
          <w:color w:val="000000"/>
          <w:sz w:val="20"/>
        </w:rPr>
        <w:t>, a California corporation (“</w:t>
      </w:r>
      <w:r>
        <w:rPr>
          <w:rFonts w:ascii="Times New Roman;sans-serif" w:hAnsi="Times New Roman;sans-serif"/>
          <w:b/>
          <w:color w:val="000000"/>
          <w:sz w:val="20"/>
        </w:rPr>
        <w:t>Bank</w:t>
      </w:r>
      <w:r>
        <w:rPr>
          <w:color w:val="000000"/>
        </w:rPr>
        <w:t>”</w:t>
      </w:r>
      <w:r>
        <w:rPr>
          <w:rFonts w:ascii="Times New Roman;sans-serif" w:hAnsi="Times New Roman;sans-serif"/>
          <w:b w:val="false"/>
          <w:color w:val="000000"/>
          <w:sz w:val="20"/>
        </w:rPr>
        <w:t>), and the borrower listed on Schedule I hereto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 The parties agree as follows:</w:t>
      </w:r>
    </w:p>
    <w:p>
      <w:pPr>
        <w:pStyle w:val="TextBody"/>
        <w:spacing w:before="2" w:after="283"/>
        <w:rPr/>
      </w:pPr>
      <w:r>
        <w:rPr/>
      </w:r>
    </w:p>
    <w:p>
      <w:pPr>
        <w:pStyle w:val="TextBody"/>
        <w:spacing w:lineRule="auto" w:line="240" w:before="0" w:after="0"/>
        <w:ind w:left="0" w:right="0" w:hanging="720"/>
        <w:rPr/>
      </w:pPr>
      <w:r>
        <w:rPr>
          <w:rFonts w:ascii="Times New Roman;sans-serif" w:hAnsi="Times New Roman;sans-serif"/>
          <w:b/>
          <w:color w:val="000000"/>
          <w:sz w:val="20"/>
        </w:rPr>
        <w:t>1.</w:t>
      </w:r>
      <w:r>
        <w:rPr>
          <w:rFonts w:ascii="Times New Roman;sans-serif" w:hAnsi="Times New Roman;sans-serif"/>
          <w:b/>
          <w:color w:val="000000"/>
          <w:sz w:val="20"/>
          <w:u w:val="single"/>
        </w:rPr>
        <w:t>LOAN AND TERMS OF PAYMENT</w:t>
      </w:r>
    </w:p>
    <w:p>
      <w:pPr>
        <w:pStyle w:val="TextBody"/>
        <w:spacing w:before="2" w:after="283"/>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1.1Term Loan Advance.</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Availability</w:t>
      </w:r>
      <w:r>
        <w:rPr>
          <w:rFonts w:ascii="Times New Roman;sans-serif" w:hAnsi="Times New Roman;sans-serif"/>
          <w:b w:val="false"/>
          <w:color w:val="000000"/>
          <w:sz w:val="20"/>
        </w:rPr>
        <w:t xml:space="preserve">. Subject to the terms and conditions of this Agreement, on </w:t>
      </w:r>
      <w:r>
        <w:rPr>
          <w:rFonts w:ascii="Times New Roman;sans-serif" w:hAnsi="Times New Roman;sans-serif"/>
          <w:b w:val="false"/>
          <w:color w:val="0000FF"/>
          <w:sz w:val="20"/>
          <w:u w:val="single"/>
        </w:rPr>
        <w:t>or about</w:t>
      </w:r>
      <w:r>
        <w:rPr>
          <w:color w:val="0000FF"/>
        </w:rPr>
        <w:t xml:space="preserve"> </w:t>
      </w:r>
      <w:r>
        <w:rPr>
          <w:rFonts w:ascii="Times New Roman;sans-serif" w:hAnsi="Times New Roman;sans-serif"/>
          <w:b w:val="false"/>
          <w:color w:val="000000"/>
          <w:sz w:val="20"/>
        </w:rPr>
        <w:t xml:space="preserve">the </w:t>
      </w:r>
      <w:r>
        <w:rPr>
          <w:rFonts w:ascii="Times New Roman;sans-serif" w:hAnsi="Times New Roman;sans-serif"/>
          <w:b w:val="false"/>
          <w:color w:val="0000FF"/>
          <w:sz w:val="20"/>
          <w:u w:val="single"/>
        </w:rPr>
        <w:t>First</w:t>
      </w:r>
      <w:r>
        <w:rPr>
          <w:color w:val="0000FF"/>
        </w:rPr>
        <w:t xml:space="preserve"> </w:t>
      </w:r>
      <w:r>
        <w:rPr>
          <w:rFonts w:ascii="Times New Roman;sans-serif" w:hAnsi="Times New Roman;sans-serif"/>
          <w:b w:val="false"/>
          <w:color w:val="0000FF"/>
          <w:sz w:val="20"/>
          <w:u w:val="single"/>
        </w:rPr>
        <w:t>Amendment</w:t>
      </w:r>
      <w:r>
        <w:rPr>
          <w:color w:val="0000FF"/>
        </w:rPr>
        <w:t xml:space="preserve"> </w:t>
      </w:r>
      <w:r>
        <w:rPr>
          <w:rFonts w:ascii="Times New Roman;sans-serif" w:hAnsi="Times New Roman;sans-serif"/>
          <w:b w:val="false"/>
          <w:color w:val="000000"/>
          <w:sz w:val="20"/>
        </w:rPr>
        <w:t>Effective Date or</w:t>
      </w:r>
      <w:r>
        <w:rPr>
          <w:strike/>
          <w:color w:val="FF0000"/>
        </w:rPr>
        <w:t xml:space="preserve"> </w:t>
      </w:r>
      <w:r>
        <w:rPr>
          <w:rFonts w:ascii="Times New Roman;sans-serif" w:hAnsi="Times New Roman;sans-serif"/>
          <w:b w:val="false"/>
          <w:strike/>
          <w:color w:val="FF0000"/>
          <w:sz w:val="20"/>
        </w:rPr>
        <w:t>soon thereafter as all conditions precedent to the making thereof have been met</w:t>
      </w:r>
      <w:r>
        <w:rPr>
          <w:rFonts w:ascii="Times New Roman;sans-serif" w:hAnsi="Times New Roman;sans-serif"/>
          <w:b w:val="false"/>
          <w:color w:val="000000"/>
          <w:sz w:val="20"/>
        </w:rPr>
        <w:t>, Bank shall make one (1) term loan advance to Borrower in an original principal amount equal to the Term Loan Availability Amount (the “</w:t>
      </w:r>
      <w:r>
        <w:rPr>
          <w:rFonts w:ascii="Times New Roman;sans-serif" w:hAnsi="Times New Roman;sans-serif"/>
          <w:b/>
          <w:color w:val="000000"/>
          <w:sz w:val="20"/>
        </w:rPr>
        <w:t>Term Loan Advance</w:t>
      </w:r>
      <w:r>
        <w:rPr>
          <w:color w:val="000000"/>
        </w:rPr>
        <w:t>”</w:t>
      </w:r>
      <w:r>
        <w:rPr>
          <w:rFonts w:ascii="Times New Roman;sans-serif" w:hAnsi="Times New Roman;sans-serif"/>
          <w:b w:val="false"/>
          <w:color w:val="000000"/>
          <w:sz w:val="20"/>
        </w:rPr>
        <w:t>)</w:t>
      </w:r>
      <w:r>
        <w:rPr>
          <w:color w:val="0000FF"/>
          <w:u w:val="single"/>
        </w:rPr>
        <w:t xml:space="preserve"> </w:t>
      </w:r>
      <w:r>
        <w:rPr>
          <w:rFonts w:ascii="Times New Roman;sans-serif" w:hAnsi="Times New Roman;sans-serif"/>
          <w:b w:val="false"/>
          <w:color w:val="0000FF"/>
          <w:sz w:val="20"/>
          <w:u w:val="single"/>
        </w:rPr>
        <w:t>which shall be used to (i) refinance the Term Loan Advance (as</w:t>
      </w:r>
      <w:r>
        <w:rPr>
          <w:color w:val="0000FF"/>
        </w:rPr>
        <w:t xml:space="preserve"> </w:t>
      </w:r>
      <w:r>
        <w:rPr>
          <w:rFonts w:ascii="Times New Roman;sans-serif" w:hAnsi="Times New Roman;sans-serif"/>
          <w:b w:val="false"/>
          <w:color w:val="0000FF"/>
          <w:sz w:val="20"/>
          <w:u w:val="single"/>
        </w:rPr>
        <w:t>defined in the Agreement prior to the First Amendment Effective Date) outstanding as of the First Amendment</w:t>
      </w:r>
      <w:r>
        <w:rPr>
          <w:color w:val="0000FF"/>
        </w:rPr>
        <w:t xml:space="preserve"> </w:t>
      </w:r>
      <w:r>
        <w:rPr>
          <w:rFonts w:ascii="Times New Roman;sans-serif" w:hAnsi="Times New Roman;sans-serif"/>
          <w:b w:val="false"/>
          <w:color w:val="0000FF"/>
          <w:sz w:val="20"/>
          <w:u w:val="single"/>
        </w:rPr>
        <w:t>Effective Date, (ii) satisfy the Final Payment (as defined in the Agreement prior to the First Amendment Effective</w:t>
      </w:r>
      <w:r>
        <w:rPr>
          <w:color w:val="0000FF"/>
        </w:rPr>
        <w:t xml:space="preserve"> </w:t>
      </w:r>
      <w:r>
        <w:rPr>
          <w:rFonts w:ascii="Times New Roman;sans-serif" w:hAnsi="Times New Roman;sans-serif"/>
          <w:b w:val="false"/>
          <w:color w:val="0000FF"/>
          <w:sz w:val="20"/>
          <w:u w:val="single"/>
        </w:rPr>
        <w:t>Date), which is with respect to the Term Loan Advance (as defined in the Agreement prior to the First Amendment</w:t>
      </w:r>
      <w:r>
        <w:rPr>
          <w:color w:val="0000FF"/>
        </w:rPr>
        <w:t xml:space="preserve"> </w:t>
      </w:r>
      <w:r>
        <w:rPr>
          <w:rFonts w:ascii="Times New Roman;sans-serif" w:hAnsi="Times New Roman;sans-serif"/>
          <w:b w:val="false"/>
          <w:color w:val="0000FF"/>
          <w:sz w:val="20"/>
          <w:u w:val="single"/>
        </w:rPr>
        <w:t>Effective Date), and (iii) thereafter, used for working capital purposes. Bank and Borrower acknowledge and agree</w:t>
      </w:r>
      <w:r>
        <w:rPr>
          <w:color w:val="0000FF"/>
        </w:rPr>
        <w:t xml:space="preserve"> </w:t>
      </w:r>
      <w:r>
        <w:rPr>
          <w:rFonts w:ascii="Times New Roman;sans-serif" w:hAnsi="Times New Roman;sans-serif"/>
          <w:b w:val="false"/>
          <w:color w:val="0000FF"/>
          <w:sz w:val="20"/>
          <w:u w:val="single"/>
        </w:rPr>
        <w:t>that prior to the First Amendment Effective Date, the amount Borrower accrued and owed to Bank in connection</w:t>
      </w:r>
      <w:r>
        <w:rPr>
          <w:color w:val="0000FF"/>
        </w:rPr>
        <w:t xml:space="preserve"> </w:t>
      </w:r>
      <w:r>
        <w:rPr>
          <w:rFonts w:ascii="Times New Roman;sans-serif" w:hAnsi="Times New Roman;sans-serif"/>
          <w:b w:val="false"/>
          <w:color w:val="0000FF"/>
          <w:sz w:val="20"/>
          <w:u w:val="single"/>
        </w:rPr>
        <w:t>with the Final Payment (as defined in the Agreement prior to the First Amendment Effective Date) was Two</w:t>
      </w:r>
      <w:r>
        <w:rPr>
          <w:color w:val="0000FF"/>
        </w:rPr>
        <w:t xml:space="preserve"> </w:t>
      </w:r>
      <w:r>
        <w:rPr>
          <w:rFonts w:ascii="Times New Roman;sans-serif" w:hAnsi="Times New Roman;sans-serif"/>
          <w:b w:val="false"/>
          <w:color w:val="0000FF"/>
          <w:sz w:val="20"/>
          <w:u w:val="single"/>
        </w:rPr>
        <w:t>Hundred Seventy Four Thousand Nine Hundred Ninety Dollars and 88/100 ($274,990.88)</w:t>
      </w:r>
      <w:r>
        <w:rPr>
          <w:rFonts w:ascii="Times New Roman;sans-serif" w:hAnsi="Times New Roman;sans-serif"/>
          <w:b w:val="false"/>
          <w:color w:val="000000"/>
          <w:sz w:val="20"/>
        </w:rPr>
        <w:t>. After repayment (in whole or in part), the Term Loan Advance may not be reborrowed.</w:t>
      </w:r>
    </w:p>
    <w:p>
      <w:pPr>
        <w:pStyle w:val="TextBody"/>
        <w:spacing w:lineRule="auto" w:line="240" w:before="1" w:after="283"/>
        <w:ind w:left="0" w:right="0" w:firstLine="1440"/>
        <w:jc w:val="both"/>
        <w:rPr/>
      </w:pPr>
      <w:r>
        <w:rPr>
          <w:rFonts w:ascii="Times New Roman;sans-serif" w:hAnsi="Times New Roman;sans-serif"/>
          <w:b w:val="false"/>
          <w:color w:val="0000FF"/>
          <w:sz w:val="20"/>
          <w:u w:val="single"/>
        </w:rPr>
        <w:t>Additionally, at any time during the applicable draw period agreed to by Borrower and Bank, Borrower</w:t>
      </w:r>
      <w:r>
        <w:rPr>
          <w:color w:val="0000FF"/>
        </w:rPr>
        <w:t xml:space="preserve"> </w:t>
      </w:r>
      <w:r>
        <w:rPr>
          <w:rFonts w:ascii="Times New Roman;sans-serif" w:hAnsi="Times New Roman;sans-serif"/>
          <w:b w:val="false"/>
          <w:color w:val="0000FF"/>
          <w:sz w:val="20"/>
          <w:u w:val="single"/>
        </w:rPr>
        <w:t>may request that Bank make additional term loan advances available to Borrower in an aggregate original principal</w:t>
      </w:r>
      <w:r>
        <w:rPr>
          <w:color w:val="0000FF"/>
        </w:rPr>
        <w:t xml:space="preserve"> </w:t>
      </w:r>
      <w:r>
        <w:rPr>
          <w:rFonts w:ascii="Times New Roman;sans-serif" w:hAnsi="Times New Roman;sans-serif"/>
          <w:b w:val="false"/>
          <w:color w:val="0000FF"/>
          <w:sz w:val="20"/>
          <w:u w:val="single"/>
        </w:rPr>
        <w:t>amount of up to Fifteen Million Dollars ($15,000,000) (the “</w:t>
      </w:r>
      <w:r>
        <w:rPr>
          <w:rFonts w:ascii="Times New Roman;sans-serif" w:hAnsi="Times New Roman;sans-serif"/>
          <w:b/>
          <w:color w:val="0000FF"/>
          <w:sz w:val="20"/>
          <w:u w:val="single"/>
        </w:rPr>
        <w:t>Uncommitted Accordion</w:t>
      </w:r>
      <w:r>
        <w:rPr>
          <w:color w:val="0000FF"/>
          <w:u w:val="single"/>
        </w:rPr>
        <w:t>”</w:t>
      </w:r>
      <w:r>
        <w:rPr>
          <w:rFonts w:ascii="Times New Roman;sans-serif" w:hAnsi="Times New Roman;sans-serif"/>
          <w:b w:val="false"/>
          <w:color w:val="0000FF"/>
          <w:sz w:val="20"/>
          <w:u w:val="single"/>
        </w:rPr>
        <w:t>). Bank, in its sole and</w:t>
      </w:r>
      <w:r>
        <w:rPr>
          <w:color w:val="0000FF"/>
        </w:rPr>
        <w:t xml:space="preserve"> </w:t>
      </w:r>
      <w:r>
        <w:rPr>
          <w:rFonts w:ascii="Times New Roman;sans-serif" w:hAnsi="Times New Roman;sans-serif"/>
          <w:b w:val="false"/>
          <w:color w:val="0000FF"/>
          <w:sz w:val="20"/>
          <w:u w:val="single"/>
        </w:rPr>
        <w:t>absolute discretion, may grant or deny any such request from Borrower for a term loan advance under the</w:t>
      </w:r>
      <w:r>
        <w:rPr>
          <w:color w:val="0000FF"/>
        </w:rPr>
        <w:t xml:space="preserve"> </w:t>
      </w:r>
      <w:r>
        <w:rPr>
          <w:rFonts w:ascii="Times New Roman;sans-serif" w:hAnsi="Times New Roman;sans-serif"/>
          <w:b w:val="false"/>
          <w:color w:val="0000FF"/>
          <w:sz w:val="20"/>
          <w:u w:val="single"/>
        </w:rPr>
        <w:t>Uncommitted Accordion. If, and only if, Bank, in its sole discretion, agrees to provide any additional term loan</w:t>
      </w:r>
      <w:r>
        <w:rPr>
          <w:color w:val="0000FF"/>
        </w:rPr>
        <w:t xml:space="preserve"> </w:t>
      </w:r>
      <w:r>
        <w:rPr>
          <w:rFonts w:ascii="Times New Roman;sans-serif" w:hAnsi="Times New Roman;sans-serif"/>
          <w:b w:val="false"/>
          <w:color w:val="0000FF"/>
          <w:sz w:val="20"/>
          <w:u w:val="single"/>
        </w:rPr>
        <w:t>advance(s) to Borrower under the Uncommitted Accordion, each such term loan advance shall each be considered a</w:t>
      </w:r>
      <w:r>
        <w:rPr>
          <w:color w:val="0000FF"/>
        </w:rPr>
        <w:t xml:space="preserve"> </w:t>
      </w:r>
      <w:r>
        <w:rPr>
          <w:color w:val="0000FF"/>
          <w:u w:val="single"/>
        </w:rPr>
        <w:t>“</w:t>
      </w:r>
      <w:r>
        <w:rPr>
          <w:rFonts w:ascii="Times New Roman;sans-serif" w:hAnsi="Times New Roman;sans-serif"/>
          <w:b w:val="false"/>
          <w:color w:val="0000FF"/>
          <w:sz w:val="20"/>
          <w:u w:val="single"/>
        </w:rPr>
        <w:t>Term Loan Advance” hereunder and added to the definition thereof; provided that the terms of the making of any</w:t>
      </w:r>
      <w:r>
        <w:rPr>
          <w:color w:val="0000FF"/>
        </w:rPr>
        <w:t xml:space="preserve"> </w:t>
      </w:r>
      <w:r>
        <w:rPr>
          <w:rFonts w:ascii="Times New Roman;sans-serif" w:hAnsi="Times New Roman;sans-serif"/>
          <w:b w:val="false"/>
          <w:color w:val="0000FF"/>
          <w:sz w:val="20"/>
          <w:u w:val="single"/>
        </w:rPr>
        <w:t>advance under the Uncommitted Accordion shall be outlined in an amendment to this Agreement to be entered into</w:t>
      </w:r>
      <w:r>
        <w:rPr>
          <w:color w:val="0000FF"/>
        </w:rPr>
        <w:t xml:space="preserve"> </w:t>
      </w:r>
      <w:r>
        <w:rPr>
          <w:rFonts w:ascii="Times New Roman;sans-serif" w:hAnsi="Times New Roman;sans-serif"/>
          <w:b w:val="false"/>
          <w:color w:val="0000FF"/>
          <w:sz w:val="20"/>
          <w:u w:val="single"/>
        </w:rPr>
        <w:t>by the parties hereto.</w:t>
      </w:r>
    </w:p>
    <w:p>
      <w:pPr>
        <w:pStyle w:val="TextBody"/>
        <w:spacing w:before="4" w:after="283"/>
        <w:rPr/>
      </w:pPr>
      <w:r>
        <w:rPr/>
      </w:r>
    </w:p>
    <w:p>
      <w:pPr>
        <w:pStyle w:val="TextBody"/>
        <w:spacing w:lineRule="auto" w:line="240" w:before="90" w:after="283"/>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Repayment</w:t>
      </w:r>
      <w:r>
        <w:rPr>
          <w:rFonts w:ascii="Times New Roman;sans-serif" w:hAnsi="Times New Roman;sans-serif"/>
          <w:b w:val="false"/>
          <w:color w:val="000000"/>
          <w:sz w:val="20"/>
        </w:rPr>
        <w:t>. Borrower shall repay the Term Loan Advance as set forth in Schedule I hereto. All outstanding principal and accrued and unpaid interest under the Term Loan Advance, and all other outstanding Obligations with respect to such Term Loan Advance, are due and payable in full on the Term Loan Maturity Date.</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Permitted Prepayment</w:t>
      </w:r>
      <w:r>
        <w:rPr>
          <w:rFonts w:ascii="Times New Roman;sans-serif" w:hAnsi="Times New Roman;sans-serif"/>
          <w:b w:val="false"/>
          <w:color w:val="000000"/>
          <w:sz w:val="20"/>
        </w:rPr>
        <w:t>. Borrower shall have the option to prepay all, but not less than all, of the Term Loan Advance, provided Borrower (i) delivers written notice to Bank of its election to prepay the Term Loan Advance at least five (5) Business Days prior to such prepayment, and (ii) pays, on the date of such prepayment (A) the outstanding principal plus accrued and unpaid interest with respect to the Term Loan Advance,</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(B) the applicable Prepayment Fee, if any, (C) the Final Payment, and (D) all other sums, if any, that shall have become due and payable with respect to the Term Loan Advance, including interest at the Default Rate with respect to any past due amounts.</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(d)</w:t>
      </w:r>
      <w:r>
        <w:rPr/>
        <w:drawing>
          <wp:inline distT="0" distB="63500" distL="0" distR="0">
            <wp:extent cx="28575" cy="14605"/>
            <wp:effectExtent l="0" t="0" r="0" b="0"/>
            <wp:docPr id="1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 descr=""/>
                    <pic:cNvPicPr>
                      <a:picLocks noChangeAspect="1" noChangeArrowheads="1"/>
                    </pic:cNvPicPr>
                  </pic:nvPicPr>
                  <pic:blipFill>
                    <a:blip r:embed="rId9"/>
                    <a:stretch>
                      <a:fillRect/>
                    </a:stretch>
                  </pic:blipFill>
                  <pic:spPr bwMode="auto">
                    <a:xfrm>
                      <a:off x="0" y="0"/>
                      <a:ext cx="28575" cy="14605"/>
                    </a:xfrm>
                    <a:prstGeom prst="rect">
                      <a:avLst/>
                    </a:prstGeom>
                  </pic:spPr>
                </pic:pic>
              </a:graphicData>
            </a:graphic>
          </wp:inline>
        </w:drawing>
      </w:r>
      <w:r>
        <w:rPr/>
        <w:drawing>
          <wp:inline distT="0" distB="63500" distL="0" distR="0">
            <wp:extent cx="14605" cy="142875"/>
            <wp:effectExtent l="0" t="0" r="0" b="0"/>
            <wp:docPr id="13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 descr=""/>
                    <pic:cNvPicPr>
                      <a:picLocks noChangeAspect="1" noChangeArrowheads="1"/>
                    </pic:cNvPicPr>
                  </pic:nvPicPr>
                  <pic:blipFill>
                    <a:blip r:embed="rId10"/>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00"/>
          <w:sz w:val="20"/>
          <w:u w:val="single"/>
        </w:rPr>
        <w:t>Mandatory Prepayment Upon an Acceleration</w:t>
      </w:r>
      <w:r>
        <w:rPr>
          <w:rFonts w:ascii="Times New Roman;sans-serif" w:hAnsi="Times New Roman;sans-serif"/>
          <w:b w:val="false"/>
          <w:color w:val="000000"/>
          <w:sz w:val="20"/>
        </w:rPr>
        <w:t>. If the Term Loan Advance is accelerated by Bank following the occurrence and during the continuance of an Event of Default, Borrower shall immediately pay to Bank an amount equal to the sum of (i) all outstanding principal plus accrued and unpaid interest with respect to the Term Loan Advance, (ii) the applicable Prepayment Fee, if any</w:t>
      </w:r>
      <w:r>
        <w:rPr>
          <w:rFonts w:ascii="Times New Roman;sans-serif" w:hAnsi="Times New Roman;sans-serif"/>
          <w:b w:val="false"/>
          <w:color w:val="0000FF"/>
          <w:sz w:val="20"/>
        </w:rPr>
        <w:t xml:space="preserve">, </w:t>
      </w:r>
      <w:r>
        <w:rPr>
          <w:rFonts w:ascii="Times New Roman;sans-serif" w:hAnsi="Times New Roman;sans-serif"/>
          <w:b w:val="false"/>
          <w:color w:val="000000"/>
          <w:sz w:val="20"/>
        </w:rPr>
        <w:t>(iii) the Final Payment, and (iv) all other sums, if any, that shall have become due and payable with respect to the Term Loan Advance, including interest at the Default Rate with respect to any past due amounts.</w:t>
      </w:r>
    </w:p>
    <w:p>
      <w:pPr>
        <w:pStyle w:val="TextBody"/>
        <w:spacing w:before="0" w:after="0"/>
        <w:rPr/>
      </w:pPr>
      <w:r>
        <w:rPr/>
      </w:r>
    </w:p>
    <w:p>
      <w:pPr>
        <w:pStyle w:val="TextBody"/>
        <w:spacing w:lineRule="auto" w:line="240" w:before="95" w:after="283"/>
        <w:rPr/>
      </w:pPr>
      <w:r>
        <w:rPr/>
        <w:drawing>
          <wp:inline distT="0" distB="63500" distL="0" distR="0">
            <wp:extent cx="14605" cy="161925"/>
            <wp:effectExtent l="0" t="0" r="0" b="0"/>
            <wp:docPr id="13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 descr=""/>
                    <pic:cNvPicPr>
                      <a:picLocks noChangeAspect="1" noChangeArrowheads="1"/>
                    </pic:cNvPicPr>
                  </pic:nvPicPr>
                  <pic:blipFill>
                    <a:blip r:embed="rId11"/>
                    <a:stretch>
                      <a:fillRect/>
                    </a:stretch>
                  </pic:blipFill>
                  <pic:spPr bwMode="auto">
                    <a:xfrm>
                      <a:off x="0" y="0"/>
                      <a:ext cx="14605" cy="161925"/>
                    </a:xfrm>
                    <a:prstGeom prst="rect">
                      <a:avLst/>
                    </a:prstGeom>
                  </pic:spPr>
                </pic:pic>
              </a:graphicData>
            </a:graphic>
          </wp:inline>
        </w:drawing>
      </w:r>
      <w:r>
        <w:rPr>
          <w:rFonts w:ascii="Arial;sans-serif" w:hAnsi="Arial;sans-serif"/>
          <w:b w:val="false"/>
          <w:color w:val="0000FF"/>
          <w:sz w:val="14"/>
          <w:u w:val="single"/>
        </w:rPr>
        <w:t>278638019 v5</w:t>
      </w:r>
    </w:p>
    <w:p>
      <w:pPr>
        <w:pStyle w:val="TextBody"/>
        <w:spacing w:before="11" w:after="283"/>
        <w:rPr/>
      </w:pPr>
      <w:r>
        <w:rPr/>
      </w:r>
    </w:p>
    <w:p>
      <w:pPr>
        <w:pStyle w:val="TextBody"/>
        <w:spacing w:lineRule="auto" w:line="240" w:before="0" w:after="0"/>
        <w:rPr/>
      </w:pPr>
      <w:r>
        <w:rPr/>
        <w:drawing>
          <wp:inline distT="0" distB="63500" distL="0" distR="0">
            <wp:extent cx="14605" cy="257175"/>
            <wp:effectExtent l="0" t="0" r="0" b="0"/>
            <wp:docPr id="13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 descr=""/>
                    <pic:cNvPicPr>
                      <a:picLocks noChangeAspect="1" noChangeArrowheads="1"/>
                    </pic:cNvPicPr>
                  </pic:nvPicPr>
                  <pic:blipFill>
                    <a:blip r:embed="rId12"/>
                    <a:stretch>
                      <a:fillRect/>
                    </a:stretch>
                  </pic:blipFill>
                  <pic:spPr bwMode="auto">
                    <a:xfrm>
                      <a:off x="0" y="0"/>
                      <a:ext cx="14605" cy="257175"/>
                    </a:xfrm>
                    <a:prstGeom prst="rect">
                      <a:avLst/>
                    </a:prstGeom>
                  </pic:spPr>
                </pic:pic>
              </a:graphicData>
            </a:graphic>
          </wp:inline>
        </w:drawing>
      </w:r>
      <w:r>
        <w:rPr>
          <w:rFonts w:ascii="Times New Roman;sans-serif" w:hAnsi="Times New Roman;sans-serif"/>
          <w:b w:val="false"/>
          <w:strike/>
          <w:color w:val="FF0000"/>
          <w:sz w:val="18"/>
        </w:rPr>
        <w:t>295054968.4</w:t>
      </w:r>
      <w:r>
        <w:rPr>
          <w:rFonts w:ascii="Times New Roman;sans-serif" w:hAnsi="Times New Roman;sans-serif"/>
          <w:b w:val="false"/>
          <w:color w:val="0000FF"/>
          <w:sz w:val="18"/>
          <w:u w:val="single"/>
        </w:rPr>
        <w:t>WEST\300615610.6</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738505"/>
                <wp:effectExtent l="0" t="0" r="0" b="0"/>
                <wp:wrapNone/>
                <wp:docPr id="139" name="Frame133"/>
                <a:graphic xmlns:a="http://schemas.openxmlformats.org/drawingml/2006/main">
                  <a:graphicData uri="http://schemas.microsoft.com/office/word/2010/wordprocessingShape">
                    <wps:wsp>
                      <wps:cNvSpPr txBox="1"/>
                      <wps:spPr>
                        <a:xfrm>
                          <a:off x="0" y="0"/>
                          <a:ext cx="6480175" cy="738505"/>
                        </a:xfrm>
                        <a:prstGeom prst="rect"/>
                      </wps:spPr>
                      <wps:txbx>
                        <w:txbxContent>
                          <w:tbl>
                            <w:tblPr>
                              <w:tblW w:w="1304" w:type="dxa"/>
                              <w:jc w:val="left"/>
                              <w:tblInd w:w="0" w:type="dxa"/>
                              <w:tblCellMar>
                                <w:top w:w="28" w:type="dxa"/>
                                <w:left w:w="28" w:type="dxa"/>
                                <w:bottom w:w="28" w:type="dxa"/>
                                <w:right w:w="28" w:type="dxa"/>
                              </w:tblCellMar>
                            </w:tblPr>
                            <w:tblGrid>
                              <w:gridCol w:w="417"/>
                              <w:gridCol w:w="366"/>
                              <w:gridCol w:w="521"/>
                            </w:tblGrid>
                            <w:tr>
                              <w:trPr/>
                              <w:tc>
                                <w:tcPr>
                                  <w:tcW w:w="41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15pt;mso-wrap-distance-left:0pt;mso-wrap-distance-right:0pt;mso-wrap-distance-top:0pt;mso-wrap-distance-bottom:0pt;margin-top:0pt;mso-position-vertical:top;mso-position-vertical-relative:text;margin-left:0pt;mso-position-horizontal:left;mso-position-horizontal-relative:text">
                <v:textbox>
                  <w:txbxContent>
                    <w:tbl>
                      <w:tblPr>
                        <w:tblW w:w="1304" w:type="dxa"/>
                        <w:jc w:val="left"/>
                        <w:tblInd w:w="0" w:type="dxa"/>
                        <w:tblCellMar>
                          <w:top w:w="28" w:type="dxa"/>
                          <w:left w:w="28" w:type="dxa"/>
                          <w:bottom w:w="28" w:type="dxa"/>
                          <w:right w:w="28" w:type="dxa"/>
                        </w:tblCellMar>
                      </w:tblPr>
                      <w:tblGrid>
                        <w:gridCol w:w="417"/>
                        <w:gridCol w:w="366"/>
                        <w:gridCol w:w="521"/>
                      </w:tblGrid>
                      <w:tr>
                        <w:trPr/>
                        <w:tc>
                          <w:tcPr>
                            <w:tcW w:w="417"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lineRule="auto" w:line="240" w:before="0" w:after="0"/>
        <w:ind w:left="0" w:right="0" w:hanging="720"/>
        <w:rPr/>
      </w:pPr>
      <w:r>
        <w:rPr>
          <w:rFonts w:ascii="Times New Roman;sans-serif" w:hAnsi="Times New Roman;sans-serif"/>
          <w:b w:val="false"/>
          <w:color w:val="0000FF"/>
          <w:sz w:val="20"/>
          <w:u w:val="single"/>
        </w:rPr>
        <w:t>1.1.A</w:t>
      </w:r>
      <w:r>
        <w:rPr/>
        <w:drawing>
          <wp:inline distT="0" distB="63500" distL="0" distR="0">
            <wp:extent cx="14605" cy="142875"/>
            <wp:effectExtent l="0" t="0" r="0" b="0"/>
            <wp:docPr id="1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 descr=""/>
                    <pic:cNvPicPr>
                      <a:picLocks noChangeAspect="1" noChangeArrowheads="1"/>
                    </pic:cNvPicPr>
                  </pic:nvPicPr>
                  <pic:blipFill>
                    <a:blip r:embed="rId13"/>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Revolving Line.</w:t>
      </w:r>
    </w:p>
    <w:p>
      <w:pPr>
        <w:pStyle w:val="TextBody"/>
        <w:spacing w:before="0" w:after="0"/>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(a)</w:t>
      </w:r>
      <w:r>
        <w:rPr/>
        <w:drawing>
          <wp:inline distT="0" distB="63500" distL="0" distR="0">
            <wp:extent cx="14605" cy="581025"/>
            <wp:effectExtent l="0" t="0" r="0" b="0"/>
            <wp:docPr id="1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8" descr=""/>
                    <pic:cNvPicPr>
                      <a:picLocks noChangeAspect="1" noChangeArrowheads="1"/>
                    </pic:cNvPicPr>
                  </pic:nvPicPr>
                  <pic:blipFill>
                    <a:blip r:embed="rId14"/>
                    <a:stretch>
                      <a:fillRect/>
                    </a:stretch>
                  </pic:blipFill>
                  <pic:spPr bwMode="auto">
                    <a:xfrm>
                      <a:off x="0" y="0"/>
                      <a:ext cx="14605" cy="581025"/>
                    </a:xfrm>
                    <a:prstGeom prst="rect">
                      <a:avLst/>
                    </a:prstGeom>
                  </pic:spPr>
                </pic:pic>
              </a:graphicData>
            </a:graphic>
          </wp:inline>
        </w:drawing>
      </w:r>
      <w:r>
        <w:rPr>
          <w:rFonts w:ascii="Times New Roman;sans-serif" w:hAnsi="Times New Roman;sans-serif"/>
          <w:b w:val="false"/>
          <w:color w:val="0000FF"/>
          <w:sz w:val="20"/>
          <w:u w:val="single"/>
        </w:rPr>
        <w:t>Availability. Subject to the terms and conditions of this Agreement and to deduction of</w:t>
      </w:r>
      <w:r>
        <w:rPr>
          <w:color w:val="0000FF"/>
        </w:rPr>
        <w:t xml:space="preserve"> </w:t>
      </w:r>
      <w:r>
        <w:rPr>
          <w:rFonts w:ascii="Times New Roman;sans-serif" w:hAnsi="Times New Roman;sans-serif"/>
          <w:b w:val="false"/>
          <w:color w:val="0000FF"/>
          <w:sz w:val="20"/>
          <w:u w:val="single"/>
        </w:rPr>
        <w:t>Reserves, Bank shall make Advances under the Revolving Line upon Borrower’s request not exceeding the</w:t>
      </w:r>
      <w:r>
        <w:rPr>
          <w:color w:val="0000FF"/>
        </w:rPr>
        <w:t xml:space="preserve"> </w:t>
      </w:r>
      <w:r>
        <w:rPr>
          <w:rFonts w:ascii="Times New Roman;sans-serif" w:hAnsi="Times New Roman;sans-serif"/>
          <w:b w:val="false"/>
          <w:color w:val="0000FF"/>
          <w:sz w:val="20"/>
          <w:u w:val="single"/>
        </w:rPr>
        <w:t>Availability Amount. Amounts borrowed under the Revolving Line may be prepaid or repaid as set forth on</w:t>
      </w:r>
      <w:r>
        <w:rPr>
          <w:color w:val="0000FF"/>
        </w:rPr>
        <w:t xml:space="preserve"> </w:t>
      </w:r>
      <w:r>
        <w:rPr>
          <w:rFonts w:ascii="Times New Roman;sans-serif" w:hAnsi="Times New Roman;sans-serif"/>
          <w:b w:val="false"/>
          <w:color w:val="0000FF"/>
          <w:sz w:val="20"/>
          <w:u w:val="single"/>
        </w:rPr>
        <w:t>Schedule I hereto.</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(b)</w:t>
      </w:r>
      <w:r>
        <w:rPr/>
        <w:drawing>
          <wp:inline distT="0" distB="63500" distL="0" distR="0">
            <wp:extent cx="14605" cy="438150"/>
            <wp:effectExtent l="0" t="0" r="0" b="0"/>
            <wp:docPr id="1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 descr=""/>
                    <pic:cNvPicPr>
                      <a:picLocks noChangeAspect="1" noChangeArrowheads="1"/>
                    </pic:cNvPicPr>
                  </pic:nvPicPr>
                  <pic:blipFill>
                    <a:blip r:embed="rId15"/>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Termination; Repayment. The Revolving Line terminates on the Revolving Line</w:t>
      </w:r>
      <w:r>
        <w:rPr>
          <w:color w:val="0000FF"/>
        </w:rPr>
        <w:t xml:space="preserve"> </w:t>
      </w:r>
      <w:r>
        <w:rPr>
          <w:rFonts w:ascii="Times New Roman;sans-serif" w:hAnsi="Times New Roman;sans-serif"/>
          <w:b w:val="false"/>
          <w:color w:val="0000FF"/>
          <w:sz w:val="20"/>
          <w:u w:val="single"/>
        </w:rPr>
        <w:t>Maturity Date, at which time the outstanding principal amount of all Advances, the accrued and unpaid interest</w:t>
      </w:r>
      <w:r>
        <w:rPr>
          <w:color w:val="0000FF"/>
        </w:rPr>
        <w:t xml:space="preserve"> </w:t>
      </w:r>
      <w:r>
        <w:rPr>
          <w:rFonts w:ascii="Times New Roman;sans-serif" w:hAnsi="Times New Roman;sans-serif"/>
          <w:b w:val="false"/>
          <w:color w:val="0000FF"/>
          <w:sz w:val="20"/>
          <w:u w:val="single"/>
        </w:rPr>
        <w:t>thereon, and all other outstanding Obligations relating to the Revolving Line shall be immediately due and payable.</w:t>
      </w:r>
    </w:p>
    <w:p>
      <w:pPr>
        <w:pStyle w:val="TextBody"/>
        <w:spacing w:before="1" w:after="283"/>
        <w:rPr/>
      </w:pPr>
      <w:r>
        <w:rPr/>
      </w:r>
    </w:p>
    <w:p>
      <w:pPr>
        <w:pStyle w:val="TextBody"/>
        <w:spacing w:lineRule="auto" w:line="240" w:before="91" w:after="283"/>
        <w:ind w:left="0" w:right="0" w:firstLine="720"/>
        <w:jc w:val="both"/>
        <w:rPr/>
      </w:pPr>
      <w:r>
        <w:rPr>
          <w:rFonts w:ascii="Times New Roman;sans-serif" w:hAnsi="Times New Roman;sans-serif"/>
          <w:b w:val="false"/>
          <w:color w:val="0000FF"/>
          <w:sz w:val="20"/>
          <w:u w:val="single"/>
        </w:rPr>
        <w:t>1.1.B</w:t>
      </w:r>
      <w:r>
        <w:rPr/>
        <w:drawing>
          <wp:inline distT="0" distB="63500" distL="0" distR="0">
            <wp:extent cx="14605" cy="876300"/>
            <wp:effectExtent l="0" t="0" r="0" b="0"/>
            <wp:docPr id="1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 descr=""/>
                    <pic:cNvPicPr>
                      <a:picLocks noChangeAspect="1" noChangeArrowheads="1"/>
                    </pic:cNvPicPr>
                  </pic:nvPicPr>
                  <pic:blipFill>
                    <a:blip r:embed="rId16"/>
                    <a:stretch>
                      <a:fillRect/>
                    </a:stretch>
                  </pic:blipFill>
                  <pic:spPr bwMode="auto">
                    <a:xfrm>
                      <a:off x="0" y="0"/>
                      <a:ext cx="14605" cy="876300"/>
                    </a:xfrm>
                    <a:prstGeom prst="rect">
                      <a:avLst/>
                    </a:prstGeom>
                  </pic:spPr>
                </pic:pic>
              </a:graphicData>
            </a:graphic>
          </wp:inline>
        </w:drawing>
      </w:r>
      <w:r>
        <w:rPr>
          <w:rFonts w:ascii="Times New Roman;sans-serif" w:hAnsi="Times New Roman;sans-serif"/>
          <w:b/>
          <w:color w:val="0000FF"/>
          <w:sz w:val="20"/>
          <w:u w:val="single"/>
        </w:rPr>
        <w:t xml:space="preserve">Overadvances. </w:t>
      </w:r>
      <w:r>
        <w:rPr>
          <w:rFonts w:ascii="Times New Roman;sans-serif" w:hAnsi="Times New Roman;sans-serif"/>
          <w:b w:val="false"/>
          <w:color w:val="0000FF"/>
          <w:sz w:val="20"/>
          <w:u w:val="single"/>
        </w:rPr>
        <w:t>If, at any time, the sum of the aggregate outstanding principal amount of any</w:t>
      </w:r>
      <w:r>
        <w:rPr>
          <w:color w:val="0000FF"/>
        </w:rPr>
        <w:t xml:space="preserve"> </w:t>
      </w:r>
      <w:r>
        <w:rPr>
          <w:rFonts w:ascii="Times New Roman;sans-serif" w:hAnsi="Times New Roman;sans-serif"/>
          <w:b w:val="false"/>
          <w:color w:val="0000FF"/>
          <w:sz w:val="20"/>
          <w:u w:val="single"/>
        </w:rPr>
        <w:t>Advances exceeds the lesser of (i) the Revolving Line or (ii) the Borrowing Base, Borrower shall immediately pay to</w:t>
      </w:r>
      <w:r>
        <w:rPr>
          <w:color w:val="0000FF"/>
        </w:rPr>
        <w:t xml:space="preserve"> </w:t>
      </w:r>
      <w:r>
        <w:rPr>
          <w:rFonts w:ascii="Times New Roman;sans-serif" w:hAnsi="Times New Roman;sans-serif"/>
          <w:b w:val="false"/>
          <w:color w:val="0000FF"/>
          <w:sz w:val="20"/>
          <w:u w:val="single"/>
        </w:rPr>
        <w:t>Bank in cash the amount of such excess (such excess, the “</w:t>
      </w:r>
      <w:r>
        <w:rPr>
          <w:rFonts w:ascii="Times New Roman;sans-serif" w:hAnsi="Times New Roman;sans-serif"/>
          <w:b/>
          <w:color w:val="0000FF"/>
          <w:sz w:val="20"/>
          <w:u w:val="single"/>
        </w:rPr>
        <w:t>Overadvance</w:t>
      </w:r>
      <w:r>
        <w:rPr>
          <w:color w:val="0000FF"/>
          <w:u w:val="single"/>
        </w:rPr>
        <w:t>”</w:t>
      </w:r>
      <w:r>
        <w:rPr>
          <w:rFonts w:ascii="Times New Roman;sans-serif" w:hAnsi="Times New Roman;sans-serif"/>
          <w:b w:val="false"/>
          <w:color w:val="0000FF"/>
          <w:sz w:val="20"/>
          <w:u w:val="single"/>
        </w:rPr>
        <w:t>). Without limiting Borrower’s obligation</w:t>
      </w:r>
      <w:r>
        <w:rPr>
          <w:color w:val="0000FF"/>
        </w:rPr>
        <w:t xml:space="preserve"> </w:t>
      </w:r>
      <w:r>
        <w:rPr>
          <w:rFonts w:ascii="Times New Roman;sans-serif" w:hAnsi="Times New Roman;sans-serif"/>
          <w:b w:val="false"/>
          <w:color w:val="0000FF"/>
          <w:sz w:val="20"/>
          <w:u w:val="single"/>
        </w:rPr>
        <w:t>to repay Bank any Overadvance, at Bank’s sole option, Borrower shall pay Bank interest on the outstanding amount</w:t>
      </w:r>
      <w:r>
        <w:rPr>
          <w:color w:val="0000FF"/>
        </w:rPr>
        <w:t xml:space="preserve"> </w:t>
      </w:r>
      <w:r>
        <w:rPr>
          <w:rFonts w:ascii="Times New Roman;sans-serif" w:hAnsi="Times New Roman;sans-serif"/>
          <w:b w:val="false"/>
          <w:color w:val="0000FF"/>
          <w:sz w:val="20"/>
          <w:u w:val="single"/>
        </w:rPr>
        <w:t>of any Overadvance, on demand, at a rate per annum equal to the rate that is otherwise applicable to Advances plus</w:t>
      </w:r>
      <w:r>
        <w:rPr>
          <w:color w:val="0000FF"/>
        </w:rPr>
        <w:t xml:space="preserve"> </w:t>
      </w:r>
      <w:r>
        <w:rPr>
          <w:rFonts w:ascii="Times New Roman;sans-serif" w:hAnsi="Times New Roman;sans-serif"/>
          <w:b w:val="false"/>
          <w:color w:val="0000FF"/>
          <w:sz w:val="20"/>
          <w:u w:val="single"/>
        </w:rPr>
        <w:t>three percent (3.0%).</w:t>
      </w:r>
    </w:p>
    <w:p>
      <w:pPr>
        <w:pStyle w:val="TextBody"/>
        <w:spacing w:before="4" w:after="283"/>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1.2Payment of Interest on the Credit Extensions.</w:t>
      </w:r>
    </w:p>
    <w:p>
      <w:pPr>
        <w:pStyle w:val="TextBody"/>
        <w:spacing w:before="10" w:after="283"/>
        <w:rPr/>
      </w:pPr>
      <w:r>
        <w:rPr/>
      </w:r>
    </w:p>
    <w:p>
      <w:pPr>
        <w:pStyle w:val="TextBody"/>
        <w:spacing w:lineRule="auto" w:line="240" w:before="1" w:after="283"/>
        <w:ind w:left="0" w:right="0" w:hanging="720"/>
        <w:rPr/>
      </w:pPr>
      <w:r>
        <w:rPr>
          <w:rFonts w:ascii="Times New Roman;sans-serif" w:hAnsi="Times New Roman;sans-serif"/>
          <w:b w:val="false"/>
          <w:color w:val="0000FF"/>
          <w:sz w:val="20"/>
        </w:rPr>
        <w:t>(a)</w:t>
      </w:r>
      <w:r>
        <w:rPr/>
        <w:drawing>
          <wp:inline distT="0" distB="63500" distL="0" distR="0">
            <wp:extent cx="923925" cy="14605"/>
            <wp:effectExtent l="0" t="0" r="0" b="0"/>
            <wp:docPr id="1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 descr=""/>
                    <pic:cNvPicPr>
                      <a:picLocks noChangeAspect="1" noChangeArrowheads="1"/>
                    </pic:cNvPicPr>
                  </pic:nvPicPr>
                  <pic:blipFill>
                    <a:blip r:embed="rId17"/>
                    <a:stretch>
                      <a:fillRect/>
                    </a:stretch>
                  </pic:blipFill>
                  <pic:spPr bwMode="auto">
                    <a:xfrm>
                      <a:off x="0" y="0"/>
                      <a:ext cx="923925" cy="14605"/>
                    </a:xfrm>
                    <a:prstGeom prst="rect">
                      <a:avLst/>
                    </a:prstGeom>
                  </pic:spPr>
                </pic:pic>
              </a:graphicData>
            </a:graphic>
          </wp:inline>
        </w:drawing>
      </w:r>
      <w:r>
        <w:rPr/>
        <w:drawing>
          <wp:inline distT="0" distB="63500" distL="0" distR="0">
            <wp:extent cx="14605" cy="142875"/>
            <wp:effectExtent l="0" t="0" r="0" b="0"/>
            <wp:docPr id="1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 descr=""/>
                    <pic:cNvPicPr>
                      <a:picLocks noChangeAspect="1" noChangeArrowheads="1"/>
                    </pic:cNvPicPr>
                  </pic:nvPicPr>
                  <pic:blipFill>
                    <a:blip r:embed="rId18"/>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Interest Payments.</w:t>
      </w:r>
    </w:p>
    <w:p>
      <w:pPr>
        <w:pStyle w:val="TextBody"/>
        <w:spacing w:before="0" w:after="0"/>
        <w:rPr/>
      </w:pPr>
      <w:r>
        <w:rPr/>
        <w:drawing>
          <wp:inline distT="0" distB="63500" distL="0" distR="0">
            <wp:extent cx="133350" cy="19050"/>
            <wp:effectExtent l="0" t="0" r="0" b="0"/>
            <wp:docPr id="1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 descr=""/>
                    <pic:cNvPicPr>
                      <a:picLocks noChangeAspect="1" noChangeArrowheads="1"/>
                    </pic:cNvPicPr>
                  </pic:nvPicPr>
                  <pic:blipFill>
                    <a:blip r:embed="rId19"/>
                    <a:stretch>
                      <a:fillRect/>
                    </a:stretch>
                  </pic:blipFill>
                  <pic:spPr bwMode="auto">
                    <a:xfrm>
                      <a:off x="0" y="0"/>
                      <a:ext cx="133350" cy="19050"/>
                    </a:xfrm>
                    <a:prstGeom prst="rect">
                      <a:avLst/>
                    </a:prstGeom>
                  </pic:spPr>
                </pic:pic>
              </a:graphicData>
            </a:graphic>
          </wp:inline>
        </w:drawing>
      </w:r>
    </w:p>
    <w:p>
      <w:pPr>
        <w:pStyle w:val="TextBody"/>
        <w:spacing w:before="2" w:after="283"/>
        <w:rPr/>
      </w:pPr>
      <w:r>
        <w:rPr/>
      </w:r>
    </w:p>
    <w:p>
      <w:pPr>
        <w:pStyle w:val="TextBody"/>
        <w:spacing w:lineRule="auto" w:line="240" w:before="91" w:after="283"/>
        <w:ind w:left="0" w:right="0" w:firstLine="720"/>
        <w:rPr/>
      </w:pPr>
      <w:r>
        <w:rPr>
          <w:rFonts w:ascii="Times New Roman;sans-serif" w:hAnsi="Times New Roman;sans-serif"/>
          <w:b w:val="false"/>
          <w:color w:val="0000FF"/>
          <w:sz w:val="20"/>
          <w:u w:val="single"/>
        </w:rPr>
        <w:t>(i)</w:t>
      </w:r>
      <w:r>
        <w:rPr/>
        <w:drawing>
          <wp:inline distT="0" distB="63500" distL="0" distR="0">
            <wp:extent cx="14605" cy="285750"/>
            <wp:effectExtent l="0" t="0" r="0" b="0"/>
            <wp:docPr id="14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 descr=""/>
                    <pic:cNvPicPr>
                      <a:picLocks noChangeAspect="1" noChangeArrowheads="1"/>
                    </pic:cNvPicPr>
                  </pic:nvPicPr>
                  <pic:blipFill>
                    <a:blip r:embed="rId20"/>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Advances. Interest on the principal amount of each Advance is payable</w:t>
      </w:r>
      <w:r>
        <w:rPr>
          <w:color w:val="0000FF"/>
        </w:rPr>
        <w:t xml:space="preserve"> </w:t>
      </w:r>
      <w:r>
        <w:rPr>
          <w:rFonts w:ascii="Times New Roman;sans-serif" w:hAnsi="Times New Roman;sans-serif"/>
          <w:b w:val="false"/>
          <w:color w:val="0000FF"/>
          <w:sz w:val="20"/>
          <w:u w:val="single"/>
        </w:rPr>
        <w:t>as set forth on Schedule I hereto.</w:t>
      </w:r>
    </w:p>
    <w:p>
      <w:pPr>
        <w:pStyle w:val="TextBody"/>
        <w:spacing w:before="0" w:after="0"/>
        <w:rPr/>
      </w:pPr>
      <w:r>
        <w:rPr/>
      </w:r>
    </w:p>
    <w:p>
      <w:pPr>
        <w:pStyle w:val="TextBody"/>
        <w:spacing w:lineRule="auto" w:line="240" w:before="91" w:after="283"/>
        <w:ind w:left="0" w:right="0" w:firstLine="720"/>
        <w:jc w:val="both"/>
        <w:rPr/>
      </w:pPr>
      <w:r>
        <w:rPr>
          <w:rFonts w:ascii="Times New Roman;sans-serif" w:hAnsi="Times New Roman;sans-serif"/>
          <w:b w:val="false"/>
          <w:color w:val="0000FF"/>
          <w:sz w:val="20"/>
          <w:u w:val="single"/>
        </w:rPr>
        <w:t>(ii)</w:t>
      </w:r>
      <w:r>
        <w:rPr/>
        <w:drawing>
          <wp:inline distT="0" distB="63500" distL="0" distR="0">
            <wp:extent cx="1990725" cy="19050"/>
            <wp:effectExtent l="0" t="0" r="0" b="0"/>
            <wp:docPr id="1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5" descr=""/>
                    <pic:cNvPicPr>
                      <a:picLocks noChangeAspect="1" noChangeArrowheads="1"/>
                    </pic:cNvPicPr>
                  </pic:nvPicPr>
                  <pic:blipFill>
                    <a:blip r:embed="rId21"/>
                    <a:stretch>
                      <a:fillRect/>
                    </a:stretch>
                  </pic:blipFill>
                  <pic:spPr bwMode="auto">
                    <a:xfrm>
                      <a:off x="0" y="0"/>
                      <a:ext cx="1990725" cy="19050"/>
                    </a:xfrm>
                    <a:prstGeom prst="rect">
                      <a:avLst/>
                    </a:prstGeom>
                  </pic:spPr>
                </pic:pic>
              </a:graphicData>
            </a:graphic>
          </wp:inline>
        </w:drawing>
      </w:r>
      <w:r>
        <w:rPr/>
        <w:drawing>
          <wp:inline distT="0" distB="63500" distL="0" distR="0">
            <wp:extent cx="14605" cy="285750"/>
            <wp:effectExtent l="0" t="0" r="0" b="0"/>
            <wp:docPr id="1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6" descr=""/>
                    <pic:cNvPicPr>
                      <a:picLocks noChangeAspect="1" noChangeArrowheads="1"/>
                    </pic:cNvPicPr>
                  </pic:nvPicPr>
                  <pic:blipFill>
                    <a:blip r:embed="rId22"/>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strike/>
          <w:color w:val="FF0000"/>
          <w:sz w:val="20"/>
        </w:rPr>
        <w:t>(a) Interest Payments</w:t>
      </w:r>
      <w:r>
        <w:rPr>
          <w:rFonts w:ascii="Times New Roman;sans-serif" w:hAnsi="Times New Roman;sans-serif"/>
          <w:b w:val="false"/>
          <w:color w:val="0000FF"/>
          <w:sz w:val="20"/>
        </w:rPr>
        <w:t>Term Loan Advances</w:t>
      </w:r>
      <w:r>
        <w:rPr>
          <w:rFonts w:ascii="Times New Roman;sans-serif" w:hAnsi="Times New Roman;sans-serif"/>
          <w:b w:val="false"/>
          <w:color w:val="000000"/>
          <w:sz w:val="20"/>
        </w:rPr>
        <w:t xml:space="preserve">. Interest on the outstanding principal amount of </w:t>
      </w:r>
      <w:r>
        <w:rPr>
          <w:rFonts w:ascii="Times New Roman;sans-serif" w:hAnsi="Times New Roman;sans-serif"/>
          <w:b w:val="false"/>
          <w:strike/>
          <w:color w:val="FF0000"/>
          <w:sz w:val="20"/>
        </w:rPr>
        <w:t>the</w:t>
      </w:r>
      <w:r>
        <w:rPr>
          <w:rFonts w:ascii="Times New Roman;sans-serif" w:hAnsi="Times New Roman;sans-serif"/>
          <w:b w:val="false"/>
          <w:color w:val="0000FF"/>
          <w:sz w:val="20"/>
          <w:u w:val="single"/>
        </w:rPr>
        <w:t>each</w:t>
      </w:r>
      <w:r>
        <w:rPr>
          <w:color w:val="0000FF"/>
        </w:rPr>
        <w:t xml:space="preserve"> </w:t>
      </w:r>
      <w:r>
        <w:rPr>
          <w:rFonts w:ascii="Times New Roman;sans-serif" w:hAnsi="Times New Roman;sans-serif"/>
          <w:b w:val="false"/>
          <w:color w:val="000000"/>
          <w:sz w:val="20"/>
        </w:rPr>
        <w:t>Term Loan Advance is payable as set forth on Schedule I hereto.</w:t>
      </w:r>
    </w:p>
    <w:p>
      <w:pPr>
        <w:pStyle w:val="TextBody"/>
        <w:spacing w:before="0" w:after="0"/>
        <w:rPr/>
      </w:pPr>
      <w:r>
        <w:rPr/>
      </w:r>
    </w:p>
    <w:p>
      <w:pPr>
        <w:pStyle w:val="TextBody"/>
        <w:spacing w:lineRule="auto" w:line="240" w:before="0" w:after="0"/>
        <w:ind w:left="0" w:right="0" w:hanging="72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Interest Rate</w:t>
      </w:r>
      <w:r>
        <w:rPr>
          <w:rFonts w:ascii="Times New Roman;sans-serif" w:hAnsi="Times New Roman;sans-serif"/>
          <w:b w:val="false"/>
          <w:color w:val="000000"/>
          <w:sz w:val="20"/>
        </w:rPr>
        <w:t>.</w:t>
      </w:r>
    </w:p>
    <w:p>
      <w:pPr>
        <w:pStyle w:val="TextBody"/>
        <w:spacing w:before="10" w:after="283"/>
        <w:rPr/>
      </w:pPr>
      <w:r>
        <w:rPr/>
      </w:r>
    </w:p>
    <w:p>
      <w:pPr>
        <w:pStyle w:val="TextBody"/>
        <w:spacing w:lineRule="auto" w:line="240" w:before="0" w:after="0"/>
        <w:ind w:left="0" w:right="0" w:firstLine="2880"/>
        <w:rPr/>
      </w:pPr>
      <w:r>
        <w:rPr>
          <w:rFonts w:ascii="Times New Roman;sans-serif" w:hAnsi="Times New Roman;sans-serif"/>
          <w:b w:val="false"/>
          <w:color w:val="0000FF"/>
          <w:sz w:val="20"/>
          <w:u w:val="single"/>
        </w:rPr>
        <w:t>(i)</w:t>
      </w:r>
      <w:r>
        <w:rPr/>
        <w:drawing>
          <wp:inline distT="0" distB="63500" distL="0" distR="0">
            <wp:extent cx="14605" cy="285750"/>
            <wp:effectExtent l="0" t="0" r="0" b="0"/>
            <wp:docPr id="1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7" descr=""/>
                    <pic:cNvPicPr>
                      <a:picLocks noChangeAspect="1" noChangeArrowheads="1"/>
                    </pic:cNvPicPr>
                  </pic:nvPicPr>
                  <pic:blipFill>
                    <a:blip r:embed="rId23"/>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Advances. Subject to Section 1.2(c), the outstanding principal amount</w:t>
      </w:r>
      <w:r>
        <w:rPr>
          <w:color w:val="0000FF"/>
        </w:rPr>
        <w:t xml:space="preserve"> </w:t>
      </w:r>
      <w:r>
        <w:rPr>
          <w:rFonts w:ascii="Times New Roman;sans-serif" w:hAnsi="Times New Roman;sans-serif"/>
          <w:b w:val="false"/>
          <w:color w:val="0000FF"/>
          <w:sz w:val="20"/>
          <w:u w:val="single"/>
        </w:rPr>
        <w:t>of any Advance shall accrue interest as set forth on Schedule I hereto.</w:t>
      </w:r>
    </w:p>
    <w:p>
      <w:pPr>
        <w:pStyle w:val="TextBody"/>
        <w:spacing w:before="1" w:after="283"/>
        <w:rPr/>
      </w:pPr>
      <w:r>
        <w:rPr/>
      </w:r>
    </w:p>
    <w:p>
      <w:pPr>
        <w:pStyle w:val="TextBody"/>
        <w:spacing w:lineRule="auto" w:line="240" w:before="91" w:after="283"/>
        <w:ind w:left="0" w:right="0" w:firstLine="2880"/>
        <w:jc w:val="both"/>
        <w:rPr/>
      </w:pPr>
      <w:r>
        <w:rPr>
          <w:rFonts w:ascii="Times New Roman;sans-serif" w:hAnsi="Times New Roman;sans-serif"/>
          <w:b w:val="false"/>
          <w:color w:val="0000FF"/>
          <w:sz w:val="20"/>
          <w:u w:val="single"/>
        </w:rPr>
        <w:t>(ii)</w:t>
      </w:r>
      <w:r>
        <w:rPr/>
        <w:drawing>
          <wp:inline distT="0" distB="63500" distL="0" distR="0">
            <wp:extent cx="942975" cy="19050"/>
            <wp:effectExtent l="0" t="0" r="0" b="0"/>
            <wp:docPr id="1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8" descr=""/>
                    <pic:cNvPicPr>
                      <a:picLocks noChangeAspect="1" noChangeArrowheads="1"/>
                    </pic:cNvPicPr>
                  </pic:nvPicPr>
                  <pic:blipFill>
                    <a:blip r:embed="rId24"/>
                    <a:stretch>
                      <a:fillRect/>
                    </a:stretch>
                  </pic:blipFill>
                  <pic:spPr bwMode="auto">
                    <a:xfrm>
                      <a:off x="0" y="0"/>
                      <a:ext cx="942975" cy="19050"/>
                    </a:xfrm>
                    <a:prstGeom prst="rect">
                      <a:avLst/>
                    </a:prstGeom>
                  </pic:spPr>
                </pic:pic>
              </a:graphicData>
            </a:graphic>
          </wp:inline>
        </w:drawing>
      </w:r>
      <w:r>
        <w:rPr/>
        <w:drawing>
          <wp:inline distT="0" distB="63500" distL="0" distR="0">
            <wp:extent cx="14605" cy="142875"/>
            <wp:effectExtent l="0" t="0" r="0" b="0"/>
            <wp:docPr id="1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9" descr=""/>
                    <pic:cNvPicPr>
                      <a:picLocks noChangeAspect="1" noChangeArrowheads="1"/>
                    </pic:cNvPicPr>
                  </pic:nvPicPr>
                  <pic:blipFill>
                    <a:blip r:embed="rId25"/>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strike/>
          <w:color w:val="FF0000"/>
          <w:sz w:val="20"/>
        </w:rPr>
        <w:t>(i)</w:t>
      </w:r>
      <w:r>
        <w:rPr>
          <w:color w:val="FF0000"/>
        </w:rPr>
        <w:t xml:space="preserve"> </w:t>
      </w:r>
      <w:r>
        <w:rPr>
          <w:rFonts w:ascii="Times New Roman;sans-serif" w:hAnsi="Times New Roman;sans-serif"/>
          <w:b w:val="false"/>
          <w:color w:val="000000"/>
          <w:sz w:val="20"/>
          <w:u w:val="single"/>
        </w:rPr>
        <w:t>Term Loan</w:t>
      </w:r>
      <w:r>
        <w:rPr>
          <w:color w:val="000000"/>
        </w:rPr>
        <w:t xml:space="preserve"> </w:t>
      </w:r>
      <w:r>
        <w:rPr>
          <w:rFonts w:ascii="Times New Roman;sans-serif" w:hAnsi="Times New Roman;sans-serif"/>
          <w:b w:val="false"/>
          <w:strike/>
          <w:color w:val="FF0000"/>
          <w:sz w:val="20"/>
        </w:rPr>
        <w:t>Advance</w:t>
      </w:r>
      <w:r>
        <w:rPr>
          <w:rFonts w:ascii="Times New Roman;sans-serif" w:hAnsi="Times New Roman;sans-serif"/>
          <w:b w:val="false"/>
          <w:color w:val="0000FF"/>
          <w:sz w:val="20"/>
        </w:rPr>
        <w:t>Advances</w:t>
      </w:r>
      <w:r>
        <w:rPr>
          <w:rFonts w:ascii="Times New Roman;sans-serif" w:hAnsi="Times New Roman;sans-serif"/>
          <w:b w:val="false"/>
          <w:color w:val="000000"/>
          <w:sz w:val="20"/>
        </w:rPr>
        <w:t>. Subject to Section 1.2</w:t>
      </w:r>
      <w:r>
        <w:rPr>
          <w:rFonts w:ascii="Times New Roman;sans-serif" w:hAnsi="Times New Roman;sans-serif"/>
          <w:b w:val="false"/>
          <w:strike/>
          <w:color w:val="FF0000"/>
          <w:sz w:val="20"/>
        </w:rPr>
        <w:t>(c)</w:t>
      </w:r>
      <w:r>
        <w:rPr>
          <w:rFonts w:ascii="Times New Roman;sans-serif" w:hAnsi="Times New Roman;sans-serif"/>
          <w:b w:val="false"/>
          <w:color w:val="0000FF"/>
          <w:sz w:val="20"/>
        </w:rPr>
        <w:t>(c)</w:t>
      </w:r>
      <w:r>
        <w:rPr>
          <w:rFonts w:ascii="Times New Roman;sans-serif" w:hAnsi="Times New Roman;sans-serif"/>
          <w:b w:val="false"/>
          <w:color w:val="000000"/>
          <w:sz w:val="20"/>
        </w:rPr>
        <w:t>, the outstanding principal amount of the Term Loan Advance shall accrue interest as set forth on Schedule I hereto.</w:t>
      </w:r>
    </w:p>
    <w:p>
      <w:pPr>
        <w:pStyle w:val="TextBody"/>
        <w:spacing w:before="10" w:after="283"/>
        <w:rPr/>
      </w:pPr>
      <w:r>
        <w:rPr/>
      </w:r>
    </w:p>
    <w:p>
      <w:pPr>
        <w:pStyle w:val="TextBody"/>
        <w:spacing w:lineRule="auto" w:line="240" w:before="0" w:after="0"/>
        <w:ind w:left="0" w:right="0" w:firstLine="2880"/>
        <w:jc w:val="both"/>
        <w:rPr/>
      </w:pPr>
      <w:r>
        <w:rPr>
          <w:rFonts w:ascii="Times New Roman;sans-serif" w:hAnsi="Times New Roman;sans-serif"/>
          <w:b w:val="false"/>
          <w:color w:val="0000FF"/>
          <w:sz w:val="20"/>
          <w:u w:val="single"/>
        </w:rPr>
        <w:t>(iii)</w:t>
      </w:r>
      <w:r>
        <w:rPr>
          <w:rFonts w:ascii="Times New Roman;sans-serif" w:hAnsi="Times New Roman;sans-serif"/>
          <w:b w:val="false"/>
          <w:strike/>
          <w:color w:val="FF0000"/>
          <w:sz w:val="20"/>
        </w:rPr>
        <w:t>(ii)</w:t>
      </w:r>
      <w:r>
        <w:rPr>
          <w:color w:val="FF0000"/>
        </w:rPr>
        <w:t xml:space="preserve"> </w:t>
      </w:r>
      <w:r>
        <w:rPr>
          <w:rFonts w:ascii="Times New Roman;sans-serif" w:hAnsi="Times New Roman;sans-serif"/>
          <w:b w:val="false"/>
          <w:color w:val="000000"/>
          <w:sz w:val="20"/>
          <w:u w:val="single"/>
        </w:rPr>
        <w:t>All-In Rate</w:t>
      </w:r>
      <w:r>
        <w:rPr>
          <w:rFonts w:ascii="Times New Roman;sans-serif" w:hAnsi="Times New Roman;sans-serif"/>
          <w:b w:val="false"/>
          <w:color w:val="000000"/>
          <w:sz w:val="20"/>
        </w:rPr>
        <w:t>. Notwithstanding any terms in this Agreement to the contrary, if at any time the interest rate applicable to any Obligations is less than zero percent (0.0%), such interest rate shall be deemed to be zero percent (0.0%) for all purposes of this Agreement.</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2251710"/>
                <wp:effectExtent l="0" t="0" r="0" b="0"/>
                <wp:wrapNone/>
                <wp:docPr id="153" name="Frame134"/>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1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0" descr=""/>
                                          <pic:cNvPicPr>
                                            <a:picLocks noChangeAspect="1" noChangeArrowheads="1"/>
                                          </pic:cNvPicPr>
                                        </pic:nvPicPr>
                                        <pic:blipFill>
                                          <a:blip r:embed="rId2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1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0" descr=""/>
                                    <pic:cNvPicPr>
                                      <a:picLocks noChangeAspect="1" noChangeArrowheads="1"/>
                                    </pic:cNvPicPr>
                                  </pic:nvPicPr>
                                  <pic:blipFill>
                                    <a:blip r:embed="rId2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drawing>
          <wp:inline distT="0" distB="63500" distL="0" distR="0">
            <wp:extent cx="14605" cy="142875"/>
            <wp:effectExtent l="0" t="0" r="0" b="0"/>
            <wp:docPr id="15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21" descr=""/>
                    <pic:cNvPicPr>
                      <a:picLocks noChangeAspect="1" noChangeArrowheads="1"/>
                    </pic:cNvPicPr>
                  </pic:nvPicPr>
                  <pic:blipFill>
                    <a:blip r:embed="rId27"/>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00"/>
          <w:sz w:val="20"/>
          <w:u w:val="single"/>
        </w:rPr>
        <w:t>Default Rate</w:t>
      </w:r>
      <w:r>
        <w:rPr>
          <w:rFonts w:ascii="Times New Roman;sans-serif" w:hAnsi="Times New Roman;sans-serif"/>
          <w:b w:val="false"/>
          <w:color w:val="000000"/>
          <w:sz w:val="20"/>
        </w:rPr>
        <w:t>. Immediately upon the occurrence and during the continuance of an Event of Default, the outstanding Obligations shall bear interest at a rate per annum which is three percent (3.0%) above the rate that is otherwise applicable thereto (the “</w:t>
      </w:r>
      <w:r>
        <w:rPr>
          <w:rFonts w:ascii="Times New Roman;sans-serif" w:hAnsi="Times New Roman;sans-serif"/>
          <w:b/>
          <w:color w:val="000000"/>
          <w:sz w:val="20"/>
        </w:rPr>
        <w:t>Default Rate</w:t>
      </w:r>
      <w:r>
        <w:rPr>
          <w:color w:val="000000"/>
        </w:rPr>
        <w:t>”</w:t>
      </w:r>
      <w:r>
        <w:rPr>
          <w:rFonts w:ascii="Times New Roman;sans-serif" w:hAnsi="Times New Roman;sans-serif"/>
          <w:b w:val="false"/>
          <w:color w:val="000000"/>
          <w:sz w:val="20"/>
        </w:rPr>
        <w:t>), unless Bank otherwise elects, in its sole discretion, to impose a lesser increase or no increase.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1.2</w:t>
      </w:r>
      <w:r>
        <w:rPr>
          <w:rFonts w:ascii="Times New Roman;sans-serif" w:hAnsi="Times New Roman;sans-serif"/>
          <w:b w:val="false"/>
          <w:strike/>
          <w:color w:val="FF0000"/>
          <w:sz w:val="20"/>
        </w:rPr>
        <w:t>(c)</w:t>
      </w:r>
      <w:r>
        <w:rPr>
          <w:rFonts w:ascii="Times New Roman;sans-serif" w:hAnsi="Times New Roman;sans-serif"/>
          <w:b w:val="false"/>
          <w:color w:val="0000FF"/>
          <w:sz w:val="20"/>
          <w:u w:val="single"/>
        </w:rPr>
        <w:t>(c)</w:t>
      </w:r>
      <w:r>
        <w:rPr>
          <w:color w:val="0000FF"/>
        </w:rPr>
        <w:t xml:space="preserve"> </w:t>
      </w:r>
      <w:r>
        <w:rPr>
          <w:rFonts w:ascii="Times New Roman;sans-serif" w:hAnsi="Times New Roman;sans-serif"/>
          <w:b w:val="false"/>
          <w:color w:val="000000"/>
          <w:sz w:val="20"/>
        </w:rPr>
        <w:t>is not a permitted alternative to timely payment and shall not constitute a waiver of any Event of Default or otherwise prejudice or limit any rights or reme</w:t>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Adjustment to Interest Rate</w:t>
      </w:r>
      <w:r>
        <w:rPr>
          <w:rFonts w:ascii="Times New Roman;sans-serif" w:hAnsi="Times New Roman;sans-serif"/>
          <w:b w:val="false"/>
          <w:color w:val="000000"/>
          <w:sz w:val="20"/>
        </w:rPr>
        <w:t>. Each change in the interest rate applicable to any amounts payable under the Loan Documents based on changes to the Prime Rate shall be effective on the effective date of any change to the Prime Rate and to the extent of such change.</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Interest Computation</w:t>
      </w:r>
      <w:r>
        <w:rPr>
          <w:rFonts w:ascii="Times New Roman;sans-serif" w:hAnsi="Times New Roman;sans-serif"/>
          <w:b w:val="false"/>
          <w:color w:val="000000"/>
          <w:sz w:val="20"/>
        </w:rPr>
        <w:t>. Interest shall be computed as set forth on Schedule I hereto. In computing interest,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pStyle w:val="TextBody"/>
        <w:spacing w:before="2" w:after="283"/>
        <w:rPr/>
      </w:pPr>
      <w:r>
        <w:rPr/>
      </w:r>
    </w:p>
    <w:p>
      <w:pPr>
        <w:pStyle w:val="TextBody"/>
        <w:spacing w:lineRule="auto" w:line="240" w:before="1" w:after="283"/>
        <w:ind w:left="0" w:right="0" w:hanging="720"/>
        <w:rPr/>
      </w:pPr>
      <w:r>
        <w:rPr>
          <w:rFonts w:ascii="Times New Roman;sans-serif" w:hAnsi="Times New Roman;sans-serif"/>
          <w:b/>
          <w:color w:val="000000"/>
          <w:sz w:val="20"/>
        </w:rPr>
        <w:t xml:space="preserve">1.3Fees and Expenses. </w:t>
      </w:r>
      <w:r>
        <w:rPr>
          <w:rFonts w:ascii="Times New Roman;sans-serif" w:hAnsi="Times New Roman;sans-serif"/>
          <w:b w:val="false"/>
          <w:color w:val="000000"/>
          <w:sz w:val="20"/>
        </w:rPr>
        <w:t>Borrower shall pay to Bank:</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Prepayment Fee</w:t>
      </w:r>
      <w:r>
        <w:rPr>
          <w:rFonts w:ascii="Times New Roman;sans-serif" w:hAnsi="Times New Roman;sans-serif"/>
          <w:b w:val="false"/>
          <w:color w:val="000000"/>
          <w:sz w:val="20"/>
        </w:rPr>
        <w:t>. The Prepayment Fee, if and when due hereunder, which shall be fully earned and non-refundable as of the applicable prepayment date; provided, however, if Borrower refinances the Term Loan Advance with another credit facility from Bank, Bank shall waive the Prepayment Fee;</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drawing>
          <wp:inline distT="0" distB="63500" distL="0" distR="0">
            <wp:extent cx="14605" cy="581025"/>
            <wp:effectExtent l="0" t="0" r="0" b="0"/>
            <wp:docPr id="1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2" descr=""/>
                    <pic:cNvPicPr>
                      <a:picLocks noChangeAspect="1" noChangeArrowheads="1"/>
                    </pic:cNvPicPr>
                  </pic:nvPicPr>
                  <pic:blipFill>
                    <a:blip r:embed="rId28"/>
                    <a:stretch>
                      <a:fillRect/>
                    </a:stretch>
                  </pic:blipFill>
                  <pic:spPr bwMode="auto">
                    <a:xfrm>
                      <a:off x="0" y="0"/>
                      <a:ext cx="14605" cy="581025"/>
                    </a:xfrm>
                    <a:prstGeom prst="rect">
                      <a:avLst/>
                    </a:prstGeom>
                  </pic:spPr>
                </pic:pic>
              </a:graphicData>
            </a:graphic>
          </wp:inline>
        </w:drawing>
      </w:r>
      <w:r>
        <w:rPr/>
        <w:drawing>
          <wp:inline distT="0" distB="63500" distL="0" distR="0">
            <wp:extent cx="5895975" cy="14605"/>
            <wp:effectExtent l="0" t="0" r="0" b="0"/>
            <wp:docPr id="1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3" descr=""/>
                    <pic:cNvPicPr>
                      <a:picLocks noChangeAspect="1" noChangeArrowheads="1"/>
                    </pic:cNvPicPr>
                  </pic:nvPicPr>
                  <pic:blipFill>
                    <a:blip r:embed="rId29"/>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1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24" descr=""/>
                    <pic:cNvPicPr>
                      <a:picLocks noChangeAspect="1" noChangeArrowheads="1"/>
                    </pic:cNvPicPr>
                  </pic:nvPicPr>
                  <pic:blipFill>
                    <a:blip r:embed="rId30"/>
                    <a:stretch>
                      <a:fillRect/>
                    </a:stretch>
                  </pic:blipFill>
                  <pic:spPr bwMode="auto">
                    <a:xfrm>
                      <a:off x="0" y="0"/>
                      <a:ext cx="5895975" cy="14605"/>
                    </a:xfrm>
                    <a:prstGeom prst="rect">
                      <a:avLst/>
                    </a:prstGeom>
                  </pic:spPr>
                </pic:pic>
              </a:graphicData>
            </a:graphic>
          </wp:inline>
        </w:drawing>
      </w:r>
      <w:r>
        <w:rPr>
          <w:rFonts w:ascii="Times New Roman;sans-serif" w:hAnsi="Times New Roman;sans-serif"/>
          <w:b w:val="false"/>
          <w:color w:val="000000"/>
          <w:sz w:val="20"/>
          <w:u w:val="single"/>
        </w:rPr>
        <w:t>Final Payment</w:t>
      </w:r>
      <w:r>
        <w:rPr>
          <w:rFonts w:ascii="Times New Roman;sans-serif" w:hAnsi="Times New Roman;sans-serif"/>
          <w:b w:val="false"/>
          <w:color w:val="000000"/>
          <w:sz w:val="20"/>
        </w:rPr>
        <w:t>. The Final Payment, when due hereunder, which shall be fully earned and non-refundable as of such date</w:t>
      </w:r>
      <w:r>
        <w:rPr>
          <w:rFonts w:ascii="Times New Roman;sans-serif" w:hAnsi="Times New Roman;sans-serif"/>
          <w:b w:val="false"/>
          <w:strike/>
          <w:color w:val="FF0000"/>
          <w:sz w:val="20"/>
        </w:rPr>
        <w:t>; and</w:t>
      </w:r>
      <w:r>
        <w:rPr>
          <w:rFonts w:ascii="Times New Roman;sans-serif" w:hAnsi="Times New Roman;sans-serif"/>
          <w:b w:val="false"/>
          <w:color w:val="0000FF"/>
          <w:sz w:val="20"/>
          <w:u w:val="single"/>
        </w:rPr>
        <w:t>, provided however, for the avoidance of doubt, the Final Payment due under the</w:t>
      </w:r>
      <w:r>
        <w:rPr>
          <w:color w:val="0000FF"/>
        </w:rPr>
        <w:t xml:space="preserve"> </w:t>
      </w:r>
      <w:r>
        <w:rPr>
          <w:rFonts w:ascii="Times New Roman;sans-serif" w:hAnsi="Times New Roman;sans-serif"/>
          <w:b w:val="false"/>
          <w:color w:val="0000FF"/>
          <w:sz w:val="20"/>
          <w:u w:val="single"/>
        </w:rPr>
        <w:t>terms of this original Agreement with respect to the original Term Loan Advances shall be pro-rated and accrued</w:t>
      </w:r>
      <w:r>
        <w:rPr>
          <w:color w:val="0000FF"/>
        </w:rPr>
        <w:t xml:space="preserve"> </w:t>
      </w:r>
      <w:r>
        <w:rPr>
          <w:rFonts w:ascii="Times New Roman;sans-serif" w:hAnsi="Times New Roman;sans-serif"/>
          <w:b w:val="false"/>
          <w:color w:val="0000FF"/>
          <w:sz w:val="20"/>
          <w:u w:val="single"/>
        </w:rPr>
        <w:t>and payable only through the date such original Term Loan Advances are repaid on or around the First Amendment</w:t>
      </w:r>
      <w:r>
        <w:rPr>
          <w:color w:val="0000FF"/>
        </w:rPr>
        <w:t xml:space="preserve"> </w:t>
      </w:r>
      <w:r>
        <w:rPr>
          <w:rFonts w:ascii="Times New Roman;sans-serif" w:hAnsi="Times New Roman;sans-serif"/>
          <w:b w:val="false"/>
          <w:color w:val="0000FF"/>
          <w:sz w:val="20"/>
          <w:u w:val="single"/>
        </w:rPr>
        <w:t>Effective Date, in accordance with Section 1.1(a);</w:t>
      </w:r>
    </w:p>
    <w:p>
      <w:pPr>
        <w:pStyle w:val="TextBody"/>
        <w:spacing w:before="1" w:after="283"/>
        <w:rPr/>
      </w:pPr>
      <w:r>
        <w:rPr/>
      </w:r>
    </w:p>
    <w:p>
      <w:pPr>
        <w:pStyle w:val="TextBody"/>
        <w:spacing w:lineRule="auto" w:line="240" w:before="91" w:after="283"/>
        <w:ind w:left="0" w:right="0" w:firstLine="1440"/>
        <w:rPr/>
      </w:pPr>
      <w:r>
        <w:rPr>
          <w:rFonts w:ascii="Times New Roman;sans-serif" w:hAnsi="Times New Roman;sans-serif"/>
          <w:b w:val="false"/>
          <w:color w:val="0000FF"/>
          <w:sz w:val="20"/>
        </w:rPr>
        <w:t>(c)</w:t>
      </w:r>
      <w:r>
        <w:rPr/>
        <w:drawing>
          <wp:inline distT="0" distB="63500" distL="0" distR="0">
            <wp:extent cx="14605" cy="285750"/>
            <wp:effectExtent l="0" t="0" r="0" b="0"/>
            <wp:docPr id="16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25" descr=""/>
                    <pic:cNvPicPr>
                      <a:picLocks noChangeAspect="1" noChangeArrowheads="1"/>
                    </pic:cNvPicPr>
                  </pic:nvPicPr>
                  <pic:blipFill>
                    <a:blip r:embed="rId31"/>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Revolving Line Commitment Fee. A fully earned, as of the First Amendment Effective</w:t>
      </w:r>
      <w:r>
        <w:rPr>
          <w:color w:val="0000FF"/>
        </w:rPr>
        <w:t xml:space="preserve"> </w:t>
      </w:r>
      <w:r>
        <w:rPr>
          <w:rFonts w:ascii="Times New Roman;sans-serif" w:hAnsi="Times New Roman;sans-serif"/>
          <w:b w:val="false"/>
          <w:color w:val="0000FF"/>
          <w:sz w:val="20"/>
          <w:u w:val="single"/>
        </w:rPr>
        <w:t>Date, non-refundable commitment fee as set forth on Schedule I hereto; and</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(d)</w:t>
      </w:r>
      <w:r>
        <w:rPr/>
        <w:drawing>
          <wp:inline distT="0" distB="63500" distL="0" distR="0">
            <wp:extent cx="14605" cy="723900"/>
            <wp:effectExtent l="0" t="0" r="0" b="0"/>
            <wp:docPr id="16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26" descr=""/>
                    <pic:cNvPicPr>
                      <a:picLocks noChangeAspect="1" noChangeArrowheads="1"/>
                    </pic:cNvPicPr>
                  </pic:nvPicPr>
                  <pic:blipFill>
                    <a:blip r:embed="rId32"/>
                    <a:stretch>
                      <a:fillRect/>
                    </a:stretch>
                  </pic:blipFill>
                  <pic:spPr bwMode="auto">
                    <a:xfrm>
                      <a:off x="0" y="0"/>
                      <a:ext cx="14605" cy="723900"/>
                    </a:xfrm>
                    <a:prstGeom prst="rect">
                      <a:avLst/>
                    </a:prstGeom>
                  </pic:spPr>
                </pic:pic>
              </a:graphicData>
            </a:graphic>
          </wp:inline>
        </w:drawing>
      </w:r>
      <w:r>
        <w:rPr>
          <w:rFonts w:ascii="Times New Roman;sans-serif" w:hAnsi="Times New Roman;sans-serif"/>
          <w:b w:val="false"/>
          <w:color w:val="0000FF"/>
          <w:sz w:val="20"/>
          <w:u w:val="single"/>
        </w:rPr>
        <w:t>Termination Fee. Upon termination of this Agreement or the termination of the</w:t>
      </w:r>
      <w:r>
        <w:rPr>
          <w:color w:val="0000FF"/>
        </w:rPr>
        <w:t xml:space="preserve"> </w:t>
      </w:r>
      <w:r>
        <w:rPr>
          <w:rFonts w:ascii="Times New Roman;sans-serif" w:hAnsi="Times New Roman;sans-serif"/>
          <w:b w:val="false"/>
          <w:color w:val="0000FF"/>
          <w:sz w:val="20"/>
          <w:u w:val="single"/>
        </w:rPr>
        <w:t>Revolving Line for any reason prior to the Revolving Line Maturity Date, in addition to the payment of any other</w:t>
      </w:r>
      <w:r>
        <w:rPr>
          <w:color w:val="0000FF"/>
        </w:rPr>
        <w:t xml:space="preserve"> </w:t>
      </w:r>
      <w:r>
        <w:rPr>
          <w:rFonts w:ascii="Times New Roman;sans-serif" w:hAnsi="Times New Roman;sans-serif"/>
          <w:b w:val="false"/>
          <w:color w:val="0000FF"/>
          <w:sz w:val="20"/>
          <w:u w:val="single"/>
        </w:rPr>
        <w:t>amounts then-owing, a termination fee in an amount equal to One Hundred Fifty Thousand Dollars ($150,000),</w:t>
      </w:r>
      <w:r>
        <w:rPr>
          <w:color w:val="0000FF"/>
        </w:rPr>
        <w:t xml:space="preserve"> </w:t>
      </w:r>
      <w:r>
        <w:rPr>
          <w:rFonts w:ascii="Times New Roman;sans-serif" w:hAnsi="Times New Roman;sans-serif"/>
          <w:b w:val="false"/>
          <w:color w:val="0000FF"/>
          <w:sz w:val="20"/>
          <w:u w:val="single"/>
        </w:rPr>
        <w:t>which shall be fully earned and non-refundable as of such date; provided that no termination fee shall be charged if</w:t>
      </w:r>
      <w:r>
        <w:rPr>
          <w:color w:val="0000FF"/>
        </w:rPr>
        <w:t xml:space="preserve"> </w:t>
      </w:r>
      <w:r>
        <w:rPr>
          <w:rFonts w:ascii="Times New Roman;sans-serif" w:hAnsi="Times New Roman;sans-serif"/>
          <w:b w:val="false"/>
          <w:color w:val="0000FF"/>
          <w:sz w:val="20"/>
          <w:u w:val="single"/>
        </w:rPr>
        <w:t>the credit facility hereunder is replaced with a new facility from Bank;</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(e)</w:t>
      </w:r>
      <w:r>
        <w:rPr/>
        <w:drawing>
          <wp:inline distT="0" distB="63500" distL="0" distR="0">
            <wp:extent cx="14605" cy="142875"/>
            <wp:effectExtent l="0" t="0" r="0" b="0"/>
            <wp:docPr id="16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27" descr=""/>
                    <pic:cNvPicPr>
                      <a:picLocks noChangeAspect="1" noChangeArrowheads="1"/>
                    </pic:cNvPicPr>
                  </pic:nvPicPr>
                  <pic:blipFill>
                    <a:blip r:embed="rId33"/>
                    <a:stretch>
                      <a:fillRect/>
                    </a:stretch>
                  </pic:blipFill>
                  <pic:spPr bwMode="auto">
                    <a:xfrm>
                      <a:off x="0" y="0"/>
                      <a:ext cx="14605" cy="142875"/>
                    </a:xfrm>
                    <a:prstGeom prst="rect">
                      <a:avLst/>
                    </a:prstGeom>
                  </pic:spPr>
                </pic:pic>
              </a:graphicData>
            </a:graphic>
          </wp:inline>
        </w:drawing>
      </w:r>
      <w:r>
        <w:rPr/>
        <w:drawing>
          <wp:inline distT="0" distB="63500" distL="0" distR="0">
            <wp:extent cx="14605" cy="285750"/>
            <wp:effectExtent l="0" t="0" r="0" b="0"/>
            <wp:docPr id="16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28" descr=""/>
                    <pic:cNvPicPr>
                      <a:picLocks noChangeAspect="1" noChangeArrowheads="1"/>
                    </pic:cNvPicPr>
                  </pic:nvPicPr>
                  <pic:blipFill>
                    <a:blip r:embed="rId34"/>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strike/>
          <w:color w:val="FF0000"/>
          <w:sz w:val="20"/>
        </w:rPr>
        <w:t>(c)</w:t>
      </w:r>
      <w:r>
        <w:rPr>
          <w:color w:val="FF0000"/>
        </w:rPr>
        <w:t xml:space="preserve"> </w:t>
      </w:r>
      <w:r>
        <w:rPr>
          <w:rFonts w:ascii="Times New Roman;sans-serif" w:hAnsi="Times New Roman;sans-serif"/>
          <w:b w:val="false"/>
          <w:color w:val="000000"/>
          <w:sz w:val="20"/>
          <w:u w:val="single"/>
        </w:rPr>
        <w:t>Bank Expenses</w:t>
      </w:r>
      <w:r>
        <w:rPr>
          <w:rFonts w:ascii="Times New Roman;sans-serif" w:hAnsi="Times New Roman;sans-serif"/>
          <w:b w:val="false"/>
          <w:color w:val="000000"/>
          <w:sz w:val="20"/>
        </w:rPr>
        <w:t xml:space="preserve">. All Bank Expenses incurred through and after the </w:t>
      </w:r>
      <w:r>
        <w:rPr>
          <w:rFonts w:ascii="Times New Roman;sans-serif" w:hAnsi="Times New Roman;sans-serif"/>
          <w:b w:val="false"/>
          <w:color w:val="0000FF"/>
          <w:sz w:val="20"/>
          <w:u w:val="single"/>
        </w:rPr>
        <w:t>First Amendment</w:t>
      </w:r>
      <w:r>
        <w:rPr>
          <w:color w:val="0000FF"/>
        </w:rPr>
        <w:t xml:space="preserve"> </w:t>
      </w:r>
      <w:r>
        <w:rPr>
          <w:rFonts w:ascii="Times New Roman;sans-serif" w:hAnsi="Times New Roman;sans-serif"/>
          <w:b w:val="false"/>
          <w:color w:val="000000"/>
          <w:sz w:val="20"/>
        </w:rPr>
        <w:t xml:space="preserve">Effective Date, when due (or, if no stated due date, upon demand by Bank). Borrower has paid to Bank a good faith deposit of </w:t>
      </w:r>
      <w:r>
        <w:rPr>
          <w:rFonts w:ascii="Times New Roman;sans-serif" w:hAnsi="Times New Roman;sans-serif"/>
          <w:b w:val="false"/>
          <w:strike/>
          <w:color w:val="FF0000"/>
          <w:sz w:val="20"/>
        </w:rPr>
        <w:t>Fifty</w:t>
      </w:r>
      <w:r>
        <w:rPr>
          <w:rFonts w:ascii="Times New Roman;sans-serif" w:hAnsi="Times New Roman;sans-serif"/>
          <w:b w:val="false"/>
          <w:color w:val="0000FF"/>
          <w:sz w:val="20"/>
          <w:u w:val="single"/>
        </w:rPr>
        <w:t>Seventy-Five</w:t>
      </w:r>
      <w:r>
        <w:rPr>
          <w:color w:val="0000FF"/>
        </w:rPr>
        <w:t xml:space="preserve"> </w:t>
      </w:r>
      <w:r>
        <w:rPr>
          <w:rFonts w:ascii="Times New Roman;sans-serif" w:hAnsi="Times New Roman;sans-serif"/>
          <w:b w:val="false"/>
          <w:color w:val="000000"/>
          <w:sz w:val="20"/>
        </w:rPr>
        <w:t>Thousand Dollars ($</w:t>
      </w:r>
      <w:r>
        <w:rPr>
          <w:rFonts w:ascii="Times New Roman;sans-serif" w:hAnsi="Times New Roman;sans-serif"/>
          <w:b w:val="false"/>
          <w:strike/>
          <w:color w:val="FF0000"/>
          <w:sz w:val="20"/>
        </w:rPr>
        <w:t>50,000</w:t>
      </w:r>
      <w:r>
        <w:rPr>
          <w:rFonts w:ascii="Times New Roman;sans-serif" w:hAnsi="Times New Roman;sans-serif"/>
          <w:b w:val="false"/>
          <w:color w:val="0000FF"/>
          <w:sz w:val="20"/>
          <w:u w:val="single"/>
        </w:rPr>
        <w:t>75,000</w:t>
      </w:r>
      <w:r>
        <w:rPr>
          <w:rFonts w:ascii="Times New Roman;sans-serif" w:hAnsi="Times New Roman;sans-serif"/>
          <w:b w:val="false"/>
          <w:color w:val="000000"/>
          <w:sz w:val="20"/>
        </w:rPr>
        <w:t>) (the “</w:t>
      </w:r>
      <w:r>
        <w:rPr>
          <w:rFonts w:ascii="Times New Roman;sans-serif" w:hAnsi="Times New Roman;sans-serif"/>
          <w:b/>
          <w:color w:val="000000"/>
          <w:sz w:val="20"/>
        </w:rPr>
        <w:t>Good Faith Deposit</w:t>
      </w:r>
      <w:r>
        <w:rPr>
          <w:color w:val="000000"/>
        </w:rPr>
        <w:t>”</w:t>
      </w:r>
      <w:r>
        <w:rPr>
          <w:rFonts w:ascii="Times New Roman;sans-serif" w:hAnsi="Times New Roman;sans-serif"/>
          <w:b w:val="false"/>
          <w:color w:val="000000"/>
          <w:sz w:val="20"/>
        </w:rPr>
        <w:t>)</w:t>
      </w:r>
      <w:r>
        <w:rPr>
          <w:rFonts w:ascii="Times New Roman;sans-serif" w:hAnsi="Times New Roman;sans-serif"/>
          <w:b w:val="false"/>
          <w:color w:val="0000FF"/>
          <w:sz w:val="20"/>
          <w:u w:val="single"/>
        </w:rPr>
        <w:t>, in connection with the</w:t>
      </w:r>
      <w:r>
        <w:rPr>
          <w:color w:val="0000FF"/>
        </w:rPr>
        <w:t xml:space="preserve"> </w:t>
      </w:r>
      <w:r>
        <w:rPr>
          <w:rFonts w:ascii="Times New Roman;sans-serif" w:hAnsi="Times New Roman;sans-serif"/>
          <w:b w:val="false"/>
          <w:color w:val="0000FF"/>
          <w:sz w:val="20"/>
          <w:u w:val="single"/>
        </w:rPr>
        <w:t>First Amendment,</w:t>
      </w:r>
      <w:r>
        <w:rPr>
          <w:color w:val="0000FF"/>
        </w:rPr>
        <w:t xml:space="preserve"> </w:t>
      </w:r>
      <w:r>
        <w:rPr>
          <w:rFonts w:ascii="Times New Roman;sans-serif" w:hAnsi="Times New Roman;sans-serif"/>
          <w:b w:val="false"/>
          <w:color w:val="000000"/>
          <w:sz w:val="20"/>
        </w:rPr>
        <w:t>to initiate Bank’s due diligence review process. The Good Faith Deposit will be applied to Bank Expenses as of the Effective Date.</w:t>
      </w:r>
    </w:p>
    <w:p>
      <w:pPr>
        <w:pStyle w:val="TextBody"/>
        <w:spacing w:before="1" w:after="283"/>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1.3 pursuant to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2251710"/>
                <wp:effectExtent l="0" t="0" r="0" b="0"/>
                <wp:wrapNone/>
                <wp:docPr id="164" name="Frame135"/>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16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29" descr=""/>
                                          <pic:cNvPicPr>
                                            <a:picLocks noChangeAspect="1" noChangeArrowheads="1"/>
                                          </pic:cNvPicPr>
                                        </pic:nvPicPr>
                                        <pic:blipFill>
                                          <a:blip r:embed="rId3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16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29" descr=""/>
                                    <pic:cNvPicPr>
                                      <a:picLocks noChangeAspect="1" noChangeArrowheads="1"/>
                                    </pic:cNvPicPr>
                                  </pic:nvPicPr>
                                  <pic:blipFill>
                                    <a:blip r:embed="rId3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Section 1.4(c). Bank shall provide Borrower written notice of deductions made pursuant to the terms of the clauses of this Section 1.3.</w:t>
      </w:r>
    </w:p>
    <w:p>
      <w:pPr>
        <w:pStyle w:val="TextBody"/>
        <w:spacing w:before="3"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1.4Payments; Application of Payments; Debit of Accounts.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drawing>
          <wp:inline distT="0" distB="63500" distL="0" distR="0">
            <wp:extent cx="14605" cy="142875"/>
            <wp:effectExtent l="0" t="0" r="0" b="0"/>
            <wp:docPr id="16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30" descr=""/>
                    <pic:cNvPicPr>
                      <a:picLocks noChangeAspect="1" noChangeArrowheads="1"/>
                    </pic:cNvPicPr>
                  </pic:nvPicPr>
                  <pic:blipFill>
                    <a:blip r:embed="rId36"/>
                    <a:stretch>
                      <a:fillRect/>
                    </a:stretch>
                  </pic:blipFill>
                  <pic:spPr bwMode="auto">
                    <a:xfrm>
                      <a:off x="0" y="0"/>
                      <a:ext cx="14605" cy="142875"/>
                    </a:xfrm>
                    <a:prstGeom prst="rect">
                      <a:avLst/>
                    </a:prstGeom>
                  </pic:spPr>
                </pic:pic>
              </a:graphicData>
            </a:graphic>
          </wp:inline>
        </w:drawing>
      </w:r>
      <w:r>
        <w:rPr>
          <w:color w:val="000000"/>
        </w:rPr>
        <w:t xml:space="preserve"> </w:t>
      </w:r>
      <w:r>
        <w:rPr>
          <w:rFonts w:ascii="Times New Roman;sans-serif" w:hAnsi="Times New Roman;sans-serif"/>
          <w:b w:val="false"/>
          <w:color w:val="0000FF"/>
          <w:sz w:val="20"/>
          <w:u w:val="single"/>
        </w:rPr>
        <w:t>Subject to the payment terms of this Agreement and Section 8.4,</w:t>
      </w:r>
      <w:r>
        <w:rPr>
          <w:color w:val="0000FF"/>
        </w:rPr>
        <w:t xml:space="preserve"> </w:t>
      </w:r>
      <w:r>
        <w:rPr>
          <w:rFonts w:ascii="Times New Roman;sans-serif" w:hAnsi="Times New Roman;sans-serif"/>
          <w:b w:val="false"/>
          <w:color w:val="000000"/>
          <w:sz w:val="20"/>
        </w:rPr>
        <w:t>Bank has the exclusive right in its reasonable discretion to determine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(c)Bank may debit the Designated Deposit Account (or if insufficient funds are contained therein, or if an Event of Default has occurred and is continuing, any of Borrower’s other accounts at Bank), for principal and interest payments or any other amounts Borrower owes Bank when as and when due under this Agreement. These debits shall not constitute a set-off.</w:t>
      </w:r>
    </w:p>
    <w:p>
      <w:pPr>
        <w:pStyle w:val="TextBody"/>
        <w:spacing w:before="3"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1.5Change in Circumstances.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Increased Costs</w:t>
      </w:r>
      <w:r>
        <w:rPr>
          <w:rFonts w:ascii="Times New Roman;sans-serif" w:hAnsi="Times New Roman;sans-serif"/>
          <w:b w:val="false"/>
          <w:color w:val="000000"/>
          <w:sz w:val="20"/>
        </w:rPr>
        <w:t>.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w:t>
      </w:r>
    </w:p>
    <w:p>
      <w:pPr>
        <w:pStyle w:val="TextBody"/>
        <w:spacing w:before="4"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drawing>
          <wp:inline distT="0" distB="63500" distL="0" distR="0">
            <wp:extent cx="14605" cy="142875"/>
            <wp:effectExtent l="0" t="0" r="0" b="0"/>
            <wp:docPr id="16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31" descr=""/>
                    <pic:cNvPicPr>
                      <a:picLocks noChangeAspect="1" noChangeArrowheads="1"/>
                    </pic:cNvPicPr>
                  </pic:nvPicPr>
                  <pic:blipFill>
                    <a:blip r:embed="rId37"/>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00"/>
          <w:sz w:val="20"/>
          <w:u w:val="single"/>
        </w:rPr>
        <w:t>Capital Requirements</w:t>
      </w:r>
      <w:r>
        <w:rPr>
          <w:rFonts w:ascii="Times New Roman;sans-serif" w:hAnsi="Times New Roman;sans-serif"/>
          <w:b w:val="false"/>
          <w:color w:val="000000"/>
          <w:sz w:val="20"/>
        </w:rPr>
        <w:t xml:space="preserve">. If Bank determines that any Change in Law affecting Bank regarding capital or liquidity requirements, has or would have the effect of reducing the rate of return on Bank’s capital as a consequence of this Agreement, </w:t>
      </w:r>
      <w:r>
        <w:rPr>
          <w:rFonts w:ascii="Times New Roman;sans-serif" w:hAnsi="Times New Roman;sans-serif"/>
          <w:b w:val="false"/>
          <w:color w:val="0000FF"/>
          <w:sz w:val="20"/>
          <w:u w:val="single"/>
        </w:rPr>
        <w:t>the Revolving Line,</w:t>
      </w:r>
      <w:r>
        <w:rPr>
          <w:color w:val="0000FF"/>
        </w:rPr>
        <w:t xml:space="preserve"> </w:t>
      </w:r>
      <w:r>
        <w:rPr>
          <w:rFonts w:ascii="Times New Roman;sans-serif" w:hAnsi="Times New Roman;sans-serif"/>
          <w:b w:val="false"/>
          <w:color w:val="000000"/>
          <w:sz w:val="20"/>
        </w:rPr>
        <w:t>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Borrower shall promptly pay to Bank such additional amount or amounts as will compensate Bank for any such reduction suffered.</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Delay in Requests</w:t>
      </w:r>
      <w:r>
        <w:rPr>
          <w:rFonts w:ascii="Times New Roman;sans-serif" w:hAnsi="Times New Roman;sans-serif"/>
          <w:b w:val="false"/>
          <w:color w:val="000000"/>
          <w:sz w:val="20"/>
        </w:rPr>
        <w:t>. Failure or delay on the part of Bank to demand compensation pursuant to this Section 1.5 shall not constitute a waiver of Bank’s right to demand such compensation; provided that Borrower compensate Bank pursuant to subsection (a) for any increased costs incurred or reductions suffered more than nine (9) months prior to the date that Bank notifies Borrower of the Change in Law giving rise to such increased costs or reductions (except that if the Change in Law giving rise to such increased costs or reductions is retroactive, then the nine (9) month period shall be extended to include the period of retroactive effect).</w:t>
      </w:r>
    </w:p>
    <w:p>
      <w:pPr>
        <w:pStyle w:val="TextBody"/>
        <w:spacing w:before="4"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1.6Taxes.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drawing>
          <wp:inline distT="0" distB="63500" distL="0" distR="0">
            <wp:extent cx="14605" cy="142875"/>
            <wp:effectExtent l="0" t="0" r="0" b="0"/>
            <wp:docPr id="16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32" descr=""/>
                    <pic:cNvPicPr>
                      <a:picLocks noChangeAspect="1" noChangeArrowheads="1"/>
                    </pic:cNvPicPr>
                  </pic:nvPicPr>
                  <pic:blipFill>
                    <a:blip r:embed="rId38"/>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00"/>
          <w:sz w:val="20"/>
          <w:u w:val="single"/>
        </w:rPr>
        <w:t>Payments Free of Taxes</w:t>
      </w:r>
      <w:r>
        <w:rPr>
          <w:rFonts w:ascii="Times New Roman;sans-serif" w:hAnsi="Times New Roman;sans-serif"/>
          <w:b w:val="false"/>
          <w:color w:val="000000"/>
          <w:sz w:val="20"/>
        </w:rPr>
        <w:t xml:space="preserve">. Any and all payments by or on account of any obligation of Borrower under any Loan Document shall be made without deduction or withholding for any Taxes, except as required by Applicable Law. If any Applicable Law (as determined in the </w:t>
      </w:r>
      <w:r>
        <w:rPr>
          <w:rFonts w:ascii="Times New Roman;sans-serif" w:hAnsi="Times New Roman;sans-serif"/>
          <w:b w:val="false"/>
          <w:strike/>
          <w:color w:val="FF0000"/>
          <w:sz w:val="20"/>
        </w:rPr>
        <w:t>good faith</w:t>
      </w:r>
      <w:r>
        <w:rPr>
          <w:rFonts w:ascii="Times New Roman;sans-serif" w:hAnsi="Times New Roman;sans-serif"/>
          <w:b w:val="false"/>
          <w:color w:val="0000FF"/>
          <w:sz w:val="20"/>
          <w:u w:val="single"/>
        </w:rPr>
        <w:t>commercially reasonable</w:t>
      </w:r>
      <w:r>
        <w:rPr>
          <w:color w:val="0000FF"/>
        </w:rPr>
        <w:t xml:space="preserve"> </w:t>
      </w:r>
      <w:r>
        <w:rPr>
          <w:rFonts w:ascii="Times New Roman;sans-serif" w:hAnsi="Times New Roman;sans-serif"/>
          <w:b w:val="false"/>
          <w:color w:val="000000"/>
          <w:sz w:val="20"/>
        </w:rPr>
        <w:t>discretion of Borrower) requires the deduction or withholding of any Tax from any such payment by Borrower, then</w:t>
      </w:r>
    </w:p>
    <w:p>
      <w:pPr>
        <w:pStyle w:val="TextBody"/>
        <w:spacing w:lineRule="auto" w:line="240"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51710"/>
                <wp:effectExtent l="0" t="0" r="0" b="0"/>
                <wp:wrapNone/>
                <wp:docPr id="170" name="Frame136"/>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17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33" descr=""/>
                                          <pic:cNvPicPr>
                                            <a:picLocks noChangeAspect="1" noChangeArrowheads="1"/>
                                          </pic:cNvPicPr>
                                        </pic:nvPicPr>
                                        <pic:blipFill>
                                          <a:blip r:embed="rId39"/>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17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3" descr=""/>
                                    <pic:cNvPicPr>
                                      <a:picLocks noChangeAspect="1" noChangeArrowheads="1"/>
                                    </pic:cNvPicPr>
                                  </pic:nvPicPr>
                                  <pic:blipFill>
                                    <a:blip r:embed="rId39"/>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this Section 1.6) Bank receives an amount equal to the sum it would have received had no such deduction or withholding been made.</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Payment of Other Taxes by Borrower</w:t>
      </w:r>
      <w:r>
        <w:rPr>
          <w:rFonts w:ascii="Times New Roman;sans-serif" w:hAnsi="Times New Roman;sans-serif"/>
          <w:b w:val="false"/>
          <w:color w:val="000000"/>
          <w:sz w:val="20"/>
        </w:rPr>
        <w:t>. Without limiting the provisions of subsection (a) above, Borrower shall timely pay any Other Taxes to the relevant Governmental Authority in accordance with Applicable Law.</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Tax Indemnification</w:t>
      </w:r>
      <w:r>
        <w:rPr>
          <w:rFonts w:ascii="Times New Roman;sans-serif" w:hAnsi="Times New Roman;sans-serif"/>
          <w:b w:val="false"/>
          <w:color w:val="000000"/>
          <w:sz w:val="20"/>
        </w:rPr>
        <w:t>. Without limiting the provisions of subsections (a) and (b) above, Borrower shall, and does hereby, indemnify Bank, within ten (10) days after demand therefor, for the full amount of any Indemnified Taxes (including Indemnified Taxes imposed or asserted on or attributable to amounts payable under this Section 1.6)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Evidence of Payments</w:t>
      </w:r>
      <w:r>
        <w:rPr>
          <w:rFonts w:ascii="Times New Roman;sans-serif" w:hAnsi="Times New Roman;sans-serif"/>
          <w:b w:val="false"/>
          <w:color w:val="000000"/>
          <w:sz w:val="20"/>
        </w:rPr>
        <w:t>. As soon as practicable after any payment of Taxes by Borrower to a Governmental Authority pursuant to this Section 1.6, Borrower shall deliver to Bank a certified copy of a receipt issued by such Governmental Authority evidencing such payment, a copy of the return reporting such payment or other evidence of such payment reasonably satisfactory to Bank.</w:t>
      </w:r>
    </w:p>
    <w:p>
      <w:pPr>
        <w:pStyle w:val="TextBody"/>
        <w:spacing w:before="0" w:after="0"/>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Status of Bank</w:t>
      </w:r>
      <w:r>
        <w:rPr>
          <w:rFonts w:ascii="Times New Roman;sans-serif" w:hAnsi="Times New Roman;sans-serif"/>
          <w:b w:val="false"/>
          <w:color w:val="000000"/>
          <w:sz w:val="20"/>
        </w:rPr>
        <w:t>.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IRS Form W-8IMY is applicable, as well as any applicable supporting documentation or certifications. If a payment made to Bank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its obligations under FATCA or to determine the amount, if any, to deduct and withhold from such payment. Solely for purposes of the preceding sentence, “FATCA” shall include any amendments made to FATCA after the date of this Agreement.</w:t>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Treatment of Certain Refunds</w:t>
      </w:r>
      <w:r>
        <w:rPr>
          <w:rFonts w:ascii="Times New Roman;sans-serif" w:hAnsi="Times New Roman;sans-serif"/>
          <w:b w:val="false"/>
          <w:color w:val="000000"/>
          <w:sz w:val="20"/>
        </w:rPr>
        <w:t>. If Bank determines, in its sole discretion exercised in good faith, that it has received a refund of any Taxes as to which it has been indemnified pursuant to this Section 1.6 (including by the payment of additional amounts pursuant to this Section 1.6), it shall pay to Borrower an amount equal to such refund (but only to the extent of indemnity payments made under this Section 1.6 with respect to the Taxes giving rise to such refund), net of all out-of-pocket expenses (including Taxes) of Bank and without interest (other than any interest paid by the relevant Governmental Authority with respect to such refund). Borrower, upon the request of Bank, shall repay to Bank the amount paid over pursuant to this paragraph (f) (plus any penalties, interest or other charges imposed by the relevant Governmental Authority) in the event that Bank is required to repay such refund to such Governmental Authority. Notwithstanding anything to the contrary in this paragraph (f), in no event will Bank be required to pay any amount to Borrower pursuant to this paragraph (f) the payment of which would place Bank in a less favorable net after-Tax position than Bank would have been in if the Tax subject to indemnification and giving rise to such refund had not been deducted, withheld or otherwise imposed and the indemnification payments or additional amounts with respect to such Tax had never been paid. This paragraph (f)</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251710"/>
                <wp:effectExtent l="0" t="0" r="0" b="0"/>
                <wp:wrapNone/>
                <wp:docPr id="173" name="Frame137"/>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1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4" descr=""/>
                                          <pic:cNvPicPr>
                                            <a:picLocks noChangeAspect="1" noChangeArrowheads="1"/>
                                          </pic:cNvPicPr>
                                        </pic:nvPicPr>
                                        <pic:blipFill>
                                          <a:blip r:embed="rId40"/>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17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34" descr=""/>
                                    <pic:cNvPicPr>
                                      <a:picLocks noChangeAspect="1" noChangeArrowheads="1"/>
                                    </pic:cNvPicPr>
                                  </pic:nvPicPr>
                                  <pic:blipFill>
                                    <a:blip r:embed="rId40"/>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shall not be construed to require Bank to make available its Tax returns (or any other information relating to its Taxes that it deems confidential) to Borrower or any other Person.</w:t>
      </w:r>
    </w:p>
    <w:p>
      <w:pPr>
        <w:pStyle w:val="TextBody"/>
        <w:spacing w:before="1" w:after="283"/>
        <w:rPr/>
      </w:pPr>
      <w:r>
        <w:rPr/>
      </w:r>
    </w:p>
    <w:p>
      <w:pPr>
        <w:pStyle w:val="TextBody"/>
        <w:spacing w:lineRule="auto" w:line="240" w:before="1" w:after="283"/>
        <w:ind w:left="0" w:right="0" w:hanging="720"/>
        <w:rPr>
          <w:rFonts w:ascii="Times New Roman;sans-serif" w:hAnsi="Times New Roman;sans-serif"/>
          <w:b/>
          <w:color w:val="000000"/>
          <w:sz w:val="20"/>
        </w:rPr>
      </w:pPr>
      <w:r>
        <w:rPr>
          <w:rFonts w:ascii="Times New Roman;sans-serif" w:hAnsi="Times New Roman;sans-serif"/>
          <w:b/>
          <w:color w:val="000000"/>
          <w:sz w:val="20"/>
        </w:rPr>
        <w:t>1.7Procedures for Borrowing.</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(a)</w:t>
      </w:r>
      <w:r>
        <w:rPr/>
        <w:drawing>
          <wp:inline distT="0" distB="63500" distL="0" distR="0">
            <wp:extent cx="4524375" cy="14605"/>
            <wp:effectExtent l="0" t="0" r="0" b="0"/>
            <wp:docPr id="17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5" descr=""/>
                    <pic:cNvPicPr>
                      <a:picLocks noChangeAspect="1" noChangeArrowheads="1"/>
                    </pic:cNvPicPr>
                  </pic:nvPicPr>
                  <pic:blipFill>
                    <a:blip r:embed="rId41"/>
                    <a:stretch>
                      <a:fillRect/>
                    </a:stretch>
                  </pic:blipFill>
                  <pic:spPr bwMode="auto">
                    <a:xfrm>
                      <a:off x="0" y="0"/>
                      <a:ext cx="4524375" cy="14605"/>
                    </a:xfrm>
                    <a:prstGeom prst="rect">
                      <a:avLst/>
                    </a:prstGeom>
                  </pic:spPr>
                </pic:pic>
              </a:graphicData>
            </a:graphic>
          </wp:inline>
        </w:drawing>
      </w:r>
      <w:r>
        <w:rPr/>
        <w:drawing>
          <wp:inline distT="0" distB="63500" distL="0" distR="0">
            <wp:extent cx="14605" cy="1752600"/>
            <wp:effectExtent l="0" t="0" r="0" b="0"/>
            <wp:docPr id="17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36" descr=""/>
                    <pic:cNvPicPr>
                      <a:picLocks noChangeAspect="1" noChangeArrowheads="1"/>
                    </pic:cNvPicPr>
                  </pic:nvPicPr>
                  <pic:blipFill>
                    <a:blip r:embed="rId42"/>
                    <a:stretch>
                      <a:fillRect/>
                    </a:stretch>
                  </pic:blipFill>
                  <pic:spPr bwMode="auto">
                    <a:xfrm>
                      <a:off x="0" y="0"/>
                      <a:ext cx="14605" cy="1752600"/>
                    </a:xfrm>
                    <a:prstGeom prst="rect">
                      <a:avLst/>
                    </a:prstGeom>
                  </pic:spPr>
                </pic:pic>
              </a:graphicData>
            </a:graphic>
          </wp:inline>
        </w:drawing>
      </w:r>
      <w:r>
        <w:rPr>
          <w:rFonts w:ascii="Times New Roman;sans-serif" w:hAnsi="Times New Roman;sans-serif"/>
          <w:b w:val="false"/>
          <w:color w:val="0000FF"/>
          <w:sz w:val="20"/>
          <w:u w:val="single"/>
        </w:rPr>
        <w:t>Advances. Subject to the prior satisfaction of all other applicable conditions to the</w:t>
      </w:r>
      <w:r>
        <w:rPr>
          <w:color w:val="0000FF"/>
        </w:rPr>
        <w:t xml:space="preserve"> </w:t>
      </w:r>
      <w:r>
        <w:rPr>
          <w:rFonts w:ascii="Times New Roman;sans-serif" w:hAnsi="Times New Roman;sans-serif"/>
          <w:b w:val="false"/>
          <w:color w:val="0000FF"/>
          <w:sz w:val="20"/>
          <w:u w:val="single"/>
        </w:rPr>
        <w:t>making of an Advance set forth in this Agreement (which must be satisfied no later than 12:00 p.m. Pacific time on</w:t>
      </w:r>
      <w:r>
        <w:rPr>
          <w:color w:val="0000FF"/>
        </w:rPr>
        <w:t xml:space="preserve"> </w:t>
      </w:r>
      <w:r>
        <w:rPr>
          <w:rFonts w:ascii="Times New Roman;sans-serif" w:hAnsi="Times New Roman;sans-serif"/>
          <w:b w:val="false"/>
          <w:color w:val="0000FF"/>
          <w:sz w:val="20"/>
          <w:u w:val="single"/>
        </w:rPr>
        <w:t>the applicable Funding Date), to obtain an Advance, Borrower (via an individual duly authorized by an</w:t>
      </w:r>
      <w:r>
        <w:rPr>
          <w:color w:val="0000FF"/>
        </w:rPr>
        <w:t xml:space="preserve"> </w:t>
      </w:r>
      <w:r>
        <w:rPr>
          <w:rFonts w:ascii="Times New Roman;sans-serif" w:hAnsi="Times New Roman;sans-serif"/>
          <w:b w:val="false"/>
          <w:color w:val="0000FF"/>
          <w:sz w:val="20"/>
          <w:u w:val="single"/>
        </w:rPr>
        <w:t>Administrator) shall notify Bank (which notice shall be irrevocable) by 12:00 p.m. Pacific time on the Funding Date</w:t>
      </w:r>
      <w:r>
        <w:rPr>
          <w:color w:val="0000FF"/>
        </w:rPr>
        <w:t xml:space="preserve"> </w:t>
      </w:r>
      <w:r>
        <w:rPr>
          <w:rFonts w:ascii="Times New Roman;sans-serif" w:hAnsi="Times New Roman;sans-serif"/>
          <w:b w:val="false"/>
          <w:color w:val="0000FF"/>
          <w:sz w:val="20"/>
          <w:u w:val="single"/>
        </w:rPr>
        <w:t>of the Advance. Such notice shall be made through Bank’s online banking program, provided, however, if Borrower</w:t>
      </w:r>
      <w:r>
        <w:rPr>
          <w:color w:val="0000FF"/>
        </w:rPr>
        <w:t xml:space="preserve"> </w:t>
      </w:r>
      <w:r>
        <w:rPr>
          <w:rFonts w:ascii="Times New Roman;sans-serif" w:hAnsi="Times New Roman;sans-serif"/>
          <w:b w:val="false"/>
          <w:color w:val="0000FF"/>
          <w:sz w:val="20"/>
          <w:u w:val="single"/>
        </w:rPr>
        <w:t>is not utilizing Bank’s online banking program, then such notice shall be in a written format acceptable to Bank that</w:t>
      </w:r>
      <w:r>
        <w:rPr>
          <w:color w:val="0000FF"/>
        </w:rPr>
        <w:t xml:space="preserve"> </w:t>
      </w:r>
      <w:r>
        <w:rPr>
          <w:rFonts w:ascii="Times New Roman;sans-serif" w:hAnsi="Times New Roman;sans-serif"/>
          <w:b w:val="false"/>
          <w:color w:val="0000FF"/>
          <w:sz w:val="20"/>
          <w:u w:val="single"/>
        </w:rPr>
        <w:t>is executed by an Authorized Signer. In connection with any such notification, Borrower shall deliver to Bank by</w:t>
      </w:r>
      <w:r>
        <w:rPr>
          <w:color w:val="0000FF"/>
        </w:rPr>
        <w:t xml:space="preserve"> </w:t>
      </w:r>
      <w:r>
        <w:rPr>
          <w:rFonts w:ascii="Times New Roman;sans-serif" w:hAnsi="Times New Roman;sans-serif"/>
          <w:b w:val="false"/>
          <w:color w:val="0000FF"/>
          <w:sz w:val="20"/>
          <w:u w:val="single"/>
        </w:rPr>
        <w:t>electronic mail or through Bank’s online banking program such reports and information, including without</w:t>
      </w:r>
      <w:r>
        <w:rPr>
          <w:color w:val="0000FF"/>
        </w:rPr>
        <w:t xml:space="preserve"> </w:t>
      </w:r>
      <w:r>
        <w:rPr>
          <w:rFonts w:ascii="Times New Roman;sans-serif" w:hAnsi="Times New Roman;sans-serif"/>
          <w:b w:val="false"/>
          <w:color w:val="0000FF"/>
          <w:sz w:val="20"/>
          <w:u w:val="single"/>
        </w:rPr>
        <w:t>limitation, accounts receivable aging reports, as Bank may reasonably request. Bank shall have received satisfactory</w:t>
      </w:r>
      <w:r>
        <w:rPr>
          <w:color w:val="0000FF"/>
        </w:rPr>
        <w:t xml:space="preserve"> </w:t>
      </w:r>
      <w:r>
        <w:rPr>
          <w:rFonts w:ascii="Times New Roman;sans-serif" w:hAnsi="Times New Roman;sans-serif"/>
          <w:b w:val="false"/>
          <w:color w:val="0000FF"/>
          <w:sz w:val="20"/>
          <w:u w:val="single"/>
        </w:rPr>
        <w:t>evidence that the Board has approved that such Authorized Signer may provide such notices and request Advances</w:t>
      </w:r>
      <w:r>
        <w:rPr>
          <w:color w:val="0000FF"/>
        </w:rPr>
        <w:t xml:space="preserve"> </w:t>
      </w:r>
      <w:r>
        <w:rPr>
          <w:rFonts w:ascii="Times New Roman;sans-serif" w:hAnsi="Times New Roman;sans-serif"/>
          <w:b w:val="false"/>
          <w:color w:val="0000FF"/>
          <w:sz w:val="20"/>
          <w:u w:val="single"/>
        </w:rPr>
        <w:t>(which requirement may be deemed satisfied by the prior delivery of Borrowing Resolutions or a secretary’s</w:t>
      </w:r>
      <w:r>
        <w:rPr>
          <w:color w:val="0000FF"/>
        </w:rPr>
        <w:t xml:space="preserve"> </w:t>
      </w:r>
      <w:r>
        <w:rPr>
          <w:rFonts w:ascii="Times New Roman;sans-serif" w:hAnsi="Times New Roman;sans-serif"/>
          <w:b w:val="false"/>
          <w:color w:val="0000FF"/>
          <w:sz w:val="20"/>
          <w:u w:val="single"/>
        </w:rPr>
        <w:t>certificate that certifies as to such Board approval).</w:t>
      </w:r>
    </w:p>
    <w:p>
      <w:pPr>
        <w:pStyle w:val="TextBody"/>
        <w:spacing w:before="5" w:after="283"/>
        <w:rPr/>
      </w:pPr>
      <w:r>
        <w:rPr/>
      </w:r>
    </w:p>
    <w:p>
      <w:pPr>
        <w:pStyle w:val="TextBody"/>
        <w:spacing w:lineRule="auto" w:line="240" w:before="90" w:after="283"/>
        <w:ind w:left="0" w:right="0" w:firstLine="1440"/>
        <w:jc w:val="both"/>
        <w:rPr/>
      </w:pPr>
      <w:r>
        <w:rPr>
          <w:rFonts w:ascii="Times New Roman;sans-serif" w:hAnsi="Times New Roman;sans-serif"/>
          <w:b w:val="false"/>
          <w:color w:val="0000FF"/>
          <w:sz w:val="20"/>
        </w:rPr>
        <w:t>(b)</w:t>
      </w:r>
      <w:r>
        <w:rPr/>
        <w:drawing>
          <wp:inline distT="0" distB="63500" distL="0" distR="0">
            <wp:extent cx="14605" cy="142875"/>
            <wp:effectExtent l="0" t="0" r="0" b="0"/>
            <wp:docPr id="17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7" descr=""/>
                    <pic:cNvPicPr>
                      <a:picLocks noChangeAspect="1" noChangeArrowheads="1"/>
                    </pic:cNvPicPr>
                  </pic:nvPicPr>
                  <pic:blipFill>
                    <a:blip r:embed="rId43"/>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strike/>
          <w:color w:val="FF0000"/>
          <w:sz w:val="20"/>
        </w:rPr>
        <w:t xml:space="preserve">(a) </w:t>
      </w:r>
      <w:r>
        <w:rPr>
          <w:rFonts w:ascii="Times New Roman;sans-serif" w:hAnsi="Times New Roman;sans-serif"/>
          <w:b w:val="false"/>
          <w:color w:val="0000FF"/>
          <w:sz w:val="20"/>
          <w:u w:val="single"/>
        </w:rPr>
        <w:t xml:space="preserve">Term Loan Advances. </w:t>
      </w:r>
      <w:r>
        <w:rPr>
          <w:rFonts w:ascii="Times New Roman;sans-serif" w:hAnsi="Times New Roman;sans-serif"/>
          <w:b w:val="false"/>
          <w:color w:val="000000"/>
          <w:sz w:val="20"/>
        </w:rPr>
        <w:t>Subject to the prior satisfaction of all other applicable conditions to the making of the Term Loan Advance set forth in this Agreement (which must be satisfied no later than 12:00 p.m. Pacific time on the applicable Funding Date), to obtain the Term Loan Advance, Borrower shall notify Bank (which notice shall be irrevocable) by 12:00 p.m. Pacific time on the Funding Date of the Term Loan Advance. Such notice shall be made by electronic mail or by telephone and, together with any such notification, Borrower shall deliver to Bank by electronic mail a completed Payment/Advance Form executed by an Authorized Signer. Bank may rely on any telephone notice given by a person whom Bank reasonably believes is an Authorized Signer. Borrower will indemnify Bank for any loss Bank suffers due to such reasonable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w:t>
      </w:r>
    </w:p>
    <w:p>
      <w:pPr>
        <w:pStyle w:val="TextBody"/>
        <w:spacing w:before="3" w:after="283"/>
        <w:rPr/>
      </w:pPr>
      <w:r>
        <w:rPr/>
      </w:r>
    </w:p>
    <w:p>
      <w:pPr>
        <w:pStyle w:val="TextBody"/>
        <w:spacing w:lineRule="auto" w:line="240" w:before="1" w:after="283"/>
        <w:ind w:left="0" w:right="0" w:firstLine="1440"/>
        <w:jc w:val="both"/>
        <w:rPr/>
      </w:pPr>
      <w:r>
        <w:rPr>
          <w:rFonts w:ascii="Times New Roman;sans-serif" w:hAnsi="Times New Roman;sans-serif"/>
          <w:b w:val="false"/>
          <w:color w:val="0000FF"/>
          <w:sz w:val="20"/>
        </w:rPr>
        <w:t>(c)</w:t>
      </w:r>
      <w:r>
        <w:rPr/>
        <w:drawing>
          <wp:inline distT="0" distB="63500" distL="0" distR="0">
            <wp:extent cx="14605" cy="285750"/>
            <wp:effectExtent l="0" t="0" r="0" b="0"/>
            <wp:docPr id="17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38" descr=""/>
                    <pic:cNvPicPr>
                      <a:picLocks noChangeAspect="1" noChangeArrowheads="1"/>
                    </pic:cNvPicPr>
                  </pic:nvPicPr>
                  <pic:blipFill>
                    <a:blip r:embed="rId44"/>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strike/>
          <w:color w:val="FF0000"/>
          <w:sz w:val="20"/>
        </w:rPr>
        <w:t>(b)</w:t>
      </w:r>
      <w:r>
        <w:rPr>
          <w:color w:val="FF0000"/>
        </w:rPr>
        <w:t xml:space="preserve"> </w:t>
      </w:r>
      <w:r>
        <w:rPr>
          <w:rFonts w:ascii="Times New Roman;sans-serif" w:hAnsi="Times New Roman;sans-serif"/>
          <w:b w:val="false"/>
          <w:color w:val="000000"/>
          <w:sz w:val="20"/>
        </w:rPr>
        <w:t xml:space="preserve">Bank shall credit proceeds of a Credit Extension to the Designated Deposit Account. Bank may make </w:t>
      </w:r>
      <w:r>
        <w:rPr>
          <w:rFonts w:ascii="Times New Roman;sans-serif" w:hAnsi="Times New Roman;sans-serif"/>
          <w:b w:val="false"/>
          <w:strike/>
          <w:color w:val="FF0000"/>
          <w:sz w:val="20"/>
        </w:rPr>
        <w:t>the</w:t>
      </w:r>
      <w:r>
        <w:rPr>
          <w:rFonts w:ascii="Times New Roman;sans-serif" w:hAnsi="Times New Roman;sans-serif"/>
          <w:b w:val="false"/>
          <w:color w:val="0000FF"/>
          <w:sz w:val="20"/>
          <w:u w:val="single"/>
        </w:rPr>
        <w:t>Advances and</w:t>
      </w:r>
      <w:r>
        <w:rPr>
          <w:color w:val="0000FF"/>
        </w:rPr>
        <w:t xml:space="preserve"> </w:t>
      </w:r>
      <w:r>
        <w:rPr>
          <w:rFonts w:ascii="Times New Roman;sans-serif" w:hAnsi="Times New Roman;sans-serif"/>
          <w:b w:val="false"/>
          <w:color w:val="000000"/>
          <w:sz w:val="20"/>
        </w:rPr>
        <w:t xml:space="preserve">Term Loan </w:t>
      </w:r>
      <w:r>
        <w:rPr>
          <w:rFonts w:ascii="Times New Roman;sans-serif" w:hAnsi="Times New Roman;sans-serif"/>
          <w:b w:val="false"/>
          <w:strike/>
          <w:color w:val="FF0000"/>
          <w:sz w:val="20"/>
        </w:rPr>
        <w:t>Advance</w:t>
      </w:r>
      <w:r>
        <w:rPr>
          <w:rFonts w:ascii="Times New Roman;sans-serif" w:hAnsi="Times New Roman;sans-serif"/>
          <w:b w:val="false"/>
          <w:color w:val="0000FF"/>
          <w:sz w:val="20"/>
          <w:u w:val="single"/>
        </w:rPr>
        <w:t>Advances</w:t>
      </w:r>
      <w:r>
        <w:rPr>
          <w:color w:val="0000FF"/>
        </w:rPr>
        <w:t xml:space="preserve"> </w:t>
      </w:r>
      <w:r>
        <w:rPr>
          <w:rFonts w:ascii="Times New Roman;sans-serif" w:hAnsi="Times New Roman;sans-serif"/>
          <w:b w:val="false"/>
          <w:color w:val="000000"/>
          <w:sz w:val="20"/>
        </w:rPr>
        <w:t xml:space="preserve">under this Agreement based on instructions from an Authorized Signer or without instructions if such </w:t>
      </w:r>
      <w:r>
        <w:rPr>
          <w:rFonts w:ascii="Times New Roman;sans-serif" w:hAnsi="Times New Roman;sans-serif"/>
          <w:b w:val="false"/>
          <w:color w:val="0000FF"/>
          <w:sz w:val="20"/>
          <w:u w:val="single"/>
        </w:rPr>
        <w:t>Advances or</w:t>
      </w:r>
      <w:r>
        <w:rPr>
          <w:color w:val="0000FF"/>
        </w:rPr>
        <w:t xml:space="preserve"> </w:t>
      </w:r>
      <w:r>
        <w:rPr>
          <w:rFonts w:ascii="Times New Roman;sans-serif" w:hAnsi="Times New Roman;sans-serif"/>
          <w:b w:val="false"/>
          <w:color w:val="000000"/>
          <w:sz w:val="20"/>
        </w:rPr>
        <w:t xml:space="preserve">Term Loan </w:t>
      </w:r>
      <w:r>
        <w:rPr>
          <w:rFonts w:ascii="Times New Roman;sans-serif" w:hAnsi="Times New Roman;sans-serif"/>
          <w:b w:val="false"/>
          <w:strike/>
          <w:color w:val="FF0000"/>
          <w:sz w:val="20"/>
        </w:rPr>
        <w:t>Advance is</w:t>
      </w:r>
      <w:r>
        <w:rPr>
          <w:rFonts w:ascii="Times New Roman;sans-serif" w:hAnsi="Times New Roman;sans-serif"/>
          <w:b w:val="false"/>
          <w:color w:val="0000FF"/>
          <w:sz w:val="20"/>
          <w:u w:val="single"/>
        </w:rPr>
        <w:t>Advances are</w:t>
      </w:r>
      <w:r>
        <w:rPr>
          <w:color w:val="0000FF"/>
        </w:rPr>
        <w:t xml:space="preserve"> </w:t>
      </w:r>
      <w:r>
        <w:rPr>
          <w:rFonts w:ascii="Times New Roman;sans-serif" w:hAnsi="Times New Roman;sans-serif"/>
          <w:b w:val="false"/>
          <w:color w:val="000000"/>
          <w:sz w:val="20"/>
        </w:rPr>
        <w:t>necessary to meet Obligations which have become due.</w:t>
      </w:r>
    </w:p>
    <w:p>
      <w:pPr>
        <w:pStyle w:val="TextBody"/>
        <w:spacing w:before="2" w:after="283"/>
        <w:rPr/>
      </w:pPr>
      <w:r>
        <w:rPr/>
      </w:r>
    </w:p>
    <w:p>
      <w:pPr>
        <w:pStyle w:val="TextBody"/>
        <w:spacing w:lineRule="auto" w:line="240" w:before="0" w:after="0"/>
        <w:ind w:left="0" w:right="0" w:hanging="720"/>
        <w:rPr/>
      </w:pPr>
      <w:r>
        <w:rPr>
          <w:rFonts w:ascii="Times New Roman;sans-serif" w:hAnsi="Times New Roman;sans-serif"/>
          <w:b/>
          <w:color w:val="000000"/>
          <w:sz w:val="20"/>
        </w:rPr>
        <w:t>2.</w:t>
      </w:r>
      <w:r>
        <w:rPr>
          <w:rFonts w:ascii="Times New Roman;sans-serif" w:hAnsi="Times New Roman;sans-serif"/>
          <w:b/>
          <w:color w:val="000000"/>
          <w:sz w:val="20"/>
          <w:u w:val="single"/>
        </w:rPr>
        <w:t>CONDITIONS OF CREDIT EXTENSIONS</w:t>
      </w:r>
    </w:p>
    <w:p>
      <w:pPr>
        <w:pStyle w:val="TextBody"/>
        <w:spacing w:before="3" w:after="283"/>
        <w:rPr/>
      </w:pPr>
      <w:r>
        <w:rPr/>
      </w:r>
    </w:p>
    <w:p>
      <w:pPr>
        <w:pStyle w:val="TextBody"/>
        <w:spacing w:lineRule="auto" w:line="240" w:before="91" w:after="283"/>
        <w:ind w:left="0" w:right="0" w:firstLine="720"/>
        <w:jc w:val="both"/>
        <w:rPr/>
      </w:pPr>
      <w:r>
        <w:rPr>
          <w:rFonts w:ascii="Times New Roman;sans-serif" w:hAnsi="Times New Roman;sans-serif"/>
          <w:b/>
          <w:color w:val="000000"/>
          <w:sz w:val="20"/>
        </w:rPr>
        <w:t xml:space="preserve">2.1Conditions Precedent to Initial Credit Extension. </w:t>
      </w:r>
      <w:r>
        <w:rPr>
          <w:rFonts w:ascii="Times New Roman;sans-serif" w:hAnsi="Times New Roman;sans-serif"/>
          <w:b w:val="false"/>
          <w:color w:val="000000"/>
          <w:sz w:val="20"/>
        </w:rPr>
        <w:t>Bank’s obligation to make the initial Credit Extension is subject to the condition precedent that Bank shall have received, in form and substance satisfactory to Bank, such documents, and completion of such other matters, as Bank may reasonably deem necessary or appropriate, including, without limitation:</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(a)duly executed Loan Documents;</w:t>
      </w:r>
    </w:p>
    <w:p>
      <w:pPr>
        <w:pStyle w:val="TextBody"/>
        <w:spacing w:before="10"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51710"/>
                <wp:effectExtent l="0" t="0" r="0" b="0"/>
                <wp:wrapNone/>
                <wp:docPr id="180" name="Frame138"/>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1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39" descr=""/>
                                          <pic:cNvPicPr>
                                            <a:picLocks noChangeAspect="1" noChangeArrowheads="1"/>
                                          </pic:cNvPicPr>
                                        </pic:nvPicPr>
                                        <pic:blipFill>
                                          <a:blip r:embed="rId4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18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39" descr=""/>
                                    <pic:cNvPicPr>
                                      <a:picLocks noChangeAspect="1" noChangeArrowheads="1"/>
                                    </pic:cNvPicPr>
                                  </pic:nvPicPr>
                                  <pic:blipFill>
                                    <a:blip r:embed="rId4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 duly executed Control Agreement with U.S. Bank;</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Operating Documents of Borrower and its Subsidiaries and long-form good standing certificates of Borrower certified by the Secretary of State of the State of Delaware and the Secretary of State (or equivalent agency) of each other jurisdiction in which Borrower is qualified to conduct business, in each case as of a date no earlier than thirty (30) days prior to the Effective Date;</w:t>
      </w:r>
    </w:p>
    <w:p>
      <w:pPr>
        <w:pStyle w:val="TextBody"/>
        <w:spacing w:before="6"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(d)a certificate duly executed by a Responsible Officer or secretary of Borrower with respect to Borrower’s (i) Operating Documents and (ii) Borrowing Resolutions;</w:t>
      </w:r>
    </w:p>
    <w:p>
      <w:pPr>
        <w:pStyle w:val="TextBody"/>
        <w:spacing w:before="10" w:after="283"/>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(e)a duly executed payoff letter from Solar Capital;</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(f)evidence that (i) the Liens securing Indebtedness owed by Borrower to Solar Capital will be terminated and (ii) the documents and/or filings evidencing the perfection of such Liens, including without limitation any financing statements and/or control agreements, have or will, concurrently with the initial Credit Extension, be terminated;</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(h)a duly executed Perfection Certificate of Borrower;</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(i)a duly executed landlord’s consent in favor of Bank for Borrower’s leased location at 471 El Camino Real, Suite 101, Santa Clara, CA 95050;</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(j)a legal opinion of Borrower’s counsel dated as of the Effective Date;</w:t>
      </w:r>
    </w:p>
    <w:p>
      <w:pPr>
        <w:pStyle w:val="TextBody"/>
        <w:spacing w:before="10" w:after="283"/>
        <w:rPr/>
      </w:pPr>
      <w:r>
        <w:rPr/>
      </w:r>
    </w:p>
    <w:p>
      <w:pPr>
        <w:pStyle w:val="TextBody"/>
        <w:spacing w:lineRule="auto" w:line="240" w:before="0" w:after="0"/>
        <w:ind w:left="0" w:right="0" w:hanging="720"/>
        <w:rPr/>
      </w:pPr>
      <w:r>
        <w:rPr>
          <w:rFonts w:ascii="Times New Roman;sans-serif" w:hAnsi="Times New Roman;sans-serif"/>
          <w:b w:val="false"/>
          <w:color w:val="0000FF"/>
          <w:sz w:val="20"/>
        </w:rPr>
        <w:t>(k)</w:t>
      </w:r>
      <w:r>
        <w:rPr/>
        <w:drawing>
          <wp:inline distT="0" distB="63500" distL="0" distR="0">
            <wp:extent cx="3686175" cy="14605"/>
            <wp:effectExtent l="0" t="0" r="0" b="0"/>
            <wp:docPr id="18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40" descr=""/>
                    <pic:cNvPicPr>
                      <a:picLocks noChangeAspect="1" noChangeArrowheads="1"/>
                    </pic:cNvPicPr>
                  </pic:nvPicPr>
                  <pic:blipFill>
                    <a:blip r:embed="rId46"/>
                    <a:stretch>
                      <a:fillRect/>
                    </a:stretch>
                  </pic:blipFill>
                  <pic:spPr bwMode="auto">
                    <a:xfrm>
                      <a:off x="0" y="0"/>
                      <a:ext cx="3686175" cy="14605"/>
                    </a:xfrm>
                    <a:prstGeom prst="rect">
                      <a:avLst/>
                    </a:prstGeom>
                  </pic:spPr>
                </pic:pic>
              </a:graphicData>
            </a:graphic>
          </wp:inline>
        </w:drawing>
      </w:r>
      <w:r>
        <w:rPr/>
        <w:drawing>
          <wp:inline distT="0" distB="63500" distL="0" distR="0">
            <wp:extent cx="142875" cy="14605"/>
            <wp:effectExtent l="0" t="0" r="0" b="0"/>
            <wp:docPr id="18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41" descr=""/>
                    <pic:cNvPicPr>
                      <a:picLocks noChangeAspect="1" noChangeArrowheads="1"/>
                    </pic:cNvPicPr>
                  </pic:nvPicPr>
                  <pic:blipFill>
                    <a:blip r:embed="rId47"/>
                    <a:stretch>
                      <a:fillRect/>
                    </a:stretch>
                  </pic:blipFill>
                  <pic:spPr bwMode="auto">
                    <a:xfrm>
                      <a:off x="0" y="0"/>
                      <a:ext cx="142875" cy="14605"/>
                    </a:xfrm>
                    <a:prstGeom prst="rect">
                      <a:avLst/>
                    </a:prstGeom>
                  </pic:spPr>
                </pic:pic>
              </a:graphicData>
            </a:graphic>
          </wp:inline>
        </w:drawing>
      </w:r>
      <w:r>
        <w:rPr/>
        <w:drawing>
          <wp:inline distT="0" distB="63500" distL="0" distR="0">
            <wp:extent cx="14605" cy="142875"/>
            <wp:effectExtent l="0" t="0" r="0" b="0"/>
            <wp:docPr id="18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42" descr=""/>
                    <pic:cNvPicPr>
                      <a:picLocks noChangeAspect="1" noChangeArrowheads="1"/>
                    </pic:cNvPicPr>
                  </pic:nvPicPr>
                  <pic:blipFill>
                    <a:blip r:embed="rId48"/>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with respect to initial Advance, a completed Borrowing Base Certificate;</w:t>
      </w:r>
    </w:p>
    <w:p>
      <w:pPr>
        <w:pStyle w:val="TextBody"/>
        <w:spacing w:before="2" w:after="283"/>
        <w:rPr/>
      </w:pPr>
      <w:r>
        <w:rPr/>
      </w:r>
    </w:p>
    <w:p>
      <w:pPr>
        <w:pStyle w:val="TextBody"/>
        <w:spacing w:lineRule="auto" w:line="240" w:before="91" w:after="283"/>
        <w:ind w:left="0" w:right="0" w:hanging="720"/>
        <w:rPr/>
      </w:pPr>
      <w:r>
        <w:rPr>
          <w:rFonts w:ascii="Times New Roman;sans-serif" w:hAnsi="Times New Roman;sans-serif"/>
          <w:b w:val="false"/>
          <w:color w:val="0000FF"/>
          <w:sz w:val="20"/>
        </w:rPr>
        <w:t>(l)</w:t>
      </w:r>
      <w:r>
        <w:rPr/>
        <w:drawing>
          <wp:inline distT="0" distB="63500" distL="0" distR="0">
            <wp:extent cx="3524250" cy="14605"/>
            <wp:effectExtent l="0" t="0" r="0" b="0"/>
            <wp:docPr id="18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43" descr=""/>
                    <pic:cNvPicPr>
                      <a:picLocks noChangeAspect="1" noChangeArrowheads="1"/>
                    </pic:cNvPicPr>
                  </pic:nvPicPr>
                  <pic:blipFill>
                    <a:blip r:embed="rId49"/>
                    <a:stretch>
                      <a:fillRect/>
                    </a:stretch>
                  </pic:blipFill>
                  <pic:spPr bwMode="auto">
                    <a:xfrm>
                      <a:off x="0" y="0"/>
                      <a:ext cx="3524250" cy="14605"/>
                    </a:xfrm>
                    <a:prstGeom prst="rect">
                      <a:avLst/>
                    </a:prstGeom>
                  </pic:spPr>
                </pic:pic>
              </a:graphicData>
            </a:graphic>
          </wp:inline>
        </w:drawing>
      </w:r>
      <w:r>
        <w:rPr/>
        <w:drawing>
          <wp:inline distT="0" distB="63500" distL="0" distR="0">
            <wp:extent cx="14605" cy="142875"/>
            <wp:effectExtent l="0" t="0" r="0" b="0"/>
            <wp:docPr id="18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44" descr=""/>
                    <pic:cNvPicPr>
                      <a:picLocks noChangeAspect="1" noChangeArrowheads="1"/>
                    </pic:cNvPicPr>
                  </pic:nvPicPr>
                  <pic:blipFill>
                    <a:blip r:embed="rId50"/>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the completion of the Initial Audit with respect to the initial Advance;</w:t>
      </w:r>
    </w:p>
    <w:p>
      <w:pPr>
        <w:pStyle w:val="TextBody"/>
        <w:spacing w:before="0" w:after="0"/>
        <w:rPr/>
      </w:pPr>
      <w:r>
        <w:rPr/>
        <w:drawing>
          <wp:inline distT="0" distB="63500" distL="0" distR="0">
            <wp:extent cx="114300" cy="19050"/>
            <wp:effectExtent l="0" t="0" r="0" b="0"/>
            <wp:docPr id="18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45" descr=""/>
                    <pic:cNvPicPr>
                      <a:picLocks noChangeAspect="1" noChangeArrowheads="1"/>
                    </pic:cNvPicPr>
                  </pic:nvPicPr>
                  <pic:blipFill>
                    <a:blip r:embed="rId51"/>
                    <a:stretch>
                      <a:fillRect/>
                    </a:stretch>
                  </pic:blipFill>
                  <pic:spPr bwMode="auto">
                    <a:xfrm>
                      <a:off x="0" y="0"/>
                      <a:ext cx="114300" cy="19050"/>
                    </a:xfrm>
                    <a:prstGeom prst="rect">
                      <a:avLst/>
                    </a:prstGeom>
                  </pic:spPr>
                </pic:pic>
              </a:graphicData>
            </a:graphic>
          </wp:inline>
        </w:drawing>
      </w:r>
    </w:p>
    <w:p>
      <w:pPr>
        <w:pStyle w:val="TextBody"/>
        <w:spacing w:before="2"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(m)</w:t>
      </w:r>
      <w:r>
        <w:rPr>
          <w:rFonts w:ascii="Times New Roman;sans-serif" w:hAnsi="Times New Roman;sans-serif"/>
          <w:b w:val="false"/>
          <w:strike/>
          <w:color w:val="FF0000"/>
          <w:sz w:val="20"/>
        </w:rPr>
        <w:t>(k)</w:t>
      </w:r>
      <w:r>
        <w:rPr>
          <w:color w:val="FF0000"/>
        </w:rPr>
        <w:t xml:space="preserve"> </w:t>
      </w:r>
      <w:r>
        <w:rPr>
          <w:rFonts w:ascii="Times New Roman;sans-serif" w:hAnsi="Times New Roman;sans-serif"/>
          <w:b w:val="false"/>
          <w:color w:val="000000"/>
          <w:sz w:val="20"/>
        </w:rPr>
        <w:t>evidence satisfactory to Bank that the insurance policies and endorsements required by Section 5.8 hereof are in full force and effect, together with appropriate evidence showing lender loss payable and additional insured clauses or endorsements in favor of Bank; and</w:t>
      </w:r>
    </w:p>
    <w:p>
      <w:pPr>
        <w:pStyle w:val="TextBody"/>
        <w:spacing w:before="11" w:after="283"/>
        <w:rPr/>
      </w:pPr>
      <w:r>
        <w:rPr/>
      </w:r>
    </w:p>
    <w:p>
      <w:pPr>
        <w:pStyle w:val="TextBody"/>
        <w:spacing w:lineRule="auto" w:line="240" w:before="0" w:after="0"/>
        <w:ind w:left="0" w:right="0" w:hanging="720"/>
        <w:rPr/>
      </w:pPr>
      <w:r>
        <w:rPr>
          <w:rFonts w:ascii="Times New Roman;sans-serif" w:hAnsi="Times New Roman;sans-serif"/>
          <w:b w:val="false"/>
          <w:color w:val="0000FF"/>
          <w:sz w:val="20"/>
        </w:rPr>
        <w:t>(n)</w:t>
      </w:r>
      <w:r>
        <w:rPr/>
        <w:drawing>
          <wp:inline distT="0" distB="63500" distL="0" distR="0">
            <wp:extent cx="152400" cy="14605"/>
            <wp:effectExtent l="0" t="0" r="0" b="0"/>
            <wp:docPr id="18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46" descr=""/>
                    <pic:cNvPicPr>
                      <a:picLocks noChangeAspect="1" noChangeArrowheads="1"/>
                    </pic:cNvPicPr>
                  </pic:nvPicPr>
                  <pic:blipFill>
                    <a:blip r:embed="rId52"/>
                    <a:stretch>
                      <a:fillRect/>
                    </a:stretch>
                  </pic:blipFill>
                  <pic:spPr bwMode="auto">
                    <a:xfrm>
                      <a:off x="0" y="0"/>
                      <a:ext cx="152400" cy="14605"/>
                    </a:xfrm>
                    <a:prstGeom prst="rect">
                      <a:avLst/>
                    </a:prstGeom>
                  </pic:spPr>
                </pic:pic>
              </a:graphicData>
            </a:graphic>
          </wp:inline>
        </w:drawing>
      </w:r>
      <w:r>
        <w:rPr>
          <w:rFonts w:ascii="Times New Roman;sans-serif" w:hAnsi="Times New Roman;sans-serif"/>
          <w:b w:val="false"/>
          <w:strike/>
          <w:color w:val="FF0000"/>
          <w:sz w:val="20"/>
          <w:u w:val="single"/>
        </w:rPr>
        <w:t>(l)</w:t>
      </w:r>
      <w:r>
        <w:rPr>
          <w:color w:val="FF0000"/>
        </w:rPr>
        <w:t xml:space="preserve"> </w:t>
      </w:r>
      <w:r>
        <w:rPr>
          <w:rFonts w:ascii="Times New Roman;sans-serif" w:hAnsi="Times New Roman;sans-serif"/>
          <w:b w:val="false"/>
          <w:color w:val="000000"/>
          <w:sz w:val="20"/>
        </w:rPr>
        <w:t>payment of the fees and Bank Expenses then due as specified in Section 1.3 hereof.</w:t>
      </w:r>
    </w:p>
    <w:p>
      <w:pPr>
        <w:pStyle w:val="TextBody"/>
        <w:spacing w:before="0" w:after="0"/>
        <w:rPr/>
      </w:pPr>
      <w:r>
        <w:rPr/>
        <w:drawing>
          <wp:inline distT="0" distB="63500" distL="0" distR="0">
            <wp:extent cx="142875" cy="19050"/>
            <wp:effectExtent l="0" t="0" r="0" b="0"/>
            <wp:docPr id="19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47" descr=""/>
                    <pic:cNvPicPr>
                      <a:picLocks noChangeAspect="1" noChangeArrowheads="1"/>
                    </pic:cNvPicPr>
                  </pic:nvPicPr>
                  <pic:blipFill>
                    <a:blip r:embed="rId53"/>
                    <a:stretch>
                      <a:fillRect/>
                    </a:stretch>
                  </pic:blipFill>
                  <pic:spPr bwMode="auto">
                    <a:xfrm>
                      <a:off x="0" y="0"/>
                      <a:ext cx="142875" cy="19050"/>
                    </a:xfrm>
                    <a:prstGeom prst="rect">
                      <a:avLst/>
                    </a:prstGeom>
                  </pic:spPr>
                </pic:pic>
              </a:graphicData>
            </a:graphic>
          </wp:inline>
        </w:drawing>
      </w:r>
    </w:p>
    <w:p>
      <w:pPr>
        <w:pStyle w:val="TextBody"/>
        <w:spacing w:before="3" w:after="283"/>
        <w:rPr/>
      </w:pPr>
      <w:r>
        <w:rPr/>
      </w:r>
    </w:p>
    <w:p>
      <w:pPr>
        <w:pStyle w:val="TextBody"/>
        <w:spacing w:lineRule="auto" w:line="240" w:before="0" w:after="0"/>
        <w:ind w:left="0" w:right="0" w:firstLine="720"/>
        <w:rPr/>
      </w:pPr>
      <w:r>
        <w:rPr>
          <w:rFonts w:ascii="Times New Roman;sans-serif" w:hAnsi="Times New Roman;sans-serif"/>
          <w:b/>
          <w:color w:val="000000"/>
          <w:sz w:val="20"/>
        </w:rPr>
        <w:t>2.2Conditions Precedent to all Credit Extensions.    </w:t>
      </w:r>
      <w:r>
        <w:rPr>
          <w:rFonts w:ascii="Times New Roman;sans-serif" w:hAnsi="Times New Roman;sans-serif"/>
          <w:b w:val="false"/>
          <w:color w:val="000000"/>
          <w:sz w:val="20"/>
        </w:rPr>
        <w:t>Bank’s obligation to make each Credit Extension, including the initial Credit Extension, is subject to the following conditions precedent:</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(a)receipt of Borrower’s Credit Extension request and the related materials and documents as required by and in accordance with Section 1.7;</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(b)the representations and warranties in this Agreement shall be true and correct in all material respects as of the date of any Credit Extension request and as of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pStyle w:val="TextBody"/>
        <w:spacing w:before="3"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 Material Adverse Change shall not have occurred.</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2251710"/>
                <wp:effectExtent l="0" t="0" r="0" b="0"/>
                <wp:wrapNone/>
                <wp:docPr id="191" name="Frame139"/>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19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48" descr=""/>
                                          <pic:cNvPicPr>
                                            <a:picLocks noChangeAspect="1" noChangeArrowheads="1"/>
                                          </pic:cNvPicPr>
                                        </pic:nvPicPr>
                                        <pic:blipFill>
                                          <a:blip r:embed="rId5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19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48" descr=""/>
                                    <pic:cNvPicPr>
                                      <a:picLocks noChangeAspect="1" noChangeArrowheads="1"/>
                                    </pic:cNvPicPr>
                                  </pic:nvPicPr>
                                  <pic:blipFill>
                                    <a:blip r:embed="rId5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9" w:after="283"/>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2.3Covenant to Deliver.</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 shall deliver to Bank each item required to be delivered to Bank 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w:t>
      </w:r>
    </w:p>
    <w:p>
      <w:pPr>
        <w:pStyle w:val="TextBody"/>
        <w:spacing w:before="2" w:after="283"/>
        <w:rPr/>
      </w:pPr>
      <w:r>
        <w:rPr/>
      </w:r>
    </w:p>
    <w:p>
      <w:pPr>
        <w:pStyle w:val="TextBody"/>
        <w:spacing w:lineRule="auto" w:line="240" w:before="0" w:after="0"/>
        <w:ind w:left="0" w:right="0" w:hanging="720"/>
        <w:rPr/>
      </w:pPr>
      <w:r>
        <w:rPr>
          <w:rFonts w:ascii="Times New Roman;sans-serif" w:hAnsi="Times New Roman;sans-serif"/>
          <w:b/>
          <w:color w:val="000000"/>
          <w:sz w:val="20"/>
        </w:rPr>
        <w:t>3.</w:t>
      </w:r>
      <w:r>
        <w:rPr>
          <w:rFonts w:ascii="Times New Roman;sans-serif" w:hAnsi="Times New Roman;sans-serif"/>
          <w:b/>
          <w:color w:val="000000"/>
          <w:sz w:val="20"/>
          <w:u w:val="single"/>
        </w:rPr>
        <w:t>CREATION OF SECURITY INTEREST</w:t>
      </w:r>
    </w:p>
    <w:p>
      <w:pPr>
        <w:pStyle w:val="TextBody"/>
        <w:spacing w:before="3" w:after="283"/>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3.1Grant of Security Interest.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 hereby grants Bank, to secure the payment and performance in full of all of the Obligations, a continuing security interest in, and pledges to Bank, the Collateral, wherever located, whether now owned or hereafter acquired or arising, and all proceeds and products thereof.</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3.2Authorization to File Financing Statements. </w:t>
      </w:r>
      <w:r>
        <w:rPr>
          <w:rFonts w:ascii="Times New Roman;sans-serif" w:hAnsi="Times New Roman;sans-serif"/>
          <w:b w:val="false"/>
          <w:color w:val="000000"/>
          <w:sz w:val="20"/>
        </w:rPr>
        <w:t>Borrower hereby authorizes Bank to file financing statements covering the Collateral, without notice to Borrower, with all jurisdictions deemed necessary or appropriate by Bank to perfect or protect Bank’s interest or rights hereunder, including a notice that any disposition of the Collateral, by either Borrower or any other Person, in contravention of the terms of this Agreement shall be deemed to violate the rights of Bank under the Code. Such financing statements may indicate the Collateral</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3.3Termination</w:t>
      </w:r>
      <w:r>
        <w:rPr>
          <w:rFonts w:ascii="Times New Roman;sans-serif" w:hAnsi="Times New Roman;sans-serif"/>
          <w:b w:val="false"/>
          <w:color w:val="000000"/>
          <w:sz w:val="20"/>
        </w:rPr>
        <w:t>. 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Bank shall, at Borrower’s sole cost and expense, promptly terminate its security interest in the Collateral and all rights therein shall automatically revert to Borrower, and Bank shall, upon request from Borrower and at Borrower’s sole cost and expense, promptly deliver to Borrower written evidence of the termination of such liens and any other documents reasonably necessary to terminate such liens.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commercially reasonable discretion for Bank Services, if any. In the event such Bank Services consist of outstanding Letters of Credit, Borrower shall provide to Bank cash collateral in an amount equal to at least (i) one hundred and five percent (105.0%) of the face amount of all such Letters of Credit denominated in Dollars and (ii) one hundred and fifteen percent (115.0%) of the Dollar Equivalent of the face amount of all such Letters of Credit denominated in a Foreign Currency, plus, in each case, all interest, fees, and costs due or estimated by Bank to become due in connection therewith, to secure all of the Obligations relating to such Letters of Credit.</w:t>
      </w:r>
    </w:p>
    <w:p>
      <w:pPr>
        <w:pStyle w:val="TextBody"/>
        <w:spacing w:before="7" w:after="283"/>
        <w:rPr/>
      </w:pPr>
      <w:r>
        <w:rPr/>
      </w:r>
    </w:p>
    <w:p>
      <w:pPr>
        <w:pStyle w:val="TextBody"/>
        <w:spacing w:lineRule="auto" w:line="240" w:before="0" w:after="0"/>
        <w:ind w:left="0" w:right="0" w:hanging="720"/>
        <w:rPr/>
      </w:pPr>
      <w:r>
        <w:rPr>
          <w:rFonts w:ascii="Times New Roman;sans-serif" w:hAnsi="Times New Roman;sans-serif"/>
          <w:b/>
          <w:color w:val="000000"/>
          <w:sz w:val="20"/>
        </w:rPr>
        <w:t>4.</w:t>
      </w:r>
      <w:r>
        <w:rPr>
          <w:rFonts w:ascii="Times New Roman;sans-serif" w:hAnsi="Times New Roman;sans-serif"/>
          <w:b/>
          <w:color w:val="000000"/>
          <w:sz w:val="20"/>
          <w:u w:val="single"/>
        </w:rPr>
        <w:t>REPRESENTATIONS AND WARRANTIES</w:t>
      </w:r>
    </w:p>
    <w:p>
      <w:pPr>
        <w:pStyle w:val="TextBody"/>
        <w:spacing w:before="0" w:after="0"/>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Borrower represents and warrants as follows:</w:t>
      </w:r>
    </w:p>
    <w:p>
      <w:pPr>
        <w:pStyle w:val="TextBody"/>
        <w:spacing w:before="1"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4.1Due Organization, Authorization; Power and Authority.</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 and each of its Subsidiaries are each duly existing and in good standing as a Registered Organization in their respective jurisdiction of formation and are qualified and licensed to do business and is in good standing in any other jurisdiction in which the conduct of their respective business or their ownership</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2251710"/>
                <wp:effectExtent l="0" t="0" r="0" b="0"/>
                <wp:wrapNone/>
                <wp:docPr id="194" name="Frame140"/>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19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49" descr=""/>
                                          <pic:cNvPicPr>
                                            <a:picLocks noChangeAspect="1" noChangeArrowheads="1"/>
                                          </pic:cNvPicPr>
                                        </pic:nvPicPr>
                                        <pic:blipFill>
                                          <a:blip r:embed="rId5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19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49" descr=""/>
                                    <pic:cNvPicPr>
                                      <a:picLocks noChangeAspect="1" noChangeArrowheads="1"/>
                                    </pic:cNvPicPr>
                                  </pic:nvPicPr>
                                  <pic:blipFill>
                                    <a:blip r:embed="rId5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of property requires that they be qualified except where the failure to do so could not reasonably be expected to have a material adverse effect on Borrower’s business or operations.</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(b)</w:t>
      </w:r>
      <w:r>
        <w:rPr/>
        <w:drawing>
          <wp:inline distT="0" distB="63500" distL="0" distR="0">
            <wp:extent cx="14605" cy="142875"/>
            <wp:effectExtent l="0" t="0" r="0" b="0"/>
            <wp:docPr id="19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50" descr=""/>
                    <pic:cNvPicPr>
                      <a:picLocks noChangeAspect="1" noChangeArrowheads="1"/>
                    </pic:cNvPicPr>
                  </pic:nvPicPr>
                  <pic:blipFill>
                    <a:blip r:embed="rId56"/>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00"/>
          <w:sz w:val="20"/>
        </w:rPr>
        <w:t xml:space="preserve">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w:t>
      </w:r>
      <w:r>
        <w:rPr>
          <w:rFonts w:ascii="Times New Roman;sans-serif" w:hAnsi="Times New Roman;sans-serif"/>
          <w:b w:val="false"/>
          <w:color w:val="0000FF"/>
          <w:sz w:val="20"/>
          <w:u w:val="single"/>
        </w:rPr>
        <w:t>First Amendment</w:t>
      </w:r>
      <w:r>
        <w:rPr>
          <w:color w:val="0000FF"/>
        </w:rPr>
        <w:t xml:space="preserve"> </w:t>
      </w:r>
      <w:r>
        <w:rPr>
          <w:rFonts w:ascii="Times New Roman;sans-serif" w:hAnsi="Times New Roman;sans-serif"/>
          <w:b w:val="false"/>
          <w:color w:val="000000"/>
          <w:sz w:val="20"/>
        </w:rPr>
        <w:t>Effective Date to the extent permitted by one or more specific provisions in this Agreement and the Perfection Certificate shall be deemed to be updated to the extent such notice is provided to Bank of such permitted update).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or applicable consents or waivers have been obtained. Neither Borrower nor any of its Subsidiaries are in default under any material agreement to which it is a party or by which it is bound in which the default could reasonably be expected to have a material adverse effect on Borrower’s or any of its Subsidiary’s business or operations (taken as a whole).</w:t>
      </w:r>
    </w:p>
    <w:p>
      <w:pPr>
        <w:pStyle w:val="TextBody"/>
        <w:spacing w:before="6" w:after="283"/>
        <w:rPr/>
      </w:pPr>
      <w:r>
        <w:rPr/>
      </w:r>
    </w:p>
    <w:p>
      <w:pPr>
        <w:pStyle w:val="TextBody"/>
        <w:spacing w:lineRule="auto" w:line="240" w:before="1" w:after="283"/>
        <w:ind w:left="0" w:right="0" w:hanging="720"/>
        <w:rPr>
          <w:rFonts w:ascii="Times New Roman;sans-serif" w:hAnsi="Times New Roman;sans-serif"/>
          <w:b/>
          <w:color w:val="000000"/>
          <w:sz w:val="20"/>
        </w:rPr>
      </w:pPr>
      <w:r>
        <w:rPr>
          <w:rFonts w:ascii="Times New Roman;sans-serif" w:hAnsi="Times New Roman;sans-serif"/>
          <w:b/>
          <w:color w:val="000000"/>
          <w:sz w:val="20"/>
        </w:rPr>
        <w:t>4.2Collateral.</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to the extent that perfection is required pursuant to the terms of Section 5.9(c). The Accounts are bona fide, existing obligations of the Account Debtors.</w:t>
      </w:r>
    </w:p>
    <w:p>
      <w:pPr>
        <w:pStyle w:val="TextBody"/>
        <w:spacing w:before="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(c)The Collateral is not in the possession of any third party bailee (such as a warehouse) except as otherwise provided in the Perfection Certificate or as permitted pursuant to Section 6.2 (other than laptops and other portable electronic items used in the ordinary course of business). None of the components of the Collateral shall be maintained at locations other than as provided in the Perfection Certificate or as permitted pursuant to Section 6.2 (other than laptops and other portable electronic items used in the ordinary course of business).</w:t>
      </w:r>
    </w:p>
    <w:p>
      <w:pPr>
        <w:pStyle w:val="TextBody"/>
        <w:spacing w:before="2" w:after="283"/>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(d)All Inventory is in all material respects of good and marketable quality, free from</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material defects.</w:t>
      </w:r>
    </w:p>
    <w:p>
      <w:pPr>
        <w:pStyle w:val="TextBody"/>
        <w:spacing w:before="0" w:after="0"/>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(e)Borrower owns, or possesses the right to use to the extent reasonably necessary in its business, all Intellectual Property, licenses and other intangible assets that are used in the conduct of its business operations as now operated, except to the extent that such failure to own or possess the right to use such asset would not reasonably be expected to have a material adverse effect on Borrower’s business or operations, and no such asset, to the best knowledge of Borrower, conflicts with the valid Intellectual Property, license, or intangible asset of</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2251710"/>
                <wp:effectExtent l="0" t="0" r="0" b="0"/>
                <wp:wrapNone/>
                <wp:docPr id="198" name="Frame141"/>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19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51" descr=""/>
                                          <pic:cNvPicPr>
                                            <a:picLocks noChangeAspect="1" noChangeArrowheads="1"/>
                                          </pic:cNvPicPr>
                                        </pic:nvPicPr>
                                        <pic:blipFill>
                                          <a:blip r:embed="rId5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0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51" descr=""/>
                                    <pic:cNvPicPr>
                                      <a:picLocks noChangeAspect="1" noChangeArrowheads="1"/>
                                    </pic:cNvPicPr>
                                  </pic:nvPicPr>
                                  <pic:blipFill>
                                    <a:blip r:embed="rId5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any other Person to the extent that such conflict could reasonably be expected to have a material adverse effect on Borrower’s business or operations.</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(f)Except as noted on the Perfection Certificate (as updated from time to time in accordance with this Agreement) or for which notice has been given to Bank pursuant to and in accordance with Section 5.11(b), Borrower is not a party to, nor is it bound by, any Restricted License.</w:t>
      </w:r>
    </w:p>
    <w:p>
      <w:pPr>
        <w:pStyle w:val="TextBody"/>
        <w:spacing w:before="2" w:after="283"/>
        <w:rPr/>
      </w:pPr>
      <w:r>
        <w:rPr/>
      </w:r>
    </w:p>
    <w:p>
      <w:pPr>
        <w:pStyle w:val="TextBody"/>
        <w:spacing w:lineRule="auto" w:line="240" w:before="0" w:after="0"/>
        <w:ind w:left="0" w:right="0" w:hanging="720"/>
        <w:rPr/>
      </w:pPr>
      <w:r>
        <w:rPr>
          <w:rFonts w:ascii="Times New Roman;sans-serif" w:hAnsi="Times New Roman;sans-serif"/>
          <w:b/>
          <w:color w:val="000000"/>
          <w:sz w:val="20"/>
        </w:rPr>
        <w:t>4.3</w:t>
      </w:r>
      <w:r>
        <w:rPr/>
        <w:drawing>
          <wp:inline distT="0" distB="63500" distL="0" distR="0">
            <wp:extent cx="14605" cy="142875"/>
            <wp:effectExtent l="0" t="0" r="0" b="0"/>
            <wp:docPr id="20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52" descr=""/>
                    <pic:cNvPicPr>
                      <a:picLocks noChangeAspect="1" noChangeArrowheads="1"/>
                    </pic:cNvPicPr>
                  </pic:nvPicPr>
                  <pic:blipFill>
                    <a:blip r:embed="rId58"/>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strike/>
          <w:color w:val="FF0000"/>
          <w:sz w:val="20"/>
        </w:rPr>
        <w:t>Reserved</w:t>
      </w:r>
      <w:r>
        <w:rPr>
          <w:rFonts w:ascii="Times New Roman;sans-serif" w:hAnsi="Times New Roman;sans-serif"/>
          <w:b/>
          <w:color w:val="0000FF"/>
          <w:sz w:val="20"/>
          <w:u w:val="single"/>
        </w:rPr>
        <w:t>Accounts Receivable</w:t>
      </w:r>
      <w:r>
        <w:rPr>
          <w:rFonts w:ascii="Times New Roman;sans-serif" w:hAnsi="Times New Roman;sans-serif"/>
          <w:b/>
          <w:color w:val="000000"/>
          <w:sz w:val="20"/>
        </w:rPr>
        <w:t>.</w:t>
      </w:r>
    </w:p>
    <w:p>
      <w:pPr>
        <w:pStyle w:val="TextBody"/>
        <w:spacing w:before="0" w:after="0"/>
        <w:rPr/>
      </w:pPr>
      <w:r>
        <w:rPr/>
      </w:r>
    </w:p>
    <w:p>
      <w:pPr>
        <w:pStyle w:val="TextBody"/>
        <w:spacing w:lineRule="auto" w:line="240" w:before="91" w:after="283"/>
        <w:ind w:left="0" w:right="0" w:firstLine="1440"/>
        <w:rPr/>
      </w:pPr>
      <w:r>
        <w:rPr>
          <w:rFonts w:ascii="Times New Roman;sans-serif" w:hAnsi="Times New Roman;sans-serif"/>
          <w:b w:val="false"/>
          <w:color w:val="0000FF"/>
          <w:sz w:val="20"/>
          <w:u w:val="single"/>
        </w:rPr>
        <w:t>(a)</w:t>
      </w:r>
      <w:r>
        <w:rPr/>
        <w:drawing>
          <wp:inline distT="0" distB="63500" distL="0" distR="0">
            <wp:extent cx="14605" cy="285750"/>
            <wp:effectExtent l="0" t="0" r="0" b="0"/>
            <wp:docPr id="20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53" descr=""/>
                    <pic:cNvPicPr>
                      <a:picLocks noChangeAspect="1" noChangeArrowheads="1"/>
                    </pic:cNvPicPr>
                  </pic:nvPicPr>
                  <pic:blipFill>
                    <a:blip r:embed="rId59"/>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For each Account included in the most recent Borrowing Base Statement, on the date</w:t>
      </w:r>
      <w:r>
        <w:rPr>
          <w:color w:val="0000FF"/>
        </w:rPr>
        <w:t xml:space="preserve"> </w:t>
      </w:r>
      <w:r>
        <w:rPr>
          <w:rFonts w:ascii="Times New Roman;sans-serif" w:hAnsi="Times New Roman;sans-serif"/>
          <w:b w:val="false"/>
          <w:color w:val="0000FF"/>
          <w:sz w:val="20"/>
          <w:u w:val="single"/>
        </w:rPr>
        <w:t>such related Advance is requested and made, such Account shall be an Eligible Account.</w:t>
      </w:r>
    </w:p>
    <w:p>
      <w:pPr>
        <w:pStyle w:val="TextBody"/>
        <w:spacing w:before="0" w:after="0"/>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u w:val="single"/>
        </w:rPr>
        <w:t>(b)</w:t>
      </w:r>
      <w:r>
        <w:rPr/>
        <w:drawing>
          <wp:inline distT="0" distB="63500" distL="0" distR="0">
            <wp:extent cx="14605" cy="1314450"/>
            <wp:effectExtent l="0" t="0" r="0" b="0"/>
            <wp:docPr id="20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54" descr=""/>
                    <pic:cNvPicPr>
                      <a:picLocks noChangeAspect="1" noChangeArrowheads="1"/>
                    </pic:cNvPicPr>
                  </pic:nvPicPr>
                  <pic:blipFill>
                    <a:blip r:embed="rId60"/>
                    <a:stretch>
                      <a:fillRect/>
                    </a:stretch>
                  </pic:blipFill>
                  <pic:spPr bwMode="auto">
                    <a:xfrm>
                      <a:off x="0" y="0"/>
                      <a:ext cx="14605" cy="1314450"/>
                    </a:xfrm>
                    <a:prstGeom prst="rect">
                      <a:avLst/>
                    </a:prstGeom>
                  </pic:spPr>
                </pic:pic>
              </a:graphicData>
            </a:graphic>
          </wp:inline>
        </w:drawing>
      </w:r>
      <w:r>
        <w:rPr>
          <w:rFonts w:ascii="Times New Roman;sans-serif" w:hAnsi="Times New Roman;sans-serif"/>
          <w:b w:val="false"/>
          <w:color w:val="0000FF"/>
          <w:sz w:val="20"/>
          <w:u w:val="single"/>
        </w:rPr>
        <w:t>All statements made and all unpaid balances appearing in all invoices, instruments and</w:t>
      </w:r>
      <w:r>
        <w:rPr>
          <w:color w:val="0000FF"/>
        </w:rPr>
        <w:t xml:space="preserve"> </w:t>
      </w:r>
      <w:r>
        <w:rPr>
          <w:rFonts w:ascii="Times New Roman;sans-serif" w:hAnsi="Times New Roman;sans-serif"/>
          <w:b w:val="false"/>
          <w:color w:val="0000FF"/>
          <w:sz w:val="20"/>
          <w:u w:val="single"/>
        </w:rPr>
        <w:t>other documents evidencing the Eligible Accounts are and shall be true and correct and all such invoices,</w:t>
      </w:r>
      <w:r>
        <w:rPr>
          <w:color w:val="0000FF"/>
        </w:rPr>
        <w:t xml:space="preserve"> </w:t>
      </w:r>
      <w:r>
        <w:rPr>
          <w:rFonts w:ascii="Times New Roman;sans-serif" w:hAnsi="Times New Roman;sans-serif"/>
          <w:b w:val="false"/>
          <w:color w:val="0000FF"/>
          <w:sz w:val="20"/>
          <w:u w:val="single"/>
        </w:rPr>
        <w:t>instruments and other documents, and all of Borrower’s Books are genuine and in all respects what they purport to</w:t>
      </w:r>
      <w:r>
        <w:rPr>
          <w:color w:val="0000FF"/>
        </w:rPr>
        <w:t xml:space="preserve"> </w:t>
      </w:r>
      <w:r>
        <w:rPr>
          <w:rFonts w:ascii="Times New Roman;sans-serif" w:hAnsi="Times New Roman;sans-serif"/>
          <w:b w:val="false"/>
          <w:color w:val="0000FF"/>
          <w:sz w:val="20"/>
          <w:u w:val="single"/>
        </w:rPr>
        <w:t>be. All sales and other transactions underlying or giving rise to each Eligible Account shall comply in all material</w:t>
      </w:r>
      <w:r>
        <w:rPr>
          <w:color w:val="0000FF"/>
        </w:rPr>
        <w:t xml:space="preserve"> </w:t>
      </w:r>
      <w:r>
        <w:rPr>
          <w:rFonts w:ascii="Times New Roman;sans-serif" w:hAnsi="Times New Roman;sans-serif"/>
          <w:b w:val="false"/>
          <w:color w:val="0000FF"/>
          <w:sz w:val="20"/>
          <w:u w:val="single"/>
        </w:rPr>
        <w:t>respects with all Applicable Law. Borrower has no knowledge of any actual or imminent Insolvency Proceeding of</w:t>
      </w:r>
      <w:r>
        <w:rPr>
          <w:color w:val="0000FF"/>
        </w:rPr>
        <w:t xml:space="preserve"> </w:t>
      </w:r>
      <w:r>
        <w:rPr>
          <w:rFonts w:ascii="Times New Roman;sans-serif" w:hAnsi="Times New Roman;sans-serif"/>
          <w:b w:val="false"/>
          <w:color w:val="0000FF"/>
          <w:sz w:val="20"/>
          <w:u w:val="single"/>
        </w:rPr>
        <w:t>any Account Debtor whose accounts are Eligible Accounts in any Borrowing Base Statement. To Borrower’s</w:t>
      </w:r>
      <w:r>
        <w:rPr>
          <w:color w:val="0000FF"/>
        </w:rPr>
        <w:t xml:space="preserve"> </w:t>
      </w:r>
      <w:r>
        <w:rPr>
          <w:rFonts w:ascii="Times New Roman;sans-serif" w:hAnsi="Times New Roman;sans-serif"/>
          <w:b w:val="false"/>
          <w:color w:val="0000FF"/>
          <w:sz w:val="20"/>
          <w:u w:val="single"/>
        </w:rPr>
        <w:t>knowledge, all signatures and endorsements on all documents, instruments, and agreements relating to all Eligible</w:t>
      </w:r>
      <w:r>
        <w:rPr>
          <w:color w:val="0000FF"/>
        </w:rPr>
        <w:t xml:space="preserve"> </w:t>
      </w:r>
      <w:r>
        <w:rPr>
          <w:rFonts w:ascii="Times New Roman;sans-serif" w:hAnsi="Times New Roman;sans-serif"/>
          <w:b w:val="false"/>
          <w:color w:val="0000FF"/>
          <w:sz w:val="20"/>
          <w:u w:val="single"/>
        </w:rPr>
        <w:t>Accounts are genuine, and all such documents, instruments and agreements are legally enforceable in accordance</w:t>
      </w:r>
      <w:r>
        <w:rPr>
          <w:color w:val="0000FF"/>
        </w:rPr>
        <w:t xml:space="preserve"> </w:t>
      </w:r>
      <w:r>
        <w:rPr>
          <w:rFonts w:ascii="Times New Roman;sans-serif" w:hAnsi="Times New Roman;sans-serif"/>
          <w:b w:val="false"/>
          <w:color w:val="0000FF"/>
          <w:sz w:val="20"/>
          <w:u w:val="single"/>
        </w:rPr>
        <w:t>with their terms.</w:t>
      </w:r>
    </w:p>
    <w:p>
      <w:pPr>
        <w:pStyle w:val="TextBody"/>
        <w:spacing w:before="6" w:after="283"/>
        <w:rPr/>
      </w:pPr>
      <w:r>
        <w:rPr/>
      </w:r>
    </w:p>
    <w:p>
      <w:pPr>
        <w:pStyle w:val="TextBody"/>
        <w:spacing w:lineRule="auto" w:line="240" w:before="91" w:after="283"/>
        <w:ind w:left="0" w:right="0" w:firstLine="720"/>
        <w:jc w:val="both"/>
        <w:rPr/>
      </w:pPr>
      <w:r>
        <w:rPr>
          <w:rFonts w:ascii="Times New Roman;sans-serif" w:hAnsi="Times New Roman;sans-serif"/>
          <w:b/>
          <w:color w:val="000000"/>
          <w:sz w:val="20"/>
        </w:rPr>
        <w:t>4.4</w:t>
      </w:r>
      <w:r>
        <w:rPr/>
        <w:drawing>
          <wp:inline distT="0" distB="63500" distL="0" distR="0">
            <wp:extent cx="14605" cy="285750"/>
            <wp:effectExtent l="0" t="0" r="0" b="0"/>
            <wp:docPr id="20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55" descr=""/>
                    <pic:cNvPicPr>
                      <a:picLocks noChangeAspect="1" noChangeArrowheads="1"/>
                    </pic:cNvPicPr>
                  </pic:nvPicPr>
                  <pic:blipFill>
                    <a:blip r:embed="rId61"/>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color w:val="000000"/>
          <w:sz w:val="20"/>
        </w:rPr>
        <w:t xml:space="preserve">Litigation. </w:t>
      </w:r>
      <w:r>
        <w:rPr>
          <w:rFonts w:ascii="Times New Roman;sans-serif" w:hAnsi="Times New Roman;sans-serif"/>
          <w:b w:val="false"/>
          <w:color w:val="000000"/>
          <w:sz w:val="20"/>
        </w:rPr>
        <w:t xml:space="preserve">Other than as set forth on the Perfection Certificate delivered around the </w:t>
      </w:r>
      <w:r>
        <w:rPr>
          <w:rFonts w:ascii="Times New Roman;sans-serif" w:hAnsi="Times New Roman;sans-serif"/>
          <w:b w:val="false"/>
          <w:color w:val="0000FF"/>
          <w:sz w:val="20"/>
          <w:u w:val="single"/>
        </w:rPr>
        <w:t>First</w:t>
      </w:r>
      <w:r>
        <w:rPr>
          <w:color w:val="0000FF"/>
        </w:rPr>
        <w:t xml:space="preserve"> </w:t>
      </w:r>
      <w:r>
        <w:rPr>
          <w:rFonts w:ascii="Times New Roman;sans-serif" w:hAnsi="Times New Roman;sans-serif"/>
          <w:b w:val="false"/>
          <w:color w:val="0000FF"/>
          <w:sz w:val="20"/>
          <w:u w:val="single"/>
        </w:rPr>
        <w:t>Amendment</w:t>
      </w:r>
      <w:r>
        <w:rPr>
          <w:color w:val="0000FF"/>
        </w:rPr>
        <w:t xml:space="preserve"> </w:t>
      </w:r>
      <w:r>
        <w:rPr>
          <w:rFonts w:ascii="Times New Roman;sans-serif" w:hAnsi="Times New Roman;sans-serif"/>
          <w:b w:val="false"/>
          <w:color w:val="000000"/>
          <w:sz w:val="20"/>
        </w:rPr>
        <w:t>Effective Date, and as disclosed to Bank pursuant to Section 5.3, there are no actions, investigations or proceedings pending or, to the knowledge of any Responsible Officer, threatened in writing by or against Borrower or any of its Subsidiaries that could reasonably be expected to result in liability of more than, individually or in the aggregate, Seven Hundred Fifty Thousand Dollars ($750,000).</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4.5Financial Statements; Financial Condition. </w:t>
      </w:r>
      <w:r>
        <w:rPr>
          <w:rFonts w:ascii="Times New Roman;sans-serif" w:hAnsi="Times New Roman;sans-serif"/>
          <w:b w:val="false"/>
          <w:color w:val="000000"/>
          <w:sz w:val="20"/>
        </w:rPr>
        <w:t>All consolidated financial statements for Borrower and any of its Subsidiaries delivered to Bank by submission to the Financial Statement Repository or otherwise submitted to Bank fairly present in all material respects Borrower’s consolidated financial condition and Borrower’s consolidated results of operations as of the dates thereof and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w:t>
      </w:r>
    </w:p>
    <w:p>
      <w:pPr>
        <w:pStyle w:val="TextBody"/>
        <w:spacing w:before="3"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4.6Solvency. </w:t>
      </w:r>
      <w:r>
        <w:rPr>
          <w:rFonts w:ascii="Times New Roman;sans-serif" w:hAnsi="Times New Roman;sans-serif"/>
          <w:b w:val="false"/>
          <w:color w:val="000000"/>
          <w:sz w:val="20"/>
        </w:rPr>
        <w:t>The fair salable value of Borrower’s consolidated assets (including goodwill minus disposition costs) exceeds the fair value of Borrower’s liabilities; Borrower is not left with unreasonably small capital after the transactions in this Agreement; and Borrower and Borrower and each of its Subsidiaries (taken as a whole) are able to pay their debts (including trade debts) as they mature.</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4.7Regulatory Compliance. </w:t>
      </w:r>
      <w:r>
        <w:rPr>
          <w:rFonts w:ascii="Times New Roman;sans-serif" w:hAnsi="Times New Roman;sans-serif"/>
          <w:b w:val="false"/>
          <w:color w:val="000000"/>
          <w:sz w:val="20"/>
        </w:rPr>
        <w:t xml:space="preserve">Borrower is not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51710"/>
                <wp:effectExtent l="0" t="0" r="0" b="0"/>
                <wp:wrapNone/>
                <wp:docPr id="205" name="Frame142"/>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0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56" descr=""/>
                                          <pic:cNvPicPr>
                                            <a:picLocks noChangeAspect="1" noChangeArrowheads="1"/>
                                          </pic:cNvPicPr>
                                        </pic:nvPicPr>
                                        <pic:blipFill>
                                          <a:blip r:embed="rId62"/>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0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56" descr=""/>
                                    <pic:cNvPicPr>
                                      <a:picLocks noChangeAspect="1" noChangeArrowheads="1"/>
                                    </pic:cNvPicPr>
                                  </pic:nvPicPr>
                                  <pic:blipFill>
                                    <a:blip r:embed="rId62"/>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Borrower and each of its Subsidiaries have obtained all consents, approvals and authorizations</w:t>
      </w:r>
    </w:p>
    <w:p>
      <w:pPr>
        <w:pStyle w:val="TextBody"/>
        <w:spacing w:before="0" w:after="0"/>
        <w:jc w:val="both"/>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4.8Subsidiaries; Investments. </w:t>
      </w:r>
      <w:r>
        <w:rPr>
          <w:rFonts w:ascii="Times New Roman;sans-serif" w:hAnsi="Times New Roman;sans-serif"/>
          <w:b w:val="false"/>
          <w:color w:val="000000"/>
          <w:sz w:val="20"/>
        </w:rPr>
        <w:t>Borrower does not own any stock, partnership, or other ownership interest or other equity securities except for Permitted Investments.</w:t>
      </w:r>
    </w:p>
    <w:p>
      <w:pPr>
        <w:pStyle w:val="TextBody"/>
        <w:spacing w:before="1" w:after="283"/>
        <w:rPr/>
      </w:pPr>
      <w:r>
        <w:rPr/>
      </w:r>
    </w:p>
    <w:p>
      <w:pPr>
        <w:pStyle w:val="TextBody"/>
        <w:spacing w:lineRule="auto" w:line="240" w:before="1" w:after="283"/>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4.9Tax Returns and Payments; Pension Contributions.</w:t>
      </w:r>
    </w:p>
    <w:p>
      <w:pPr>
        <w:pStyle w:val="TextBody"/>
        <w:spacing w:before="10" w:after="283"/>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(a)Borrower and each of its Subsidiaries have timely filed, or submitted extensions for, all required tax returns and reports, and Borrower and each of its Subsidiaries have timely paid, or submitted extensions for,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 be required in conformity with GAAP shall have been made therefor, or (ii) if such taxes, assessments, deposits and contributions do not, individually or in the aggregate, exceed Fifty Thousand Dollars ($50,000). Borrower is unaware of any claims or adjustments proposed for any of Borrower’s or any of its Subsidiary’s prior tax years which could result in additional taxes becoming due and payable by Borrower or any of its Subsidiaries in excess of Fifty Thousand Dollars ($50,000) in the aggregate.</w:t>
      </w:r>
    </w:p>
    <w:p>
      <w:pPr>
        <w:pStyle w:val="TextBody"/>
        <w:spacing w:before="3"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material liability of Borrower or any of its Subsidiaries, including any liability to the Pension Benefit Guaranty Corporation or its successors or any other Governmental Authority.</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4.10Full Disclosure. </w:t>
      </w:r>
      <w:r>
        <w:rPr>
          <w:rFonts w:ascii="Times New Roman;sans-serif" w:hAnsi="Times New Roman;sans-serif"/>
          <w:b w:val="false"/>
          <w:color w:val="000000"/>
          <w:sz w:val="20"/>
        </w:rPr>
        <w:t>No written representation, warranty or other statement of Borrower or any of its Subsidiaries in any report, certificate or written statement submitted to the Financial Statement Repository or otherwise submitted to Bank, as of the date such representation, warranty, or other statement was made, taken together with all such written reports, written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pStyle w:val="TextBody"/>
        <w:spacing w:before="5" w:after="283"/>
        <w:rPr/>
      </w:pPr>
      <w:r>
        <w:rPr/>
      </w:r>
    </w:p>
    <w:p>
      <w:pPr>
        <w:pStyle w:val="TextBody"/>
        <w:spacing w:lineRule="auto" w:line="240" w:before="0" w:after="0"/>
        <w:ind w:left="0" w:right="0" w:hanging="720"/>
        <w:jc w:val="both"/>
        <w:rPr/>
      </w:pPr>
      <w:r>
        <w:rPr>
          <w:rFonts w:ascii="Times New Roman;sans-serif" w:hAnsi="Times New Roman;sans-serif"/>
          <w:b/>
          <w:color w:val="000000"/>
          <w:sz w:val="20"/>
        </w:rPr>
        <w:t>4.11Sanctions</w:t>
      </w:r>
      <w:r>
        <w:rPr>
          <w:rFonts w:ascii="Times New Roman;sans-serif" w:hAnsi="Times New Roman;sans-serif"/>
          <w:b w:val="false"/>
          <w:color w:val="000000"/>
          <w:sz w:val="20"/>
        </w:rPr>
        <w:t>. Neither Borrower nor any of its Subsidiaries is: (a) in violation of any Sanctions; or</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 Sanctioned Person. Neither Borrower nor any of its Subsidiaries, or, to Borrower’s knowledge, its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w:t>
      </w:r>
    </w:p>
    <w:p>
      <w:pPr>
        <w:pStyle w:val="TextBody"/>
        <w:spacing w:before="3" w:after="283"/>
        <w:rPr/>
      </w:pPr>
      <w:r>
        <w:rPr/>
      </w:r>
    </w:p>
    <w:p>
      <w:pPr>
        <w:pStyle w:val="TextBody"/>
        <w:spacing w:lineRule="auto" w:line="240" w:before="1" w:after="283"/>
        <w:ind w:left="0" w:right="0" w:hanging="720"/>
        <w:jc w:val="both"/>
        <w:rPr/>
      </w:pPr>
      <w:r>
        <w:rPr>
          <w:rFonts w:ascii="Times New Roman;sans-serif" w:hAnsi="Times New Roman;sans-serif"/>
          <w:b/>
          <w:color w:val="000000"/>
          <w:sz w:val="20"/>
        </w:rPr>
        <w:t>5.</w:t>
      </w:r>
      <w:r>
        <w:rPr>
          <w:rFonts w:ascii="Times New Roman;sans-serif" w:hAnsi="Times New Roman;sans-serif"/>
          <w:b/>
          <w:color w:val="000000"/>
          <w:sz w:val="20"/>
          <w:u w:val="single"/>
        </w:rPr>
        <w:t>AFFIRMATIVE COVENANTS</w:t>
      </w:r>
    </w:p>
    <w:p>
      <w:pPr>
        <w:pStyle w:val="TextBody"/>
        <w:spacing w:before="0" w:after="0"/>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Borrower shall do all of the following:</w:t>
      </w:r>
    </w:p>
    <w:p>
      <w:pPr>
        <w:pStyle w:val="TextBody"/>
        <w:spacing w:before="1" w:after="283"/>
        <w:rPr/>
      </w:pPr>
      <w:r>
        <w:rPr/>
      </w:r>
    </w:p>
    <w:p>
      <w:pPr>
        <w:pStyle w:val="TextBody"/>
        <w:spacing w:lineRule="auto" w:line="240" w:before="0" w:after="0"/>
        <w:ind w:left="0" w:right="0" w:firstLine="720"/>
        <w:rPr/>
      </w:pPr>
      <w:r>
        <w:rPr>
          <w:rFonts w:ascii="Times New Roman;sans-serif" w:hAnsi="Times New Roman;sans-serif"/>
          <w:b/>
          <w:color w:val="000000"/>
          <w:sz w:val="20"/>
        </w:rPr>
        <w:t>5.1</w:t>
      </w:r>
      <w:r>
        <w:rPr/>
        <w:drawing>
          <wp:inline distT="0" distB="63500" distL="0" distR="0">
            <wp:extent cx="14605" cy="285750"/>
            <wp:effectExtent l="0" t="0" r="0" b="0"/>
            <wp:docPr id="20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57" descr=""/>
                    <pic:cNvPicPr>
                      <a:picLocks noChangeAspect="1" noChangeArrowheads="1"/>
                    </pic:cNvPicPr>
                  </pic:nvPicPr>
                  <pic:blipFill>
                    <a:blip r:embed="rId63"/>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color w:val="000000"/>
          <w:sz w:val="20"/>
        </w:rPr>
        <w:t xml:space="preserve">Use of Proceeds. </w:t>
      </w:r>
      <w:r>
        <w:rPr>
          <w:rFonts w:ascii="Times New Roman;sans-serif" w:hAnsi="Times New Roman;sans-serif"/>
          <w:b w:val="false"/>
          <w:color w:val="000000"/>
          <w:sz w:val="20"/>
        </w:rPr>
        <w:t xml:space="preserve">Cause the proceeds of the Credit Extensions to be used solely </w:t>
      </w:r>
      <w:r>
        <w:rPr>
          <w:rFonts w:ascii="Times New Roman;sans-serif" w:hAnsi="Times New Roman;sans-serif"/>
          <w:b w:val="false"/>
          <w:strike/>
          <w:color w:val="FF0000"/>
          <w:sz w:val="20"/>
        </w:rPr>
        <w:t>(a)</w:t>
      </w:r>
      <w:r>
        <w:rPr>
          <w:rFonts w:ascii="Times New Roman;sans-serif" w:hAnsi="Times New Roman;sans-serif"/>
          <w:b w:val="false"/>
          <w:color w:val="0000FF"/>
          <w:sz w:val="20"/>
          <w:u w:val="single"/>
        </w:rPr>
        <w:t>as follows: (a)</w:t>
      </w:r>
      <w:r>
        <w:rPr>
          <w:color w:val="0000FF"/>
        </w:rPr>
        <w:t xml:space="preserve"> </w:t>
      </w:r>
      <w:r>
        <w:rPr>
          <w:rFonts w:ascii="Times New Roman;sans-serif" w:hAnsi="Times New Roman;sans-serif"/>
          <w:b w:val="false"/>
          <w:color w:val="0000FF"/>
          <w:sz w:val="20"/>
          <w:u w:val="single"/>
        </w:rPr>
        <w:t>for Credit Extensions that occur prior to the First Amendment Effective Date, (i)</w:t>
      </w:r>
      <w:r>
        <w:rPr>
          <w:color w:val="0000FF"/>
        </w:rPr>
        <w:t xml:space="preserve"> </w:t>
      </w:r>
      <w:r>
        <w:rPr>
          <w:rFonts w:ascii="Times New Roman;sans-serif" w:hAnsi="Times New Roman;sans-serif"/>
          <w:b w:val="false"/>
          <w:color w:val="000000"/>
          <w:sz w:val="20"/>
        </w:rPr>
        <w:t>as working capital, (</w:t>
      </w:r>
      <w:r>
        <w:rPr>
          <w:rFonts w:ascii="Times New Roman;sans-serif" w:hAnsi="Times New Roman;sans-serif"/>
          <w:b w:val="false"/>
          <w:strike/>
          <w:color w:val="FF0000"/>
          <w:sz w:val="20"/>
        </w:rPr>
        <w:t>b</w:t>
      </w:r>
      <w:r>
        <w:rPr>
          <w:rFonts w:ascii="Times New Roman;sans-serif" w:hAnsi="Times New Roman;sans-serif"/>
          <w:b w:val="false"/>
          <w:color w:val="0000FF"/>
          <w:sz w:val="20"/>
          <w:u w:val="single"/>
        </w:rPr>
        <w:t>ii</w:t>
      </w:r>
      <w:r>
        <w:rPr>
          <w:rFonts w:ascii="Times New Roman;sans-serif" w:hAnsi="Times New Roman;sans-serif"/>
          <w:b w:val="false"/>
          <w:color w:val="000000"/>
          <w:sz w:val="20"/>
        </w:rPr>
        <w:t>) to fund its</w:t>
      </w:r>
    </w:p>
    <w:p>
      <w:pPr>
        <w:pStyle w:val="TextBody"/>
        <w:spacing w:before="6"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51710"/>
                <wp:effectExtent l="0" t="0" r="0" b="0"/>
                <wp:wrapNone/>
                <wp:docPr id="209" name="Frame143"/>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1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58" descr=""/>
                                          <pic:cNvPicPr>
                                            <a:picLocks noChangeAspect="1" noChangeArrowheads="1"/>
                                          </pic:cNvPicPr>
                                        </pic:nvPicPr>
                                        <pic:blipFill>
                                          <a:blip r:embed="rId6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1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58" descr=""/>
                                    <pic:cNvPicPr>
                                      <a:picLocks noChangeAspect="1" noChangeArrowheads="1"/>
                                    </pic:cNvPicPr>
                                  </pic:nvPicPr>
                                  <pic:blipFill>
                                    <a:blip r:embed="rId6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jc w:val="both"/>
        <w:rPr/>
      </w:pPr>
      <w:r>
        <w:rPr>
          <w:rFonts w:ascii="Times New Roman;sans-serif" w:hAnsi="Times New Roman;sans-serif"/>
          <w:b w:val="false"/>
          <w:color w:val="000000"/>
          <w:sz w:val="20"/>
        </w:rPr>
        <w:t>general business purposes, or (</w:t>
      </w:r>
      <w:r>
        <w:rPr>
          <w:rFonts w:ascii="Times New Roman;sans-serif" w:hAnsi="Times New Roman;sans-serif"/>
          <w:b w:val="false"/>
          <w:strike/>
          <w:color w:val="FF0000"/>
          <w:sz w:val="20"/>
        </w:rPr>
        <w:t>c</w:t>
      </w:r>
      <w:r>
        <w:rPr>
          <w:rFonts w:ascii="Times New Roman;sans-serif" w:hAnsi="Times New Roman;sans-serif"/>
          <w:b w:val="false"/>
          <w:color w:val="0000FF"/>
          <w:sz w:val="20"/>
          <w:u w:val="single"/>
        </w:rPr>
        <w:t>iii</w:t>
      </w:r>
      <w:r>
        <w:rPr>
          <w:rFonts w:ascii="Times New Roman;sans-serif" w:hAnsi="Times New Roman;sans-serif"/>
          <w:b w:val="false"/>
          <w:color w:val="000000"/>
          <w:sz w:val="20"/>
        </w:rPr>
        <w:t>) repayment and payoff of Solar Capital and not for personal, family, household or agricultural purposes</w:t>
      </w:r>
      <w:r>
        <w:rPr>
          <w:rFonts w:ascii="Times New Roman;sans-serif" w:hAnsi="Times New Roman;sans-serif"/>
          <w:b w:val="false"/>
          <w:color w:val="FF0000"/>
          <w:sz w:val="20"/>
        </w:rPr>
        <w:t>.</w:t>
      </w:r>
      <w:r>
        <w:rPr>
          <w:rFonts w:ascii="Times New Roman;sans-serif" w:hAnsi="Times New Roman;sans-serif"/>
          <w:b w:val="false"/>
          <w:color w:val="0000FF"/>
          <w:sz w:val="20"/>
          <w:u w:val="single"/>
        </w:rPr>
        <w:t>, and (b) for Credit Extensions that occur on or after the First Amendment Effective Date, (x)</w:t>
      </w:r>
      <w:r>
        <w:rPr>
          <w:color w:val="0000FF"/>
        </w:rPr>
        <w:t xml:space="preserve"> </w:t>
      </w:r>
      <w:r>
        <w:rPr>
          <w:rFonts w:ascii="Times New Roman;sans-serif" w:hAnsi="Times New Roman;sans-serif"/>
          <w:b w:val="false"/>
          <w:color w:val="0000FF"/>
          <w:sz w:val="20"/>
          <w:u w:val="single"/>
        </w:rPr>
        <w:t>as working capital, (y) to fund its general business purposes, or (z) repayment of all Obligations constituting Term</w:t>
      </w:r>
      <w:r>
        <w:rPr>
          <w:color w:val="0000FF"/>
        </w:rPr>
        <w:t xml:space="preserve"> </w:t>
      </w:r>
      <w:r>
        <w:rPr>
          <w:rFonts w:ascii="Times New Roman;sans-serif" w:hAnsi="Times New Roman;sans-serif"/>
          <w:b w:val="false"/>
          <w:color w:val="0000FF"/>
          <w:sz w:val="20"/>
          <w:u w:val="single"/>
        </w:rPr>
        <w:t>Loan Advances (as defined in the Agreement prior to the First Amendment Effective Date) outstanding immediately</w:t>
      </w:r>
      <w:r>
        <w:rPr>
          <w:color w:val="0000FF"/>
        </w:rPr>
        <w:t xml:space="preserve"> </w:t>
      </w:r>
      <w:r>
        <w:rPr>
          <w:rFonts w:ascii="Times New Roman;sans-serif" w:hAnsi="Times New Roman;sans-serif"/>
          <w:b w:val="false"/>
          <w:color w:val="0000FF"/>
          <w:sz w:val="20"/>
          <w:u w:val="single"/>
        </w:rPr>
        <w:t>prior to the First Amendment Effective Date.</w:t>
      </w:r>
    </w:p>
    <w:p>
      <w:pPr>
        <w:pStyle w:val="TextBody"/>
        <w:spacing w:before="4" w:after="283"/>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5.2Government Compliance.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(a)Maintain its and all of its Subsidiaries’ legal existence (except as permitted under Section 6.3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material laws, ordinances and regulations to which it is subject.</w:t>
      </w:r>
    </w:p>
    <w:p>
      <w:pPr>
        <w:pStyle w:val="TextBody"/>
        <w:spacing w:before="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(b)Obtain all of the Governmental Approvals necessary for the performance by Borrower and each of its Subsidiaries of their obligations under the Loan Documents to which it is a party, including any grant of a security interest in the Collateral to Bank. Borrower shall promptly provide copies of any such obtained Governmental Approvals to Bank upon Bank’s request.</w:t>
      </w:r>
    </w:p>
    <w:p>
      <w:pPr>
        <w:pStyle w:val="TextBody"/>
        <w:spacing w:before="2" w:after="283"/>
        <w:rPr/>
      </w:pPr>
      <w:r>
        <w:rPr/>
      </w:r>
    </w:p>
    <w:p>
      <w:pPr>
        <w:pStyle w:val="TextBody"/>
        <w:spacing w:lineRule="auto" w:line="240" w:before="0" w:after="0"/>
        <w:ind w:left="0" w:right="0" w:firstLine="720"/>
        <w:rPr/>
      </w:pPr>
      <w:r>
        <w:rPr>
          <w:rFonts w:ascii="Times New Roman;sans-serif" w:hAnsi="Times New Roman;sans-serif"/>
          <w:b/>
          <w:color w:val="000000"/>
          <w:sz w:val="20"/>
        </w:rPr>
        <w:t>5.3Financial Statements, Reports.    </w:t>
      </w:r>
      <w:r>
        <w:rPr>
          <w:rFonts w:ascii="Times New Roman;sans-serif" w:hAnsi="Times New Roman;sans-serif"/>
          <w:b w:val="false"/>
          <w:color w:val="000000"/>
          <w:sz w:val="20"/>
        </w:rPr>
        <w:t>Deliver to Bank by submitting to the Financial Statement Repository:</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(a)</w:t>
      </w:r>
      <w:r>
        <w:rPr/>
        <w:drawing>
          <wp:inline distT="0" distB="63500" distL="0" distR="0">
            <wp:extent cx="4524375" cy="14605"/>
            <wp:effectExtent l="0" t="0" r="0" b="0"/>
            <wp:docPr id="21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59" descr=""/>
                    <pic:cNvPicPr>
                      <a:picLocks noChangeAspect="1" noChangeArrowheads="1"/>
                    </pic:cNvPicPr>
                  </pic:nvPicPr>
                  <pic:blipFill>
                    <a:blip r:embed="rId65"/>
                    <a:stretch>
                      <a:fillRect/>
                    </a:stretch>
                  </pic:blipFill>
                  <pic:spPr bwMode="auto">
                    <a:xfrm>
                      <a:off x="0" y="0"/>
                      <a:ext cx="4524375" cy="14605"/>
                    </a:xfrm>
                    <a:prstGeom prst="rect">
                      <a:avLst/>
                    </a:prstGeom>
                  </pic:spPr>
                </pic:pic>
              </a:graphicData>
            </a:graphic>
          </wp:inline>
        </w:drawing>
      </w:r>
      <w:r>
        <w:rPr/>
        <w:drawing>
          <wp:inline distT="0" distB="63500" distL="0" distR="0">
            <wp:extent cx="14605" cy="723900"/>
            <wp:effectExtent l="0" t="0" r="0" b="0"/>
            <wp:docPr id="21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60" descr=""/>
                    <pic:cNvPicPr>
                      <a:picLocks noChangeAspect="1" noChangeArrowheads="1"/>
                    </pic:cNvPicPr>
                  </pic:nvPicPr>
                  <pic:blipFill>
                    <a:blip r:embed="rId66"/>
                    <a:stretch>
                      <a:fillRect/>
                    </a:stretch>
                  </pic:blipFill>
                  <pic:spPr bwMode="auto">
                    <a:xfrm>
                      <a:off x="0" y="0"/>
                      <a:ext cx="14605" cy="723900"/>
                    </a:xfrm>
                    <a:prstGeom prst="rect">
                      <a:avLst/>
                    </a:prstGeom>
                  </pic:spPr>
                </pic:pic>
              </a:graphicData>
            </a:graphic>
          </wp:inline>
        </w:drawing>
      </w:r>
      <w:r>
        <w:rPr/>
        <w:drawing>
          <wp:inline distT="0" distB="63500" distL="0" distR="0">
            <wp:extent cx="5895975" cy="14605"/>
            <wp:effectExtent l="0" t="0" r="0" b="0"/>
            <wp:docPr id="21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61" descr=""/>
                    <pic:cNvPicPr>
                      <a:picLocks noChangeAspect="1" noChangeArrowheads="1"/>
                    </pic:cNvPicPr>
                  </pic:nvPicPr>
                  <pic:blipFill>
                    <a:blip r:embed="rId67"/>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1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62" descr=""/>
                    <pic:cNvPicPr>
                      <a:picLocks noChangeAspect="1" noChangeArrowheads="1"/>
                    </pic:cNvPicPr>
                  </pic:nvPicPr>
                  <pic:blipFill>
                    <a:blip r:embed="rId68"/>
                    <a:stretch>
                      <a:fillRect/>
                    </a:stretch>
                  </pic:blipFill>
                  <pic:spPr bwMode="auto">
                    <a:xfrm>
                      <a:off x="0" y="0"/>
                      <a:ext cx="5895975" cy="14605"/>
                    </a:xfrm>
                    <a:prstGeom prst="rect">
                      <a:avLst/>
                    </a:prstGeom>
                  </pic:spPr>
                </pic:pic>
              </a:graphicData>
            </a:graphic>
          </wp:inline>
        </w:drawing>
      </w:r>
      <w:r>
        <w:rPr/>
        <w:drawing>
          <wp:inline distT="0" distB="63500" distL="0" distR="0">
            <wp:extent cx="5915025" cy="14605"/>
            <wp:effectExtent l="0" t="0" r="0" b="0"/>
            <wp:docPr id="21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63" descr=""/>
                    <pic:cNvPicPr>
                      <a:picLocks noChangeAspect="1" noChangeArrowheads="1"/>
                    </pic:cNvPicPr>
                  </pic:nvPicPr>
                  <pic:blipFill>
                    <a:blip r:embed="rId69"/>
                    <a:stretch>
                      <a:fillRect/>
                    </a:stretch>
                  </pic:blipFill>
                  <pic:spPr bwMode="auto">
                    <a:xfrm>
                      <a:off x="0" y="0"/>
                      <a:ext cx="5915025" cy="14605"/>
                    </a:xfrm>
                    <a:prstGeom prst="rect">
                      <a:avLst/>
                    </a:prstGeom>
                  </pic:spPr>
                </pic:pic>
              </a:graphicData>
            </a:graphic>
          </wp:inline>
        </w:drawing>
      </w:r>
      <w:r>
        <w:rPr>
          <w:rFonts w:ascii="Times New Roman;sans-serif" w:hAnsi="Times New Roman;sans-serif"/>
          <w:b w:val="false"/>
          <w:color w:val="0000FF"/>
          <w:sz w:val="20"/>
          <w:u w:val="single"/>
        </w:rPr>
        <w:t>Borrowing Base Statement. Only when Advances are outstanding or are being requested</w:t>
      </w:r>
      <w:r>
        <w:rPr>
          <w:color w:val="0000FF"/>
        </w:rPr>
        <w:t xml:space="preserve"> </w:t>
      </w:r>
      <w:r>
        <w:rPr>
          <w:rFonts w:ascii="Times New Roman;sans-serif" w:hAnsi="Times New Roman;sans-serif"/>
          <w:b w:val="false"/>
          <w:color w:val="0000FF"/>
          <w:sz w:val="20"/>
          <w:u w:val="single"/>
        </w:rPr>
        <w:t>by Borrower, a Borrowing Base Statement (and any schedules related thereto and including any other information</w:t>
      </w:r>
      <w:r>
        <w:rPr>
          <w:color w:val="0000FF"/>
        </w:rPr>
        <w:t xml:space="preserve"> </w:t>
      </w:r>
      <w:r>
        <w:rPr>
          <w:rFonts w:ascii="Times New Roman;sans-serif" w:hAnsi="Times New Roman;sans-serif"/>
          <w:b w:val="false"/>
          <w:color w:val="0000FF"/>
          <w:sz w:val="20"/>
          <w:u w:val="single"/>
        </w:rPr>
        <w:t>reasonably requested by Bank with respect to Borrower’s Accounts) (i) no later than Friday of each week when a</w:t>
      </w:r>
      <w:r>
        <w:rPr>
          <w:color w:val="0000FF"/>
        </w:rPr>
        <w:t xml:space="preserve"> </w:t>
      </w:r>
      <w:r>
        <w:rPr>
          <w:rFonts w:ascii="Times New Roman;sans-serif" w:hAnsi="Times New Roman;sans-serif"/>
          <w:b w:val="false"/>
          <w:color w:val="0000FF"/>
          <w:sz w:val="20"/>
          <w:u w:val="single"/>
        </w:rPr>
        <w:t>Streamline Period is not in effect, (ii) within thirty (30) days after the end of each month when a Streamline Period is</w:t>
      </w:r>
      <w:r>
        <w:rPr>
          <w:color w:val="0000FF"/>
        </w:rPr>
        <w:t xml:space="preserve"> </w:t>
      </w:r>
      <w:r>
        <w:rPr>
          <w:rFonts w:ascii="Times New Roman;sans-serif" w:hAnsi="Times New Roman;sans-serif"/>
          <w:b w:val="false"/>
          <w:color w:val="0000FF"/>
          <w:sz w:val="20"/>
          <w:u w:val="single"/>
        </w:rPr>
        <w:t>in effect, and (iii) with each request for an Advance;</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(b)</w:t>
      </w:r>
      <w:r>
        <w:rPr/>
        <w:drawing>
          <wp:inline distT="0" distB="63500" distL="0" distR="0">
            <wp:extent cx="14605" cy="723900"/>
            <wp:effectExtent l="0" t="0" r="0" b="0"/>
            <wp:docPr id="21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64" descr=""/>
                    <pic:cNvPicPr>
                      <a:picLocks noChangeAspect="1" noChangeArrowheads="1"/>
                    </pic:cNvPicPr>
                  </pic:nvPicPr>
                  <pic:blipFill>
                    <a:blip r:embed="rId70"/>
                    <a:stretch>
                      <a:fillRect/>
                    </a:stretch>
                  </pic:blipFill>
                  <pic:spPr bwMode="auto">
                    <a:xfrm>
                      <a:off x="0" y="0"/>
                      <a:ext cx="14605" cy="723900"/>
                    </a:xfrm>
                    <a:prstGeom prst="rect">
                      <a:avLst/>
                    </a:prstGeom>
                  </pic:spPr>
                </pic:pic>
              </a:graphicData>
            </a:graphic>
          </wp:inline>
        </w:drawing>
      </w:r>
      <w:r>
        <w:rPr>
          <w:rFonts w:ascii="Times New Roman;sans-serif" w:hAnsi="Times New Roman;sans-serif"/>
          <w:b w:val="false"/>
          <w:color w:val="0000FF"/>
          <w:sz w:val="20"/>
          <w:u w:val="single"/>
        </w:rPr>
        <w:t>Accounts Receivable Information. Only when Advances are outstanding or are being</w:t>
      </w:r>
      <w:r>
        <w:rPr>
          <w:color w:val="0000FF"/>
        </w:rPr>
        <w:t xml:space="preserve"> </w:t>
      </w:r>
      <w:r>
        <w:rPr>
          <w:rFonts w:ascii="Times New Roman;sans-serif" w:hAnsi="Times New Roman;sans-serif"/>
          <w:b w:val="false"/>
          <w:color w:val="0000FF"/>
          <w:sz w:val="20"/>
          <w:u w:val="single"/>
        </w:rPr>
        <w:t>requested by Borrower, within thirty (30) days after the end of each month, (i) monthly accounts receivable agings,</w:t>
      </w:r>
      <w:r>
        <w:rPr>
          <w:color w:val="0000FF"/>
        </w:rPr>
        <w:t xml:space="preserve"> </w:t>
      </w:r>
      <w:r>
        <w:rPr>
          <w:rFonts w:ascii="Times New Roman;sans-serif" w:hAnsi="Times New Roman;sans-serif"/>
          <w:b w:val="false"/>
          <w:color w:val="0000FF"/>
          <w:sz w:val="20"/>
          <w:u w:val="single"/>
        </w:rPr>
        <w:t>aged by invoice date, (ii) monthly accounts payable agings, aged by invoice date, and outstanding or held check</w:t>
      </w:r>
      <w:r>
        <w:rPr>
          <w:color w:val="0000FF"/>
        </w:rPr>
        <w:t xml:space="preserve"> </w:t>
      </w:r>
      <w:r>
        <w:rPr>
          <w:rFonts w:ascii="Times New Roman;sans-serif" w:hAnsi="Times New Roman;sans-serif"/>
          <w:b w:val="false"/>
          <w:color w:val="0000FF"/>
          <w:sz w:val="20"/>
          <w:u w:val="single"/>
        </w:rPr>
        <w:t>registers, if any, (iii) monthly reconciliations of accounts receivable agings (aged by invoice date), transaction</w:t>
      </w:r>
      <w:r>
        <w:rPr>
          <w:color w:val="0000FF"/>
        </w:rPr>
        <w:t xml:space="preserve"> </w:t>
      </w:r>
      <w:r>
        <w:rPr>
          <w:rFonts w:ascii="Times New Roman;sans-serif" w:hAnsi="Times New Roman;sans-serif"/>
          <w:b w:val="false"/>
          <w:color w:val="0000FF"/>
          <w:sz w:val="20"/>
          <w:u w:val="single"/>
        </w:rPr>
        <w:t>reports, Deferred Revenue report, and general ledger;</w:t>
      </w:r>
    </w:p>
    <w:p>
      <w:pPr>
        <w:pStyle w:val="TextBody"/>
        <w:spacing w:before="2"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(c)</w:t>
      </w:r>
      <w:r>
        <w:rPr>
          <w:rFonts w:ascii="Times New Roman;sans-serif" w:hAnsi="Times New Roman;sans-serif"/>
          <w:b w:val="false"/>
          <w:strike/>
          <w:color w:val="FF0000"/>
          <w:sz w:val="20"/>
        </w:rPr>
        <w:t>(a)</w:t>
      </w:r>
      <w:r>
        <w:rPr>
          <w:color w:val="FF0000"/>
        </w:rPr>
        <w:t xml:space="preserve"> </w:t>
      </w:r>
      <w:r>
        <w:rPr>
          <w:rFonts w:ascii="Times New Roman;sans-serif" w:hAnsi="Times New Roman;sans-serif"/>
          <w:b w:val="false"/>
          <w:color w:val="000000"/>
          <w:sz w:val="20"/>
          <w:u w:val="single"/>
        </w:rPr>
        <w:t>Quarterly Financial Statements</w:t>
      </w:r>
      <w:r>
        <w:rPr>
          <w:rFonts w:ascii="Times New Roman;sans-serif" w:hAnsi="Times New Roman;sans-serif"/>
          <w:b w:val="false"/>
          <w:color w:val="000000"/>
          <w:sz w:val="20"/>
        </w:rPr>
        <w:t>. No later than forty-five (45) days after the last day of each of the first three fiscal quarters of Borrower’s fiscal year, a company prepared consolidated and consolidating balance sheet and income statement covering Borrower’s and each of its Subsidiary’s operations for such quarter in a form reasonably acceptable to Bank (the “</w:t>
      </w:r>
      <w:r>
        <w:rPr>
          <w:rFonts w:ascii="Times New Roman;sans-serif" w:hAnsi="Times New Roman;sans-serif"/>
          <w:b/>
          <w:color w:val="000000"/>
          <w:sz w:val="20"/>
        </w:rPr>
        <w:t>Quarterly Financial Statements</w:t>
      </w:r>
      <w:r>
        <w:rPr>
          <w:color w:val="000000"/>
        </w:rPr>
        <w:t>”</w:t>
      </w:r>
      <w:r>
        <w:rPr>
          <w:rFonts w:ascii="Times New Roman;sans-serif" w:hAnsi="Times New Roman;sans-serif"/>
          <w:b w:val="false"/>
          <w:color w:val="000000"/>
          <w:sz w:val="20"/>
        </w:rPr>
        <w:t>); provided that year-end Quarterly Financial Statements shall be delivered no later than ninety (90) days after the last day of each fiscal year of Borrower;</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(d)</w:t>
      </w:r>
      <w:r>
        <w:rPr/>
        <w:drawing>
          <wp:inline distT="0" distB="63500" distL="0" distR="0">
            <wp:extent cx="14605" cy="142875"/>
            <wp:effectExtent l="0" t="0" r="0" b="0"/>
            <wp:docPr id="21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65" descr=""/>
                    <pic:cNvPicPr>
                      <a:picLocks noChangeAspect="1" noChangeArrowheads="1"/>
                    </pic:cNvPicPr>
                  </pic:nvPicPr>
                  <pic:blipFill>
                    <a:blip r:embed="rId71"/>
                    <a:stretch>
                      <a:fillRect/>
                    </a:stretch>
                  </pic:blipFill>
                  <pic:spPr bwMode="auto">
                    <a:xfrm>
                      <a:off x="0" y="0"/>
                      <a:ext cx="14605" cy="142875"/>
                    </a:xfrm>
                    <a:prstGeom prst="rect">
                      <a:avLst/>
                    </a:prstGeom>
                  </pic:spPr>
                </pic:pic>
              </a:graphicData>
            </a:graphic>
          </wp:inline>
        </w:drawing>
      </w:r>
      <w:r>
        <w:rPr/>
        <w:drawing>
          <wp:inline distT="0" distB="63500" distL="0" distR="0">
            <wp:extent cx="14605" cy="285750"/>
            <wp:effectExtent l="0" t="0" r="0" b="0"/>
            <wp:docPr id="21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66" descr=""/>
                    <pic:cNvPicPr>
                      <a:picLocks noChangeAspect="1" noChangeArrowheads="1"/>
                    </pic:cNvPicPr>
                  </pic:nvPicPr>
                  <pic:blipFill>
                    <a:blip r:embed="rId72"/>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strike/>
          <w:color w:val="FF0000"/>
          <w:sz w:val="20"/>
        </w:rPr>
        <w:t>(b)</w:t>
      </w:r>
      <w:r>
        <w:rPr>
          <w:color w:val="FF0000"/>
        </w:rPr>
        <w:t xml:space="preserve"> </w:t>
      </w:r>
      <w:r>
        <w:rPr>
          <w:rFonts w:ascii="Times New Roman;sans-serif" w:hAnsi="Times New Roman;sans-serif"/>
          <w:b w:val="false"/>
          <w:color w:val="000000"/>
          <w:sz w:val="20"/>
          <w:u w:val="single"/>
        </w:rPr>
        <w:t>Compliance Statement</w:t>
      </w:r>
      <w:r>
        <w:rPr>
          <w:rFonts w:ascii="Times New Roman;sans-serif" w:hAnsi="Times New Roman;sans-serif"/>
          <w:b w:val="false"/>
          <w:color w:val="000000"/>
          <w:sz w:val="20"/>
        </w:rPr>
        <w:t>. Within forty-five (45) days after the last day of each of the first three fiscal quarters of Borrower (and no later than ninety (90) days after the last day of each fiscal year of Borrower), together with the statements set forth in Section 5.3(</w:t>
      </w:r>
      <w:r>
        <w:rPr>
          <w:rFonts w:ascii="Times New Roman;sans-serif" w:hAnsi="Times New Roman;sans-serif"/>
          <w:b w:val="false"/>
          <w:strike/>
          <w:color w:val="FF0000"/>
          <w:sz w:val="20"/>
        </w:rPr>
        <w:t>a</w:t>
      </w:r>
      <w:r>
        <w:rPr>
          <w:rFonts w:ascii="Times New Roman;sans-serif" w:hAnsi="Times New Roman;sans-serif"/>
          <w:b w:val="false"/>
          <w:color w:val="0000FF"/>
          <w:sz w:val="20"/>
          <w:u w:val="single"/>
        </w:rPr>
        <w:t>c</w:t>
      </w:r>
      <w:r>
        <w:rPr>
          <w:rFonts w:ascii="Times New Roman;sans-serif" w:hAnsi="Times New Roman;sans-serif"/>
          <w:b w:val="false"/>
          <w:color w:val="000000"/>
          <w:sz w:val="20"/>
        </w:rPr>
        <w:t xml:space="preserve">), a duly completed Compliance Statement, confirming that as of the end of such month, Borrower was in full compliance with all of the terms and conditions of this Agreement, </w:t>
      </w:r>
      <w:r>
        <w:rPr>
          <w:rFonts w:ascii="Times New Roman;sans-serif" w:hAnsi="Times New Roman;sans-serif"/>
          <w:b w:val="false"/>
          <w:color w:val="0000FF"/>
          <w:sz w:val="20"/>
          <w:u w:val="single"/>
        </w:rPr>
        <w:t>and setting forth calculations showing compliance with the financial covenants set forth in this</w:t>
      </w:r>
      <w:r>
        <w:rPr>
          <w:color w:val="0000FF"/>
        </w:rPr>
        <w:t xml:space="preserve"> </w:t>
      </w:r>
      <w:r>
        <w:rPr>
          <w:rFonts w:ascii="Times New Roman;sans-serif" w:hAnsi="Times New Roman;sans-serif"/>
          <w:b w:val="false"/>
          <w:color w:val="0000FF"/>
          <w:sz w:val="20"/>
          <w:u w:val="single"/>
        </w:rPr>
        <w:t>Agreement and such other information as Bank may reasonably request,</w:t>
      </w:r>
      <w:r>
        <w:rPr>
          <w:color w:val="0000FF"/>
        </w:rPr>
        <w:t xml:space="preserve"> </w:t>
      </w:r>
      <w:r>
        <w:rPr>
          <w:rFonts w:ascii="Times New Roman;sans-serif" w:hAnsi="Times New Roman;sans-serif"/>
          <w:b w:val="false"/>
          <w:color w:val="000000"/>
          <w:sz w:val="20"/>
        </w:rPr>
        <w:t>except as noted therein;</w:t>
      </w:r>
    </w:p>
    <w:p>
      <w:pPr>
        <w:pStyle w:val="TextBody"/>
        <w:spacing w:before="2"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51710"/>
                <wp:effectExtent l="0" t="0" r="0" b="0"/>
                <wp:wrapNone/>
                <wp:docPr id="220" name="Frame144"/>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2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67" descr=""/>
                                          <pic:cNvPicPr>
                                            <a:picLocks noChangeAspect="1" noChangeArrowheads="1"/>
                                          </pic:cNvPicPr>
                                        </pic:nvPicPr>
                                        <pic:blipFill>
                                          <a:blip r:embed="rId7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2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67" descr=""/>
                                    <pic:cNvPicPr>
                                      <a:picLocks noChangeAspect="1" noChangeArrowheads="1"/>
                                    </pic:cNvPicPr>
                                  </pic:nvPicPr>
                                  <pic:blipFill>
                                    <a:blip r:embed="rId7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ind w:left="0" w:right="0" w:firstLine="1440"/>
        <w:jc w:val="both"/>
        <w:rPr/>
      </w:pPr>
      <w:r>
        <w:rPr>
          <w:rFonts w:ascii="Times New Roman;sans-serif" w:hAnsi="Times New Roman;sans-serif"/>
          <w:b w:val="false"/>
          <w:color w:val="0000FF"/>
          <w:sz w:val="20"/>
        </w:rPr>
        <w:t>(e)</w:t>
      </w:r>
      <w:r>
        <w:rPr>
          <w:rFonts w:ascii="Times New Roman;sans-serif" w:hAnsi="Times New Roman;sans-serif"/>
          <w:b w:val="false"/>
          <w:strike/>
          <w:color w:val="FF0000"/>
          <w:sz w:val="20"/>
        </w:rPr>
        <w:t>(c)</w:t>
      </w:r>
      <w:r>
        <w:rPr>
          <w:color w:val="FF0000"/>
        </w:rPr>
        <w:t xml:space="preserve"> </w:t>
      </w:r>
      <w:r>
        <w:rPr>
          <w:rFonts w:ascii="Times New Roman;sans-serif" w:hAnsi="Times New Roman;sans-serif"/>
          <w:b w:val="false"/>
          <w:color w:val="000000"/>
          <w:sz w:val="20"/>
          <w:u w:val="single"/>
        </w:rPr>
        <w:t>Annual Operating Budget and Financial Projections</w:t>
      </w:r>
      <w:r>
        <w:rPr>
          <w:rFonts w:ascii="Times New Roman;sans-serif" w:hAnsi="Times New Roman;sans-serif"/>
          <w:b w:val="false"/>
          <w:color w:val="000000"/>
          <w:sz w:val="20"/>
        </w:rPr>
        <w:t>. Within thirty (30) days after the end of each fiscal year of Borrower, and within thirty (30) days of any material updates or amendments thereto, (i) annual operating budgets (including income statements, balance sheets and cash flow statements, by month) for the then-current fiscal year of Borrower, and (ii) annual financial projections for the then-current fiscal year (on a</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quarterly basis), in each case as approved by the Board, together with any material related business forecasts used in the preparation of such annual financial projections;</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FF"/>
          <w:sz w:val="20"/>
        </w:rPr>
        <w:t>(f)</w:t>
      </w:r>
      <w:r>
        <w:rPr>
          <w:rFonts w:ascii="Times New Roman;sans-serif" w:hAnsi="Times New Roman;sans-serif"/>
          <w:b w:val="false"/>
          <w:strike/>
          <w:color w:val="FF0000"/>
          <w:sz w:val="20"/>
        </w:rPr>
        <w:t>(d)</w:t>
      </w:r>
      <w:r>
        <w:rPr>
          <w:color w:val="FF0000"/>
        </w:rPr>
        <w:t xml:space="preserve"> </w:t>
      </w:r>
      <w:r>
        <w:rPr>
          <w:rFonts w:ascii="Times New Roman;sans-serif" w:hAnsi="Times New Roman;sans-serif"/>
          <w:b w:val="false"/>
          <w:color w:val="000000"/>
          <w:sz w:val="20"/>
          <w:u w:val="single"/>
        </w:rPr>
        <w:t>Annual Audited Financial Statements</w:t>
      </w:r>
      <w:r>
        <w:rPr>
          <w:rFonts w:ascii="Times New Roman;sans-serif" w:hAnsi="Times New Roman;sans-serif"/>
          <w:b w:val="false"/>
          <w:color w:val="000000"/>
          <w:sz w:val="20"/>
        </w:rPr>
        <w:t>. As soon as available, and in any event within one hundred and eighty (180) days following the end of Borrower’s fiscal year, audited consolidated financial statements prepared under GAAP, consistently applied, together with an unqualified opinion on the financial statements from an independent certified public accounting firm reasonably acceptable to Bank;</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(g)</w:t>
      </w:r>
      <w:r>
        <w:rPr>
          <w:rFonts w:ascii="Times New Roman;sans-serif" w:hAnsi="Times New Roman;sans-serif"/>
          <w:b w:val="false"/>
          <w:strike/>
          <w:color w:val="FF0000"/>
          <w:sz w:val="20"/>
        </w:rPr>
        <w:t>(e)</w:t>
      </w:r>
      <w:r>
        <w:rPr>
          <w:color w:val="FF0000"/>
        </w:rPr>
        <w:t xml:space="preserve"> </w:t>
      </w:r>
      <w:r>
        <w:rPr>
          <w:rFonts w:ascii="Times New Roman;sans-serif" w:hAnsi="Times New Roman;sans-serif"/>
          <w:b w:val="false"/>
          <w:color w:val="000000"/>
          <w:sz w:val="20"/>
          <w:u w:val="single"/>
        </w:rPr>
        <w:t>SEC Filings</w:t>
      </w:r>
      <w:r>
        <w:rPr>
          <w:rFonts w:ascii="Times New Roman;sans-serif" w:hAnsi="Times New Roman;sans-serif"/>
          <w:b w:val="false"/>
          <w:color w:val="000000"/>
          <w:sz w:val="20"/>
        </w:rPr>
        <w:t>. In the event that Borrower or any of its Subsidiaries becomes subject to the reporting requirements under the Exchange Act within five (5) Business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provided, however, Borrower shall notify Bank in writing within five (5) Business Days (which may be by electronic mail) of the posting of any such documents;</w:t>
      </w:r>
    </w:p>
    <w:p>
      <w:pPr>
        <w:pStyle w:val="TextBody"/>
        <w:spacing w:before="3" w:after="283"/>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(h)</w:t>
      </w:r>
      <w:r>
        <w:rPr>
          <w:rFonts w:ascii="Times New Roman;sans-serif" w:hAnsi="Times New Roman;sans-serif"/>
          <w:b w:val="false"/>
          <w:strike/>
          <w:color w:val="FF0000"/>
          <w:sz w:val="20"/>
        </w:rPr>
        <w:t>(f)</w:t>
      </w:r>
      <w:r>
        <w:rPr>
          <w:color w:val="FF0000"/>
        </w:rPr>
        <w:t xml:space="preserve"> </w:t>
      </w:r>
      <w:r>
        <w:rPr>
          <w:rFonts w:ascii="Times New Roman;sans-serif" w:hAnsi="Times New Roman;sans-serif"/>
          <w:b w:val="false"/>
          <w:color w:val="000000"/>
          <w:sz w:val="20"/>
          <w:u w:val="single"/>
        </w:rPr>
        <w:t>Security Holder and Subordinated Debt Holder Reports</w:t>
      </w:r>
      <w:r>
        <w:rPr>
          <w:rFonts w:ascii="Times New Roman;sans-serif" w:hAnsi="Times New Roman;sans-serif"/>
          <w:b w:val="false"/>
          <w:color w:val="000000"/>
          <w:sz w:val="20"/>
        </w:rPr>
        <w:t>. Within five (5) Business Days of delivery, copies of all material statements, reports and notices made generally available to Borrower’s security holders or to any holders of Subordinated Debt (solely in their capacities as security holders or holders of Subordinated Debt and not in any other role);</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(i)</w:t>
      </w:r>
      <w:r>
        <w:rPr>
          <w:rFonts w:ascii="Times New Roman;sans-serif" w:hAnsi="Times New Roman;sans-serif"/>
          <w:b w:val="false"/>
          <w:strike/>
          <w:color w:val="FF0000"/>
          <w:sz w:val="20"/>
        </w:rPr>
        <w:t>(g)</w:t>
      </w:r>
      <w:r>
        <w:rPr>
          <w:color w:val="FF0000"/>
        </w:rPr>
        <w:t xml:space="preserve"> </w:t>
      </w:r>
      <w:r>
        <w:rPr>
          <w:rFonts w:ascii="Times New Roman;sans-serif" w:hAnsi="Times New Roman;sans-serif"/>
          <w:b w:val="false"/>
          <w:color w:val="000000"/>
          <w:sz w:val="20"/>
          <w:u w:val="single"/>
        </w:rPr>
        <w:t>Beneficial Ownership Information</w:t>
      </w:r>
      <w:r>
        <w:rPr>
          <w:rFonts w:ascii="Times New Roman;sans-serif" w:hAnsi="Times New Roman;sans-serif"/>
          <w:b w:val="false"/>
          <w:color w:val="000000"/>
          <w:sz w:val="20"/>
        </w:rPr>
        <w:t>. Prompt written notice of any changes to the beneficial ownership information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(j)</w:t>
      </w:r>
      <w:r>
        <w:rPr/>
        <w:drawing>
          <wp:inline distT="0" distB="63500" distL="0" distR="0">
            <wp:extent cx="14605" cy="142875"/>
            <wp:effectExtent l="0" t="0" r="0" b="0"/>
            <wp:docPr id="22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68" descr=""/>
                    <pic:cNvPicPr>
                      <a:picLocks noChangeAspect="1" noChangeArrowheads="1"/>
                    </pic:cNvPicPr>
                  </pic:nvPicPr>
                  <pic:blipFill>
                    <a:blip r:embed="rId74"/>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strike/>
          <w:color w:val="FF0000"/>
          <w:sz w:val="20"/>
        </w:rPr>
        <w:t>(h)</w:t>
      </w:r>
      <w:r>
        <w:rPr>
          <w:color w:val="FF0000"/>
        </w:rPr>
        <w:t xml:space="preserve"> </w:t>
      </w:r>
      <w:r>
        <w:rPr>
          <w:rFonts w:ascii="Times New Roman;sans-serif" w:hAnsi="Times New Roman;sans-serif"/>
          <w:b w:val="false"/>
          <w:color w:val="000000"/>
          <w:sz w:val="20"/>
          <w:u w:val="single"/>
        </w:rPr>
        <w:t>Legal Action Notice</w:t>
      </w:r>
      <w:r>
        <w:rPr>
          <w:rFonts w:ascii="Times New Roman;sans-serif" w:hAnsi="Times New Roman;sans-serif"/>
          <w:b w:val="false"/>
          <w:color w:val="000000"/>
          <w:sz w:val="20"/>
        </w:rPr>
        <w:t xml:space="preserve">. Prompt written notice upon becoming aware of any legal actions, investigations or proceedings pending or threatened in writing against Borrower or any of its Subsidiaries (not otherwise already disclosed on the Perfection Certificate delivered around the </w:t>
      </w:r>
      <w:r>
        <w:rPr>
          <w:rFonts w:ascii="Times New Roman;sans-serif" w:hAnsi="Times New Roman;sans-serif"/>
          <w:b w:val="false"/>
          <w:color w:val="0000FF"/>
          <w:sz w:val="20"/>
          <w:u w:val="single"/>
        </w:rPr>
        <w:t>First Amendment</w:t>
      </w:r>
      <w:r>
        <w:rPr>
          <w:color w:val="0000FF"/>
        </w:rPr>
        <w:t xml:space="preserve"> </w:t>
      </w:r>
      <w:r>
        <w:rPr>
          <w:rFonts w:ascii="Times New Roman;sans-serif" w:hAnsi="Times New Roman;sans-serif"/>
          <w:b w:val="false"/>
          <w:color w:val="000000"/>
          <w:sz w:val="20"/>
        </w:rPr>
        <w:t>Effective Date) that could reasonably be expected to result in damages or costs to Borrower or any of its Subsidiaries of, individually or in the aggregate, Seven Hundred Fifty Thousand Dollars ($750,000) or more;</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(k)</w:t>
      </w:r>
      <w:r>
        <w:rPr/>
        <w:drawing>
          <wp:inline distT="0" distB="63500" distL="0" distR="0">
            <wp:extent cx="1076325" cy="19050"/>
            <wp:effectExtent l="0" t="0" r="0" b="0"/>
            <wp:docPr id="22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69" descr=""/>
                    <pic:cNvPicPr>
                      <a:picLocks noChangeAspect="1" noChangeArrowheads="1"/>
                    </pic:cNvPicPr>
                  </pic:nvPicPr>
                  <pic:blipFill>
                    <a:blip r:embed="rId75"/>
                    <a:stretch>
                      <a:fillRect/>
                    </a:stretch>
                  </pic:blipFill>
                  <pic:spPr bwMode="auto">
                    <a:xfrm>
                      <a:off x="0" y="0"/>
                      <a:ext cx="1076325" cy="19050"/>
                    </a:xfrm>
                    <a:prstGeom prst="rect">
                      <a:avLst/>
                    </a:prstGeom>
                  </pic:spPr>
                </pic:pic>
              </a:graphicData>
            </a:graphic>
          </wp:inline>
        </w:drawing>
      </w:r>
      <w:r>
        <w:rPr>
          <w:rFonts w:ascii="Times New Roman;sans-serif" w:hAnsi="Times New Roman;sans-serif"/>
          <w:b w:val="false"/>
          <w:strike/>
          <w:color w:val="FF0000"/>
          <w:sz w:val="20"/>
        </w:rPr>
        <w:t>(i)</w:t>
      </w:r>
      <w:r>
        <w:rPr>
          <w:color w:val="FF0000"/>
        </w:rPr>
        <w:t xml:space="preserve"> </w:t>
      </w:r>
      <w:r>
        <w:rPr>
          <w:rFonts w:ascii="Times New Roman;sans-serif" w:hAnsi="Times New Roman;sans-serif"/>
          <w:b w:val="false"/>
          <w:color w:val="000000"/>
          <w:sz w:val="20"/>
        </w:rPr>
        <w:t>Tort Claim Notice. If Borrower shall acquire a commercial tort claim with a value that could reasonably be expected to exceed Five Hundred Thousand Dollars ($500,000), Borrower shall promptly notify Bank in a writing signed by Borrower of the general details thereof and, if so requested by Bank, grant to Bank in such writing a security interest therein and in the proceeds thereof, all upon the terms of this Agreement, with such writing to be in form and substance reasonably satisfactory to Bank;</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(l)</w:t>
      </w:r>
      <w:r>
        <w:rPr/>
        <w:drawing>
          <wp:inline distT="0" distB="63500" distL="0" distR="0">
            <wp:extent cx="1219200" cy="19050"/>
            <wp:effectExtent l="0" t="0" r="0" b="0"/>
            <wp:docPr id="22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70" descr=""/>
                    <pic:cNvPicPr>
                      <a:picLocks noChangeAspect="1" noChangeArrowheads="1"/>
                    </pic:cNvPicPr>
                  </pic:nvPicPr>
                  <pic:blipFill>
                    <a:blip r:embed="rId76"/>
                    <a:stretch>
                      <a:fillRect/>
                    </a:stretch>
                  </pic:blipFill>
                  <pic:spPr bwMode="auto">
                    <a:xfrm>
                      <a:off x="0" y="0"/>
                      <a:ext cx="1219200" cy="19050"/>
                    </a:xfrm>
                    <a:prstGeom prst="rect">
                      <a:avLst/>
                    </a:prstGeom>
                  </pic:spPr>
                </pic:pic>
              </a:graphicData>
            </a:graphic>
          </wp:inline>
        </w:drawing>
      </w:r>
      <w:r>
        <w:rPr>
          <w:rFonts w:ascii="Times New Roman;sans-serif" w:hAnsi="Times New Roman;sans-serif"/>
          <w:b w:val="false"/>
          <w:strike/>
          <w:color w:val="FF0000"/>
          <w:sz w:val="20"/>
        </w:rPr>
        <w:t xml:space="preserve">(j) </w:t>
      </w:r>
      <w:r>
        <w:rPr>
          <w:rFonts w:ascii="Times New Roman;sans-serif" w:hAnsi="Times New Roman;sans-serif"/>
          <w:b w:val="false"/>
          <w:color w:val="000000"/>
          <w:sz w:val="20"/>
        </w:rPr>
        <w:t>Government Filings. Within five (5) Business Days after the same are sent by Borrower or received by Borrower, copies of all material correspondence, reports, documents and other filings by Borrower or any of its Subsidiaries with any Governmental Authority regarding compliance with or maintenance of Governmental Approvals or Applicable Law, in each case that could reasonably be expected to have a material effect on any of the Governmental Approvals material to the business of Borrower;</w:t>
      </w:r>
    </w:p>
    <w:p>
      <w:pPr>
        <w:pStyle w:val="TextBody"/>
        <w:spacing w:before="0" w:after="0"/>
        <w:rPr/>
      </w:pPr>
      <w:r>
        <w:rPr/>
      </w:r>
    </w:p>
    <w:p>
      <w:pPr>
        <w:pStyle w:val="TextBody"/>
        <w:spacing w:lineRule="auto" w:line="240" w:before="1" w:after="283"/>
        <w:ind w:left="0" w:right="0" w:firstLine="1440"/>
        <w:jc w:val="both"/>
        <w:rPr/>
      </w:pPr>
      <w:r>
        <w:rPr>
          <w:rFonts w:ascii="Times New Roman;sans-serif" w:hAnsi="Times New Roman;sans-serif"/>
          <w:b w:val="false"/>
          <w:color w:val="0000FF"/>
          <w:sz w:val="20"/>
        </w:rPr>
        <w:t>(m)</w:t>
      </w:r>
      <w:r>
        <w:rPr/>
        <w:drawing>
          <wp:inline distT="0" distB="63500" distL="0" distR="0">
            <wp:extent cx="1457325" cy="19050"/>
            <wp:effectExtent l="0" t="0" r="0" b="0"/>
            <wp:docPr id="22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1" descr=""/>
                    <pic:cNvPicPr>
                      <a:picLocks noChangeAspect="1" noChangeArrowheads="1"/>
                    </pic:cNvPicPr>
                  </pic:nvPicPr>
                  <pic:blipFill>
                    <a:blip r:embed="rId77"/>
                    <a:stretch>
                      <a:fillRect/>
                    </a:stretch>
                  </pic:blipFill>
                  <pic:spPr bwMode="auto">
                    <a:xfrm>
                      <a:off x="0" y="0"/>
                      <a:ext cx="1457325" cy="19050"/>
                    </a:xfrm>
                    <a:prstGeom prst="rect">
                      <a:avLst/>
                    </a:prstGeom>
                  </pic:spPr>
                </pic:pic>
              </a:graphicData>
            </a:graphic>
          </wp:inline>
        </w:drawing>
      </w:r>
      <w:r>
        <w:rPr>
          <w:rFonts w:ascii="Times New Roman;sans-serif" w:hAnsi="Times New Roman;sans-serif"/>
          <w:b w:val="false"/>
          <w:strike/>
          <w:color w:val="FF0000"/>
          <w:sz w:val="20"/>
        </w:rPr>
        <w:t>(k)</w:t>
      </w:r>
      <w:r>
        <w:rPr>
          <w:color w:val="FF0000"/>
        </w:rPr>
        <w:t xml:space="preserve"> </w:t>
      </w:r>
      <w:r>
        <w:rPr>
          <w:rFonts w:ascii="Times New Roman;sans-serif" w:hAnsi="Times New Roman;sans-serif"/>
          <w:b w:val="false"/>
          <w:color w:val="000000"/>
          <w:sz w:val="20"/>
        </w:rPr>
        <w:t>Registered Organization. If Borrower is not a Registered Organization as of the Effective Date but later becomes one, promptly notify Bank of such occurrence and provide Bank with Borrower’s organizational identification number;</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51710"/>
                <wp:effectExtent l="0" t="0" r="0" b="0"/>
                <wp:wrapNone/>
                <wp:docPr id="227" name="Frame145"/>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2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72" descr=""/>
                                          <pic:cNvPicPr>
                                            <a:picLocks noChangeAspect="1" noChangeArrowheads="1"/>
                                          </pic:cNvPicPr>
                                        </pic:nvPicPr>
                                        <pic:blipFill>
                                          <a:blip r:embed="rId7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2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72" descr=""/>
                                    <pic:cNvPicPr>
                                      <a:picLocks noChangeAspect="1" noChangeArrowheads="1"/>
                                    </pic:cNvPicPr>
                                  </pic:nvPicPr>
                                  <pic:blipFill>
                                    <a:blip r:embed="rId7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hanging="720"/>
        <w:rPr/>
      </w:pPr>
      <w:r>
        <w:rPr>
          <w:rFonts w:ascii="Times New Roman;sans-serif" w:hAnsi="Times New Roman;sans-serif"/>
          <w:b w:val="false"/>
          <w:color w:val="0000FF"/>
          <w:sz w:val="20"/>
        </w:rPr>
        <w:t>(n)</w:t>
      </w:r>
      <w:r>
        <w:rPr/>
        <w:drawing>
          <wp:inline distT="0" distB="63500" distL="0" distR="0">
            <wp:extent cx="142875" cy="14605"/>
            <wp:effectExtent l="0" t="0" r="0" b="0"/>
            <wp:docPr id="23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73" descr=""/>
                    <pic:cNvPicPr>
                      <a:picLocks noChangeAspect="1" noChangeArrowheads="1"/>
                    </pic:cNvPicPr>
                  </pic:nvPicPr>
                  <pic:blipFill>
                    <a:blip r:embed="rId79"/>
                    <a:stretch>
                      <a:fillRect/>
                    </a:stretch>
                  </pic:blipFill>
                  <pic:spPr bwMode="auto">
                    <a:xfrm>
                      <a:off x="0" y="0"/>
                      <a:ext cx="142875" cy="14605"/>
                    </a:xfrm>
                    <a:prstGeom prst="rect">
                      <a:avLst/>
                    </a:prstGeom>
                  </pic:spPr>
                </pic:pic>
              </a:graphicData>
            </a:graphic>
          </wp:inline>
        </w:drawing>
      </w:r>
      <w:r>
        <w:rPr/>
        <w:drawing>
          <wp:inline distT="0" distB="63500" distL="0" distR="0">
            <wp:extent cx="523875" cy="19050"/>
            <wp:effectExtent l="0" t="0" r="0" b="0"/>
            <wp:docPr id="23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74" descr=""/>
                    <pic:cNvPicPr>
                      <a:picLocks noChangeAspect="1" noChangeArrowheads="1"/>
                    </pic:cNvPicPr>
                  </pic:nvPicPr>
                  <pic:blipFill>
                    <a:blip r:embed="rId80"/>
                    <a:stretch>
                      <a:fillRect/>
                    </a:stretch>
                  </pic:blipFill>
                  <pic:spPr bwMode="auto">
                    <a:xfrm>
                      <a:off x="0" y="0"/>
                      <a:ext cx="523875" cy="19050"/>
                    </a:xfrm>
                    <a:prstGeom prst="rect">
                      <a:avLst/>
                    </a:prstGeom>
                  </pic:spPr>
                </pic:pic>
              </a:graphicData>
            </a:graphic>
          </wp:inline>
        </w:drawing>
      </w:r>
      <w:r>
        <w:rPr/>
        <w:drawing>
          <wp:inline distT="0" distB="63500" distL="0" distR="0">
            <wp:extent cx="1162050" cy="19050"/>
            <wp:effectExtent l="0" t="0" r="0" b="0"/>
            <wp:docPr id="23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75" descr=""/>
                    <pic:cNvPicPr>
                      <a:picLocks noChangeAspect="1" noChangeArrowheads="1"/>
                    </pic:cNvPicPr>
                  </pic:nvPicPr>
                  <pic:blipFill>
                    <a:blip r:embed="rId81"/>
                    <a:stretch>
                      <a:fillRect/>
                    </a:stretch>
                  </pic:blipFill>
                  <pic:spPr bwMode="auto">
                    <a:xfrm>
                      <a:off x="0" y="0"/>
                      <a:ext cx="1162050" cy="19050"/>
                    </a:xfrm>
                    <a:prstGeom prst="rect">
                      <a:avLst/>
                    </a:prstGeom>
                  </pic:spPr>
                </pic:pic>
              </a:graphicData>
            </a:graphic>
          </wp:inline>
        </w:drawing>
      </w:r>
      <w:r>
        <w:rPr>
          <w:rFonts w:ascii="Times New Roman;sans-serif" w:hAnsi="Times New Roman;sans-serif"/>
          <w:b w:val="false"/>
          <w:strike/>
          <w:color w:val="FF0000"/>
          <w:sz w:val="20"/>
        </w:rPr>
        <w:t>(l)</w:t>
      </w:r>
      <w:r>
        <w:rPr>
          <w:color w:val="FF0000"/>
        </w:rPr>
        <w:t xml:space="preserve"> </w:t>
      </w:r>
      <w:r>
        <w:rPr>
          <w:rFonts w:ascii="Times New Roman;sans-serif" w:hAnsi="Times New Roman;sans-serif"/>
          <w:b w:val="false"/>
          <w:color w:val="000000"/>
          <w:sz w:val="20"/>
        </w:rPr>
        <w:t>Default. Prompt written notice of the occurrence of a Default or Event of Default; and</w:t>
      </w:r>
    </w:p>
    <w:p>
      <w:pPr>
        <w:pStyle w:val="TextBody"/>
        <w:spacing w:lineRule="auto" w:line="240" w:before="185" w:after="283"/>
        <w:ind w:left="0" w:right="0" w:firstLine="1440"/>
        <w:jc w:val="both"/>
        <w:rPr/>
      </w:pPr>
      <w:r>
        <w:rPr>
          <w:rFonts w:ascii="Times New Roman;sans-serif" w:hAnsi="Times New Roman;sans-serif"/>
          <w:b w:val="false"/>
          <w:color w:val="0000FF"/>
          <w:sz w:val="20"/>
        </w:rPr>
        <w:t>(o)</w:t>
      </w:r>
      <w:r>
        <w:rPr>
          <w:rFonts w:ascii="Times New Roman;sans-serif" w:hAnsi="Times New Roman;sans-serif"/>
          <w:b w:val="false"/>
          <w:strike/>
          <w:color w:val="FF0000"/>
          <w:sz w:val="20"/>
        </w:rPr>
        <w:t>(m)</w:t>
      </w:r>
      <w:r>
        <w:rPr>
          <w:color w:val="FF0000"/>
        </w:rPr>
        <w:t xml:space="preserve"> </w:t>
      </w:r>
      <w:r>
        <w:rPr>
          <w:rFonts w:ascii="Times New Roman;sans-serif" w:hAnsi="Times New Roman;sans-serif"/>
          <w:b w:val="false"/>
          <w:color w:val="000000"/>
          <w:sz w:val="20"/>
        </w:rPr>
        <w:t>Other Information. Promptly, from time to time, such other financial information regarding Borrower or any of its Subsidiaries or compliance with the terms of any Loan Documents as reasonably requested by Bank.</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submission by Borrower of a Compliance Statement, or any other financial statement submitted to the Financial Statement Repository pursuant to this Section 5.3 or otherwise submitted to Bank shall be deemed to be a representation by Borrower that (i) as of the date of such Compliance Statement, or other financial statement, the information and calculations set forth therein are true and correct in all material respects, (ii) as of the end of the compliance period set forth in such submission, Borrower is in complete compliance with all required covenants except as noted in such Compliance Statement, or other financial statement, as applicable,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Section 4 remain true and correct in all material respects as of the date of such submission except as noted in such Compliance Statement, or other financial statement, as applicable,</w:t>
      </w:r>
    </w:p>
    <w:p>
      <w:pPr>
        <w:pStyle w:val="TextBody"/>
        <w:spacing w:lineRule="auto" w:line="240" w:before="4" w:after="283"/>
        <w:jc w:val="both"/>
        <w:rPr>
          <w:rFonts w:ascii="Times New Roman;sans-serif" w:hAnsi="Times New Roman;sans-serif"/>
          <w:b w:val="false"/>
          <w:color w:val="000000"/>
          <w:sz w:val="20"/>
        </w:rPr>
      </w:pPr>
      <w:r>
        <w:rPr>
          <w:rFonts w:ascii="Times New Roman;sans-serif" w:hAnsi="Times New Roman;sans-serif"/>
          <w:b w:val="false"/>
          <w:color w:val="000000"/>
          <w:sz w:val="20"/>
        </w:rPr>
        <w:t>(v)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4.9, and (vi) as of the date of such submission, no Liens have been levied or claims made against Borrower or any of its Subsidiaries relating to unpaid employee payroll or benefits of which Borrower has not previously provided written notification to Bank.</w:t>
      </w:r>
    </w:p>
    <w:p>
      <w:pPr>
        <w:pStyle w:val="TextBody"/>
        <w:spacing w:lineRule="auto" w:line="240" w:before="0" w:after="0"/>
        <w:ind w:left="0" w:right="0" w:hanging="720"/>
        <w:rPr/>
      </w:pPr>
      <w:r>
        <w:rPr>
          <w:rFonts w:ascii="Times New Roman;sans-serif" w:hAnsi="Times New Roman;sans-serif"/>
          <w:b/>
          <w:color w:val="000000"/>
          <w:sz w:val="20"/>
        </w:rPr>
        <w:t>5.4</w:t>
      </w:r>
      <w:r>
        <w:rPr/>
        <w:drawing>
          <wp:inline distT="0" distB="63500" distL="0" distR="0">
            <wp:extent cx="14605" cy="142875"/>
            <wp:effectExtent l="0" t="0" r="0" b="0"/>
            <wp:docPr id="23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76" descr=""/>
                    <pic:cNvPicPr>
                      <a:picLocks noChangeAspect="1" noChangeArrowheads="1"/>
                    </pic:cNvPicPr>
                  </pic:nvPicPr>
                  <pic:blipFill>
                    <a:blip r:embed="rId82"/>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strike/>
          <w:color w:val="FF0000"/>
          <w:sz w:val="20"/>
        </w:rPr>
        <w:t>Reserved</w:t>
      </w:r>
      <w:r>
        <w:rPr>
          <w:rFonts w:ascii="Times New Roman;sans-serif" w:hAnsi="Times New Roman;sans-serif"/>
          <w:b/>
          <w:color w:val="0000FF"/>
          <w:sz w:val="20"/>
          <w:u w:val="single"/>
        </w:rPr>
        <w:t>Accounts Receivable</w:t>
      </w:r>
      <w:r>
        <w:rPr>
          <w:rFonts w:ascii="Times New Roman;sans-serif" w:hAnsi="Times New Roman;sans-serif"/>
          <w:b/>
          <w:color w:val="000000"/>
          <w:sz w:val="20"/>
        </w:rPr>
        <w:t>.</w:t>
      </w:r>
    </w:p>
    <w:p>
      <w:pPr>
        <w:pStyle w:val="TextBody"/>
        <w:spacing w:before="3" w:after="283"/>
        <w:rPr/>
      </w:pPr>
      <w:r>
        <w:rPr/>
      </w:r>
    </w:p>
    <w:p>
      <w:pPr>
        <w:pStyle w:val="TextBody"/>
        <w:spacing w:lineRule="auto" w:line="240" w:before="91" w:after="283"/>
        <w:ind w:left="0" w:right="0" w:hanging="303"/>
        <w:rPr/>
      </w:pPr>
      <w:r>
        <w:rPr>
          <w:rFonts w:ascii="Times New Roman;sans-serif" w:hAnsi="Times New Roman;sans-serif"/>
          <w:b/>
          <w:color w:val="FF0000"/>
          <w:sz w:val="20"/>
        </w:rPr>
        <w:t>5.5</w:t>
      </w:r>
      <w:r>
        <w:rPr/>
        <w:drawing>
          <wp:inline distT="0" distB="63500" distL="0" distR="0">
            <wp:extent cx="14605" cy="142875"/>
            <wp:effectExtent l="0" t="0" r="0" b="0"/>
            <wp:docPr id="23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77" descr=""/>
                    <pic:cNvPicPr>
                      <a:picLocks noChangeAspect="1" noChangeArrowheads="1"/>
                    </pic:cNvPicPr>
                  </pic:nvPicPr>
                  <pic:blipFill>
                    <a:blip r:embed="rId83"/>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strike/>
          <w:color w:val="FF0000"/>
          <w:sz w:val="20"/>
        </w:rPr>
        <w:t>Reserved.</w:t>
      </w:r>
    </w:p>
    <w:p>
      <w:pPr>
        <w:pStyle w:val="TextBody"/>
        <w:spacing w:before="0" w:after="0"/>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(a)</w:t>
      </w:r>
      <w:r>
        <w:rPr/>
        <w:drawing>
          <wp:inline distT="0" distB="63500" distL="0" distR="0">
            <wp:extent cx="14605" cy="1609725"/>
            <wp:effectExtent l="0" t="0" r="0" b="0"/>
            <wp:docPr id="23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78" descr=""/>
                    <pic:cNvPicPr>
                      <a:picLocks noChangeAspect="1" noChangeArrowheads="1"/>
                    </pic:cNvPicPr>
                  </pic:nvPicPr>
                  <pic:blipFill>
                    <a:blip r:embed="rId84"/>
                    <a:stretch>
                      <a:fillRect/>
                    </a:stretch>
                  </pic:blipFill>
                  <pic:spPr bwMode="auto">
                    <a:xfrm>
                      <a:off x="0" y="0"/>
                      <a:ext cx="14605" cy="1609725"/>
                    </a:xfrm>
                    <a:prstGeom prst="rect">
                      <a:avLst/>
                    </a:prstGeom>
                  </pic:spPr>
                </pic:pic>
              </a:graphicData>
            </a:graphic>
          </wp:inline>
        </w:drawing>
      </w:r>
      <w:r>
        <w:rPr>
          <w:rFonts w:ascii="Times New Roman;sans-serif" w:hAnsi="Times New Roman;sans-serif"/>
          <w:b w:val="false"/>
          <w:color w:val="0000FF"/>
          <w:sz w:val="20"/>
          <w:u w:val="single"/>
        </w:rPr>
        <w:t>Schedules and Documents Relating to Accounts. Only when Advances are outstanding or</w:t>
      </w:r>
      <w:r>
        <w:rPr>
          <w:color w:val="0000FF"/>
        </w:rPr>
        <w:t xml:space="preserve"> </w:t>
      </w:r>
      <w:r>
        <w:rPr>
          <w:rFonts w:ascii="Times New Roman;sans-serif" w:hAnsi="Times New Roman;sans-serif"/>
          <w:b w:val="false"/>
          <w:color w:val="0000FF"/>
          <w:sz w:val="20"/>
          <w:u w:val="single"/>
        </w:rPr>
        <w:t>are being requested by Borrower, Borrower shall deliver to Bank transaction reports and schedules of collections, as</w:t>
      </w:r>
      <w:r>
        <w:rPr>
          <w:color w:val="0000FF"/>
        </w:rPr>
        <w:t xml:space="preserve"> </w:t>
      </w:r>
      <w:r>
        <w:rPr>
          <w:rFonts w:ascii="Times New Roman;sans-serif" w:hAnsi="Times New Roman;sans-serif"/>
          <w:b w:val="false"/>
          <w:color w:val="0000FF"/>
          <w:sz w:val="20"/>
          <w:u w:val="single"/>
        </w:rPr>
        <w:t>provided in Section 5.3(b), on Bank’s standard forms; provided, however, that Borrower’s failure to execute and</w:t>
      </w:r>
      <w:r>
        <w:rPr>
          <w:color w:val="0000FF"/>
        </w:rPr>
        <w:t xml:space="preserve"> </w:t>
      </w:r>
      <w:r>
        <w:rPr>
          <w:rFonts w:ascii="Times New Roman;sans-serif" w:hAnsi="Times New Roman;sans-serif"/>
          <w:b w:val="false"/>
          <w:color w:val="0000FF"/>
          <w:sz w:val="20"/>
          <w:u w:val="single"/>
        </w:rPr>
        <w:t>deliver the same shall not affect or limit Bank’s Lien and other rights in all of Borrower’s Accounts, nor shall Bank’s</w:t>
      </w:r>
      <w:r>
        <w:rPr>
          <w:color w:val="0000FF"/>
        </w:rPr>
        <w:t xml:space="preserve"> </w:t>
      </w:r>
      <w:r>
        <w:rPr>
          <w:rFonts w:ascii="Times New Roman;sans-serif" w:hAnsi="Times New Roman;sans-serif"/>
          <w:b w:val="false"/>
          <w:color w:val="0000FF"/>
          <w:sz w:val="20"/>
          <w:u w:val="single"/>
        </w:rPr>
        <w:t>failure to advance or lend against a specific Account affect or limit Bank’s Lien and other rights therein. If</w:t>
      </w:r>
      <w:r>
        <w:rPr>
          <w:color w:val="0000FF"/>
        </w:rPr>
        <w:t xml:space="preserve"> </w:t>
      </w:r>
      <w:r>
        <w:rPr>
          <w:rFonts w:ascii="Times New Roman;sans-serif" w:hAnsi="Times New Roman;sans-serif"/>
          <w:b w:val="false"/>
          <w:color w:val="0000FF"/>
          <w:sz w:val="20"/>
          <w:u w:val="single"/>
        </w:rPr>
        <w:t>requested by Bank, Borrower shall furnish Bank with copies (or, at Bank’s request, originals) of all contracts, orders,</w:t>
      </w:r>
      <w:r>
        <w:rPr>
          <w:color w:val="0000FF"/>
        </w:rPr>
        <w:t xml:space="preserve"> </w:t>
      </w:r>
      <w:r>
        <w:rPr>
          <w:rFonts w:ascii="Times New Roman;sans-serif" w:hAnsi="Times New Roman;sans-serif"/>
          <w:b w:val="false"/>
          <w:color w:val="0000FF"/>
          <w:sz w:val="20"/>
          <w:u w:val="single"/>
        </w:rPr>
        <w:t>invoices, and other similar documents, and all shipping instructions, delivery receipts, bills of lading, and other</w:t>
      </w:r>
      <w:r>
        <w:rPr>
          <w:color w:val="0000FF"/>
        </w:rPr>
        <w:t xml:space="preserve"> </w:t>
      </w:r>
      <w:r>
        <w:rPr>
          <w:rFonts w:ascii="Times New Roman;sans-serif" w:hAnsi="Times New Roman;sans-serif"/>
          <w:b w:val="false"/>
          <w:color w:val="0000FF"/>
          <w:sz w:val="20"/>
          <w:u w:val="single"/>
        </w:rPr>
        <w:t>evidence of delivery, for any goods the sale or disposition of which gave rise to such Accounts. In addition,</w:t>
      </w:r>
      <w:r>
        <w:rPr>
          <w:color w:val="0000FF"/>
        </w:rPr>
        <w:t xml:space="preserve"> </w:t>
      </w:r>
      <w:r>
        <w:rPr>
          <w:rFonts w:ascii="Times New Roman;sans-serif" w:hAnsi="Times New Roman;sans-serif"/>
          <w:b w:val="false"/>
          <w:color w:val="0000FF"/>
          <w:sz w:val="20"/>
          <w:u w:val="single"/>
        </w:rPr>
        <w:t>Borrower shall deliver to Bank, on its request, the originals of all instruments, chattel paper, security agreements,</w:t>
      </w:r>
      <w:r>
        <w:rPr>
          <w:color w:val="0000FF"/>
        </w:rPr>
        <w:t xml:space="preserve"> </w:t>
      </w:r>
      <w:r>
        <w:rPr>
          <w:rFonts w:ascii="Times New Roman;sans-serif" w:hAnsi="Times New Roman;sans-serif"/>
          <w:b w:val="false"/>
          <w:color w:val="0000FF"/>
          <w:sz w:val="20"/>
          <w:u w:val="single"/>
        </w:rPr>
        <w:t>guarantees and other documents and property evidencing or securing any Accounts, in the same form as received,</w:t>
      </w:r>
      <w:r>
        <w:rPr>
          <w:color w:val="0000FF"/>
        </w:rPr>
        <w:t xml:space="preserve"> </w:t>
      </w:r>
      <w:r>
        <w:rPr>
          <w:rFonts w:ascii="Times New Roman;sans-serif" w:hAnsi="Times New Roman;sans-serif"/>
          <w:b w:val="false"/>
          <w:color w:val="0000FF"/>
          <w:sz w:val="20"/>
          <w:u w:val="single"/>
        </w:rPr>
        <w:t>with all necessary indorsements, and copies of all credit memos.</w:t>
      </w:r>
    </w:p>
    <w:p>
      <w:pPr>
        <w:pStyle w:val="TextBody"/>
        <w:spacing w:before="4"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51710"/>
                <wp:effectExtent l="0" t="0" r="0" b="0"/>
                <wp:wrapNone/>
                <wp:docPr id="236" name="Frame146"/>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3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79" descr=""/>
                                          <pic:cNvPicPr>
                                            <a:picLocks noChangeAspect="1" noChangeArrowheads="1"/>
                                          </pic:cNvPicPr>
                                        </pic:nvPicPr>
                                        <pic:blipFill>
                                          <a:blip r:embed="rId8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3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79" descr=""/>
                                    <pic:cNvPicPr>
                                      <a:picLocks noChangeAspect="1" noChangeArrowheads="1"/>
                                    </pic:cNvPicPr>
                                  </pic:nvPicPr>
                                  <pic:blipFill>
                                    <a:blip r:embed="rId8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ind w:left="0" w:right="0" w:firstLine="1440"/>
        <w:jc w:val="both"/>
        <w:rPr/>
      </w:pPr>
      <w:r>
        <w:rPr>
          <w:rFonts w:ascii="Times New Roman;sans-serif" w:hAnsi="Times New Roman;sans-serif"/>
          <w:b w:val="false"/>
          <w:color w:val="0000FF"/>
          <w:sz w:val="20"/>
        </w:rPr>
        <w:t>(b)</w:t>
      </w:r>
      <w:r>
        <w:rPr/>
        <w:drawing>
          <wp:inline distT="0" distB="63500" distL="0" distR="0">
            <wp:extent cx="14605" cy="1162050"/>
            <wp:effectExtent l="0" t="0" r="0" b="0"/>
            <wp:docPr id="23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0" descr=""/>
                    <pic:cNvPicPr>
                      <a:picLocks noChangeAspect="1" noChangeArrowheads="1"/>
                    </pic:cNvPicPr>
                  </pic:nvPicPr>
                  <pic:blipFill>
                    <a:blip r:embed="rId86"/>
                    <a:stretch>
                      <a:fillRect/>
                    </a:stretch>
                  </pic:blipFill>
                  <pic:spPr bwMode="auto">
                    <a:xfrm>
                      <a:off x="0" y="0"/>
                      <a:ext cx="14605" cy="1162050"/>
                    </a:xfrm>
                    <a:prstGeom prst="rect">
                      <a:avLst/>
                    </a:prstGeom>
                  </pic:spPr>
                </pic:pic>
              </a:graphicData>
            </a:graphic>
          </wp:inline>
        </w:drawing>
      </w:r>
      <w:r>
        <w:rPr>
          <w:rFonts w:ascii="Times New Roman;sans-serif" w:hAnsi="Times New Roman;sans-serif"/>
          <w:b w:val="false"/>
          <w:color w:val="0000FF"/>
          <w:sz w:val="20"/>
          <w:u w:val="single"/>
        </w:rPr>
        <w:t>Disputes. Borrower shall promptly notify Bank of all disputes or claims relating to</w:t>
      </w:r>
      <w:r>
        <w:rPr>
          <w:color w:val="0000FF"/>
        </w:rPr>
        <w:t xml:space="preserve"> </w:t>
      </w:r>
      <w:r>
        <w:rPr>
          <w:rFonts w:ascii="Times New Roman;sans-serif" w:hAnsi="Times New Roman;sans-serif"/>
          <w:b w:val="false"/>
          <w:color w:val="0000FF"/>
          <w:sz w:val="20"/>
          <w:u w:val="single"/>
        </w:rPr>
        <w:t>Accounts that continue for more than thirty (30) days and are with respect to an amount in excess of Two Hundred</w:t>
      </w:r>
      <w:r>
        <w:rPr>
          <w:color w:val="0000FF"/>
        </w:rPr>
        <w:t xml:space="preserve"> </w:t>
      </w:r>
      <w:r>
        <w:rPr>
          <w:rFonts w:ascii="Times New Roman;sans-serif" w:hAnsi="Times New Roman;sans-serif"/>
          <w:b w:val="false"/>
          <w:color w:val="0000FF"/>
          <w:sz w:val="20"/>
          <w:u w:val="single"/>
        </w:rPr>
        <w:t>Thousand Dollars ($200,000) in the aggregate at such time. Borrower may forgive (completely or partially),</w:t>
      </w:r>
      <w:r>
        <w:rPr>
          <w:color w:val="0000FF"/>
        </w:rPr>
        <w:t xml:space="preserve"> </w:t>
      </w:r>
      <w:r>
        <w:rPr>
          <w:rFonts w:ascii="Times New Roman;sans-serif" w:hAnsi="Times New Roman;sans-serif"/>
          <w:b w:val="false"/>
          <w:color w:val="0000FF"/>
          <w:sz w:val="20"/>
          <w:u w:val="single"/>
        </w:rPr>
        <w:t>compromise, or settle any Account for less than payment in full, or agree to do any of the foregoing so long as (i)</w:t>
      </w:r>
      <w:r>
        <w:rPr>
          <w:color w:val="0000FF"/>
        </w:rPr>
        <w:t xml:space="preserve"> </w:t>
      </w:r>
      <w:r>
        <w:rPr>
          <w:rFonts w:ascii="Times New Roman;sans-serif" w:hAnsi="Times New Roman;sans-serif"/>
          <w:b w:val="false"/>
          <w:color w:val="0000FF"/>
          <w:sz w:val="20"/>
          <w:u w:val="single"/>
        </w:rPr>
        <w:t>Borrower does so in good faith, in a commercially reasonable manner, in the ordinary course of business, in</w:t>
      </w:r>
      <w:r>
        <w:rPr>
          <w:color w:val="0000FF"/>
        </w:rPr>
        <w:t xml:space="preserve"> </w:t>
      </w:r>
      <w:r>
        <w:rPr>
          <w:rFonts w:ascii="Times New Roman;sans-serif" w:hAnsi="Times New Roman;sans-serif"/>
          <w:b w:val="false"/>
          <w:color w:val="0000FF"/>
          <w:sz w:val="20"/>
          <w:u w:val="single"/>
        </w:rPr>
        <w:t>arm’s-length transactions, and reports the same to Bank in the regular reports provided to Bank; (ii) no Event of</w:t>
      </w:r>
      <w:r>
        <w:rPr>
          <w:color w:val="0000FF"/>
        </w:rPr>
        <w:t xml:space="preserve"> </w:t>
      </w:r>
      <w:r>
        <w:rPr>
          <w:rFonts w:ascii="Times New Roman;sans-serif" w:hAnsi="Times New Roman;sans-serif"/>
          <w:b w:val="false"/>
          <w:color w:val="0000FF"/>
          <w:sz w:val="20"/>
          <w:u w:val="single"/>
        </w:rPr>
        <w:t>Default has occurred and is continuing; and (iii) there shall not be an Overadvance after taking into account all such</w:t>
      </w:r>
      <w:r>
        <w:rPr>
          <w:color w:val="0000FF"/>
        </w:rPr>
        <w:t xml:space="preserve"> </w:t>
      </w:r>
      <w:r>
        <w:rPr>
          <w:rFonts w:ascii="Times New Roman;sans-serif" w:hAnsi="Times New Roman;sans-serif"/>
          <w:b w:val="false"/>
          <w:color w:val="0000FF"/>
          <w:sz w:val="20"/>
          <w:u w:val="single"/>
        </w:rPr>
        <w:t>discounts, settlements and forgiveness.</w:t>
      </w:r>
    </w:p>
    <w:p>
      <w:pPr>
        <w:pStyle w:val="TextBody"/>
        <w:spacing w:before="3"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(c)</w:t>
      </w:r>
      <w:r>
        <w:rPr/>
        <w:drawing>
          <wp:inline distT="0" distB="63500" distL="0" distR="0">
            <wp:extent cx="14605" cy="723900"/>
            <wp:effectExtent l="0" t="0" r="0" b="0"/>
            <wp:docPr id="24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81" descr=""/>
                    <pic:cNvPicPr>
                      <a:picLocks noChangeAspect="1" noChangeArrowheads="1"/>
                    </pic:cNvPicPr>
                  </pic:nvPicPr>
                  <pic:blipFill>
                    <a:blip r:embed="rId87"/>
                    <a:stretch>
                      <a:fillRect/>
                    </a:stretch>
                  </pic:blipFill>
                  <pic:spPr bwMode="auto">
                    <a:xfrm>
                      <a:off x="0" y="0"/>
                      <a:ext cx="14605" cy="723900"/>
                    </a:xfrm>
                    <a:prstGeom prst="rect">
                      <a:avLst/>
                    </a:prstGeom>
                  </pic:spPr>
                </pic:pic>
              </a:graphicData>
            </a:graphic>
          </wp:inline>
        </w:drawing>
      </w:r>
      <w:r>
        <w:rPr>
          <w:rFonts w:ascii="Times New Roman;sans-serif" w:hAnsi="Times New Roman;sans-serif"/>
          <w:b w:val="false"/>
          <w:color w:val="0000FF"/>
          <w:sz w:val="20"/>
          <w:u w:val="single"/>
        </w:rPr>
        <w:t>Collection of Accounts. Within sixty (60) days of the First Amendment Effective Date,</w:t>
      </w:r>
      <w:r>
        <w:rPr>
          <w:color w:val="0000FF"/>
        </w:rPr>
        <w:t xml:space="preserve"> </w:t>
      </w:r>
      <w:r>
        <w:rPr>
          <w:rFonts w:ascii="Times New Roman;sans-serif" w:hAnsi="Times New Roman;sans-serif"/>
          <w:b w:val="false"/>
          <w:color w:val="0000FF"/>
          <w:sz w:val="20"/>
          <w:u w:val="single"/>
        </w:rPr>
        <w:t>Borrower shall direct Account Debtors to deliver or transmit all proceeds of Accounts into a lockbox account, or</w:t>
      </w:r>
      <w:r>
        <w:rPr>
          <w:color w:val="0000FF"/>
        </w:rPr>
        <w:t xml:space="preserve"> </w:t>
      </w:r>
      <w:r>
        <w:rPr>
          <w:rFonts w:ascii="Times New Roman;sans-serif" w:hAnsi="Times New Roman;sans-serif"/>
          <w:b w:val="false"/>
          <w:color w:val="0000FF"/>
          <w:sz w:val="20"/>
          <w:u w:val="single"/>
        </w:rPr>
        <w:t>such other “blocked account” as specified by Bank (either such account, the “Cash Collateral Account”). Whether</w:t>
      </w:r>
      <w:r>
        <w:rPr>
          <w:color w:val="0000FF"/>
        </w:rPr>
        <w:t xml:space="preserve"> </w:t>
      </w:r>
      <w:r>
        <w:rPr>
          <w:rFonts w:ascii="Times New Roman;sans-serif" w:hAnsi="Times New Roman;sans-serif"/>
          <w:b w:val="false"/>
          <w:color w:val="0000FF"/>
          <w:sz w:val="20"/>
          <w:u w:val="single"/>
        </w:rPr>
        <w:t>or not an Event of Default has occurred and is continuing, Borrower shall immediately deliver all payments on and</w:t>
      </w:r>
      <w:r>
        <w:rPr>
          <w:color w:val="0000FF"/>
        </w:rPr>
        <w:t xml:space="preserve"> </w:t>
      </w:r>
      <w:r>
        <w:rPr>
          <w:rFonts w:ascii="Times New Roman;sans-serif" w:hAnsi="Times New Roman;sans-serif"/>
          <w:b w:val="false"/>
          <w:color w:val="0000FF"/>
          <w:sz w:val="20"/>
          <w:u w:val="single"/>
        </w:rPr>
        <w:t>proceeds of Accounts to the Cash Collateral Account. Subject to Bank’s right to maintain a reserve pursuant to</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51710"/>
                <wp:effectExtent l="0" t="0" r="0" b="0"/>
                <wp:wrapNone/>
                <wp:docPr id="241" name="Frame147"/>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4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2" descr=""/>
                                          <pic:cNvPicPr>
                                            <a:picLocks noChangeAspect="1" noChangeArrowheads="1"/>
                                          </pic:cNvPicPr>
                                        </pic:nvPicPr>
                                        <pic:blipFill>
                                          <a:blip r:embed="rId8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4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82" descr=""/>
                                    <pic:cNvPicPr>
                                      <a:picLocks noChangeAspect="1" noChangeArrowheads="1"/>
                                    </pic:cNvPicPr>
                                  </pic:nvPicPr>
                                  <pic:blipFill>
                                    <a:blip r:embed="rId8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pPr>
      <w:r>
        <w:rPr/>
        <w:drawing>
          <wp:inline distT="0" distB="63500" distL="0" distR="0">
            <wp:extent cx="5895975" cy="14605"/>
            <wp:effectExtent l="0" t="0" r="0" b="0"/>
            <wp:docPr id="24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3" descr=""/>
                    <pic:cNvPicPr>
                      <a:picLocks noChangeAspect="1" noChangeArrowheads="1"/>
                    </pic:cNvPicPr>
                  </pic:nvPicPr>
                  <pic:blipFill>
                    <a:blip r:embed="rId89"/>
                    <a:stretch>
                      <a:fillRect/>
                    </a:stretch>
                  </pic:blipFill>
                  <pic:spPr bwMode="auto">
                    <a:xfrm>
                      <a:off x="0" y="0"/>
                      <a:ext cx="5895975" cy="14605"/>
                    </a:xfrm>
                    <a:prstGeom prst="rect">
                      <a:avLst/>
                    </a:prstGeom>
                  </pic:spPr>
                </pic:pic>
              </a:graphicData>
            </a:graphic>
          </wp:inline>
        </w:drawing>
      </w:r>
      <w:r>
        <w:rPr/>
        <w:drawing>
          <wp:inline distT="0" distB="63500" distL="0" distR="0">
            <wp:extent cx="14605" cy="1019175"/>
            <wp:effectExtent l="0" t="0" r="0" b="0"/>
            <wp:docPr id="24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4" descr=""/>
                    <pic:cNvPicPr>
                      <a:picLocks noChangeAspect="1" noChangeArrowheads="1"/>
                    </pic:cNvPicPr>
                  </pic:nvPicPr>
                  <pic:blipFill>
                    <a:blip r:embed="rId90"/>
                    <a:stretch>
                      <a:fillRect/>
                    </a:stretch>
                  </pic:blipFill>
                  <pic:spPr bwMode="auto">
                    <a:xfrm>
                      <a:off x="0" y="0"/>
                      <a:ext cx="14605" cy="1019175"/>
                    </a:xfrm>
                    <a:prstGeom prst="rect">
                      <a:avLst/>
                    </a:prstGeom>
                  </pic:spPr>
                </pic:pic>
              </a:graphicData>
            </a:graphic>
          </wp:inline>
        </w:drawing>
      </w:r>
      <w:r>
        <w:rPr/>
        <w:drawing>
          <wp:inline distT="0" distB="63500" distL="0" distR="0">
            <wp:extent cx="5895975" cy="14605"/>
            <wp:effectExtent l="0" t="0" r="0" b="0"/>
            <wp:docPr id="24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85" descr=""/>
                    <pic:cNvPicPr>
                      <a:picLocks noChangeAspect="1" noChangeArrowheads="1"/>
                    </pic:cNvPicPr>
                  </pic:nvPicPr>
                  <pic:blipFill>
                    <a:blip r:embed="rId91"/>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4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6" descr=""/>
                    <pic:cNvPicPr>
                      <a:picLocks noChangeAspect="1" noChangeArrowheads="1"/>
                    </pic:cNvPicPr>
                  </pic:nvPicPr>
                  <pic:blipFill>
                    <a:blip r:embed="rId92"/>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48"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7" descr=""/>
                    <pic:cNvPicPr>
                      <a:picLocks noChangeAspect="1" noChangeArrowheads="1"/>
                    </pic:cNvPicPr>
                  </pic:nvPicPr>
                  <pic:blipFill>
                    <a:blip r:embed="rId93"/>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4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88" descr=""/>
                    <pic:cNvPicPr>
                      <a:picLocks noChangeAspect="1" noChangeArrowheads="1"/>
                    </pic:cNvPicPr>
                  </pic:nvPicPr>
                  <pic:blipFill>
                    <a:blip r:embed="rId94"/>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5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9" descr=""/>
                    <pic:cNvPicPr>
                      <a:picLocks noChangeAspect="1" noChangeArrowheads="1"/>
                    </pic:cNvPicPr>
                  </pic:nvPicPr>
                  <pic:blipFill>
                    <a:blip r:embed="rId95"/>
                    <a:stretch>
                      <a:fillRect/>
                    </a:stretch>
                  </pic:blipFill>
                  <pic:spPr bwMode="auto">
                    <a:xfrm>
                      <a:off x="0" y="0"/>
                      <a:ext cx="5895975" cy="14605"/>
                    </a:xfrm>
                    <a:prstGeom prst="rect">
                      <a:avLst/>
                    </a:prstGeom>
                  </pic:spPr>
                </pic:pic>
              </a:graphicData>
            </a:graphic>
          </wp:inline>
        </w:drawing>
      </w:r>
      <w:r>
        <w:rPr>
          <w:rFonts w:ascii="Times New Roman;sans-serif" w:hAnsi="Times New Roman;sans-serif"/>
          <w:b w:val="false"/>
          <w:color w:val="0000FF"/>
          <w:sz w:val="20"/>
          <w:u w:val="single"/>
        </w:rPr>
        <w:t>Section 5.4(d), all amounts received in the Cash Collateral Account shall be (i) when a Streamline Period is not in</w:t>
      </w:r>
      <w:r>
        <w:rPr>
          <w:color w:val="0000FF"/>
        </w:rPr>
        <w:t xml:space="preserve"> </w:t>
      </w:r>
      <w:r>
        <w:rPr>
          <w:rFonts w:ascii="Times New Roman;sans-serif" w:hAnsi="Times New Roman;sans-serif"/>
          <w:b w:val="false"/>
          <w:color w:val="0000FF"/>
          <w:sz w:val="20"/>
          <w:u w:val="single"/>
        </w:rPr>
        <w:t>effect, applied to immediately reduce the Obligations under the Revolving Line (unless Bank, in its sole discretion,</w:t>
      </w:r>
      <w:r>
        <w:rPr>
          <w:color w:val="0000FF"/>
        </w:rPr>
        <w:t xml:space="preserve"> </w:t>
      </w:r>
      <w:r>
        <w:rPr>
          <w:rFonts w:ascii="Times New Roman;sans-serif" w:hAnsi="Times New Roman;sans-serif"/>
          <w:b w:val="false"/>
          <w:color w:val="0000FF"/>
          <w:sz w:val="20"/>
          <w:u w:val="single"/>
        </w:rPr>
        <w:t>at times when an Event of Default exists, elects not to so apply such amounts), or (ii) when a Streamline Period is in</w:t>
      </w:r>
      <w:r>
        <w:rPr>
          <w:color w:val="0000FF"/>
        </w:rPr>
        <w:t xml:space="preserve"> </w:t>
      </w:r>
      <w:r>
        <w:rPr>
          <w:rFonts w:ascii="Times New Roman;sans-serif" w:hAnsi="Times New Roman;sans-serif"/>
          <w:b w:val="false"/>
          <w:color w:val="0000FF"/>
          <w:sz w:val="20"/>
          <w:u w:val="single"/>
        </w:rPr>
        <w:t>effect, transferred by Bank on a daily basis to Borrower’s operating account with Bank. Borrower hereby authorizes</w:t>
      </w:r>
      <w:r>
        <w:rPr>
          <w:color w:val="0000FF"/>
        </w:rPr>
        <w:t xml:space="preserve"> </w:t>
      </w:r>
      <w:r>
        <w:rPr>
          <w:rFonts w:ascii="Times New Roman;sans-serif" w:hAnsi="Times New Roman;sans-serif"/>
          <w:b w:val="false"/>
          <w:color w:val="0000FF"/>
          <w:sz w:val="20"/>
          <w:u w:val="single"/>
        </w:rPr>
        <w:t>Bank to transfer to the Cash Collateral Account any amounts that Bank reasonably determines are proceeds of the</w:t>
      </w:r>
      <w:r>
        <w:rPr>
          <w:color w:val="0000FF"/>
        </w:rPr>
        <w:t xml:space="preserve"> </w:t>
      </w:r>
      <w:r>
        <w:rPr>
          <w:rFonts w:ascii="Times New Roman;sans-serif" w:hAnsi="Times New Roman;sans-serif"/>
          <w:b w:val="false"/>
          <w:color w:val="0000FF"/>
          <w:sz w:val="20"/>
          <w:u w:val="single"/>
        </w:rPr>
        <w:t>Accounts (provided that Bank is under no obligation to do so and this allowance shall in no event relieve Borrower</w:t>
      </w:r>
      <w:r>
        <w:rPr>
          <w:color w:val="0000FF"/>
        </w:rPr>
        <w:t xml:space="preserve"> </w:t>
      </w:r>
      <w:r>
        <w:rPr>
          <w:rFonts w:ascii="Times New Roman;sans-serif" w:hAnsi="Times New Roman;sans-serif"/>
          <w:b w:val="false"/>
          <w:color w:val="0000FF"/>
          <w:sz w:val="20"/>
          <w:u w:val="single"/>
        </w:rPr>
        <w:t>of its obligations hereunder).</w:t>
      </w:r>
    </w:p>
    <w:p>
      <w:pPr>
        <w:pStyle w:val="TextBody"/>
        <w:spacing w:before="2"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(d)</w:t>
      </w:r>
      <w:r>
        <w:rPr/>
        <w:drawing>
          <wp:inline distT="0" distB="63500" distL="0" distR="0">
            <wp:extent cx="14605" cy="723900"/>
            <wp:effectExtent l="0" t="0" r="0" b="0"/>
            <wp:docPr id="251"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90" descr=""/>
                    <pic:cNvPicPr>
                      <a:picLocks noChangeAspect="1" noChangeArrowheads="1"/>
                    </pic:cNvPicPr>
                  </pic:nvPicPr>
                  <pic:blipFill>
                    <a:blip r:embed="rId96"/>
                    <a:stretch>
                      <a:fillRect/>
                    </a:stretch>
                  </pic:blipFill>
                  <pic:spPr bwMode="auto">
                    <a:xfrm>
                      <a:off x="0" y="0"/>
                      <a:ext cx="14605" cy="723900"/>
                    </a:xfrm>
                    <a:prstGeom prst="rect">
                      <a:avLst/>
                    </a:prstGeom>
                  </pic:spPr>
                </pic:pic>
              </a:graphicData>
            </a:graphic>
          </wp:inline>
        </w:drawing>
      </w:r>
      <w:r>
        <w:rPr>
          <w:rFonts w:ascii="Times New Roman;sans-serif" w:hAnsi="Times New Roman;sans-serif"/>
          <w:b w:val="false"/>
          <w:color w:val="0000FF"/>
          <w:sz w:val="20"/>
          <w:u w:val="single"/>
        </w:rPr>
        <w:t>Reserves. Notwithstanding any terms in this Agreement to the contrary, at times when a</w:t>
      </w:r>
      <w:r>
        <w:rPr>
          <w:color w:val="0000FF"/>
        </w:rPr>
        <w:t xml:space="preserve"> </w:t>
      </w:r>
      <w:r>
        <w:rPr>
          <w:rFonts w:ascii="Times New Roman;sans-serif" w:hAnsi="Times New Roman;sans-serif"/>
          <w:b w:val="false"/>
          <w:color w:val="0000FF"/>
          <w:sz w:val="20"/>
          <w:u w:val="single"/>
        </w:rPr>
        <w:t>Default or an Event of Default exists, Bank may hold any proceeds of the Accounts and any amounts in the Cash</w:t>
      </w:r>
      <w:r>
        <w:rPr>
          <w:color w:val="0000FF"/>
        </w:rPr>
        <w:t xml:space="preserve"> </w:t>
      </w:r>
      <w:r>
        <w:rPr>
          <w:rFonts w:ascii="Times New Roman;sans-serif" w:hAnsi="Times New Roman;sans-serif"/>
          <w:b w:val="false"/>
          <w:color w:val="0000FF"/>
          <w:sz w:val="20"/>
          <w:u w:val="single"/>
        </w:rPr>
        <w:t>Collateral Account that are not applied to the Obligations pursuant to Section 5.4(c) above (including amounts</w:t>
      </w:r>
      <w:r>
        <w:rPr>
          <w:color w:val="0000FF"/>
        </w:rPr>
        <w:t xml:space="preserve"> </w:t>
      </w:r>
      <w:r>
        <w:rPr>
          <w:rFonts w:ascii="Times New Roman;sans-serif" w:hAnsi="Times New Roman;sans-serif"/>
          <w:b w:val="false"/>
          <w:color w:val="0000FF"/>
          <w:sz w:val="20"/>
          <w:u w:val="single"/>
        </w:rPr>
        <w:t>otherwise required to be transferred to Borrower’s operating account with Bank) as a reserve to be applied to any</w:t>
      </w:r>
      <w:r>
        <w:rPr>
          <w:color w:val="0000FF"/>
        </w:rPr>
        <w:t xml:space="preserve"> </w:t>
      </w:r>
      <w:r>
        <w:rPr>
          <w:rFonts w:ascii="Times New Roman;sans-serif" w:hAnsi="Times New Roman;sans-serif"/>
          <w:b w:val="false"/>
          <w:color w:val="0000FF"/>
          <w:sz w:val="20"/>
          <w:u w:val="single"/>
        </w:rPr>
        <w:t>Obligations regardless of whether such Obligations are then due and payable.</w:t>
      </w:r>
    </w:p>
    <w:p>
      <w:pPr>
        <w:pStyle w:val="TextBody"/>
        <w:spacing w:before="2"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(e)</w:t>
      </w:r>
      <w:r>
        <w:rPr/>
        <w:drawing>
          <wp:inline distT="0" distB="63500" distL="0" distR="0">
            <wp:extent cx="14605" cy="1019175"/>
            <wp:effectExtent l="0" t="0" r="0" b="0"/>
            <wp:docPr id="25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91" descr=""/>
                    <pic:cNvPicPr>
                      <a:picLocks noChangeAspect="1" noChangeArrowheads="1"/>
                    </pic:cNvPicPr>
                  </pic:nvPicPr>
                  <pic:blipFill>
                    <a:blip r:embed="rId97"/>
                    <a:stretch>
                      <a:fillRect/>
                    </a:stretch>
                  </pic:blipFill>
                  <pic:spPr bwMode="auto">
                    <a:xfrm>
                      <a:off x="0" y="0"/>
                      <a:ext cx="14605" cy="1019175"/>
                    </a:xfrm>
                    <a:prstGeom prst="rect">
                      <a:avLst/>
                    </a:prstGeom>
                  </pic:spPr>
                </pic:pic>
              </a:graphicData>
            </a:graphic>
          </wp:inline>
        </w:drawing>
      </w:r>
      <w:r>
        <w:rPr>
          <w:rFonts w:ascii="Times New Roman;sans-serif" w:hAnsi="Times New Roman;sans-serif"/>
          <w:b w:val="false"/>
          <w:color w:val="0000FF"/>
          <w:sz w:val="20"/>
          <w:u w:val="single"/>
        </w:rPr>
        <w:t>Returns. Provided no Event of Default has occurred and is continuing, if any Account</w:t>
      </w:r>
      <w:r>
        <w:rPr>
          <w:color w:val="0000FF"/>
        </w:rPr>
        <w:t xml:space="preserve"> </w:t>
      </w:r>
      <w:r>
        <w:rPr>
          <w:rFonts w:ascii="Times New Roman;sans-serif" w:hAnsi="Times New Roman;sans-serif"/>
          <w:b w:val="false"/>
          <w:color w:val="0000FF"/>
          <w:sz w:val="20"/>
          <w:u w:val="single"/>
        </w:rPr>
        <w:t>Debtor returns any Inventory to Borrower, Borrower shall promptly (i) determine the reason for such return, (ii)</w:t>
      </w:r>
      <w:r>
        <w:rPr>
          <w:color w:val="0000FF"/>
        </w:rPr>
        <w:t xml:space="preserve"> </w:t>
      </w:r>
      <w:r>
        <w:rPr>
          <w:rFonts w:ascii="Times New Roman;sans-serif" w:hAnsi="Times New Roman;sans-serif"/>
          <w:b w:val="false"/>
          <w:color w:val="0000FF"/>
          <w:sz w:val="20"/>
          <w:u w:val="single"/>
        </w:rPr>
        <w:t>issue a credit memorandum to the Account Debtor in the appropriate amount in accordance with Borrower’s</w:t>
      </w:r>
      <w:r>
        <w:rPr>
          <w:color w:val="0000FF"/>
        </w:rPr>
        <w:t xml:space="preserve"> </w:t>
      </w:r>
      <w:r>
        <w:rPr>
          <w:rFonts w:ascii="Times New Roman;sans-serif" w:hAnsi="Times New Roman;sans-serif"/>
          <w:b w:val="false"/>
          <w:color w:val="0000FF"/>
          <w:sz w:val="20"/>
          <w:u w:val="single"/>
        </w:rPr>
        <w:t>customary business practices, and (iii) provide a copy of such credit memorandum to Bank, upon request from Bank.</w:t>
      </w:r>
      <w:r>
        <w:rPr>
          <w:color w:val="0000FF"/>
        </w:rPr>
        <w:t xml:space="preserve"> </w:t>
      </w:r>
      <w:r>
        <w:rPr>
          <w:rFonts w:ascii="Times New Roman;sans-serif" w:hAnsi="Times New Roman;sans-serif"/>
          <w:b w:val="false"/>
          <w:color w:val="0000FF"/>
          <w:sz w:val="20"/>
          <w:u w:val="single"/>
        </w:rPr>
        <w:t>In the event any attempted return occurs after the occurrence and during the continuance of any Event of Default,</w:t>
      </w:r>
      <w:r>
        <w:rPr>
          <w:color w:val="0000FF"/>
        </w:rPr>
        <w:t xml:space="preserve"> </w:t>
      </w:r>
      <w:r>
        <w:rPr>
          <w:rFonts w:ascii="Times New Roman;sans-serif" w:hAnsi="Times New Roman;sans-serif"/>
          <w:b w:val="false"/>
          <w:color w:val="0000FF"/>
          <w:sz w:val="20"/>
          <w:u w:val="single"/>
        </w:rPr>
        <w:t>Borrower shall hold the returned Inventory in trust for Bank, and immediately notify Bank of the return of the</w:t>
      </w:r>
      <w:r>
        <w:rPr>
          <w:color w:val="0000FF"/>
        </w:rPr>
        <w:t xml:space="preserve"> </w:t>
      </w:r>
      <w:r>
        <w:rPr>
          <w:rFonts w:ascii="Times New Roman;sans-serif" w:hAnsi="Times New Roman;sans-serif"/>
          <w:b w:val="false"/>
          <w:color w:val="0000FF"/>
          <w:sz w:val="20"/>
          <w:u w:val="single"/>
        </w:rPr>
        <w:t>Inventory.</w:t>
      </w:r>
    </w:p>
    <w:p>
      <w:pPr>
        <w:pStyle w:val="TextBody"/>
        <w:spacing w:before="2" w:after="283"/>
        <w:rPr/>
      </w:pPr>
      <w:r>
        <w:rPr/>
      </w:r>
    </w:p>
    <w:p>
      <w:pPr>
        <w:pStyle w:val="TextBody"/>
        <w:spacing w:lineRule="auto" w:line="240" w:before="91" w:after="283"/>
        <w:ind w:left="0" w:right="0" w:hanging="720"/>
        <w:jc w:val="both"/>
        <w:rPr/>
      </w:pPr>
      <w:r>
        <w:rPr>
          <w:rFonts w:ascii="Times New Roman;sans-serif" w:hAnsi="Times New Roman;sans-serif"/>
          <w:b w:val="false"/>
          <w:color w:val="0000FF"/>
          <w:sz w:val="20"/>
        </w:rPr>
        <w:t>(f)</w:t>
      </w:r>
      <w:r>
        <w:rPr/>
        <w:drawing>
          <wp:inline distT="0" distB="63500" distL="0" distR="0">
            <wp:extent cx="4552950" cy="14605"/>
            <wp:effectExtent l="0" t="0" r="0" b="0"/>
            <wp:docPr id="253"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92" descr=""/>
                    <pic:cNvPicPr>
                      <a:picLocks noChangeAspect="1" noChangeArrowheads="1"/>
                    </pic:cNvPicPr>
                  </pic:nvPicPr>
                  <pic:blipFill>
                    <a:blip r:embed="rId98"/>
                    <a:stretch>
                      <a:fillRect/>
                    </a:stretch>
                  </pic:blipFill>
                  <pic:spPr bwMode="auto">
                    <a:xfrm>
                      <a:off x="0" y="0"/>
                      <a:ext cx="4552950" cy="14605"/>
                    </a:xfrm>
                    <a:prstGeom prst="rect">
                      <a:avLst/>
                    </a:prstGeom>
                  </pic:spPr>
                </pic:pic>
              </a:graphicData>
            </a:graphic>
          </wp:inline>
        </w:drawing>
      </w:r>
      <w:r>
        <w:rPr/>
        <w:drawing>
          <wp:inline distT="0" distB="63500" distL="0" distR="0">
            <wp:extent cx="14605" cy="723900"/>
            <wp:effectExtent l="0" t="0" r="0" b="0"/>
            <wp:docPr id="254"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3" descr=""/>
                    <pic:cNvPicPr>
                      <a:picLocks noChangeAspect="1" noChangeArrowheads="1"/>
                    </pic:cNvPicPr>
                  </pic:nvPicPr>
                  <pic:blipFill>
                    <a:blip r:embed="rId99"/>
                    <a:stretch>
                      <a:fillRect/>
                    </a:stretch>
                  </pic:blipFill>
                  <pic:spPr bwMode="auto">
                    <a:xfrm>
                      <a:off x="0" y="0"/>
                      <a:ext cx="14605" cy="723900"/>
                    </a:xfrm>
                    <a:prstGeom prst="rect">
                      <a:avLst/>
                    </a:prstGeom>
                  </pic:spPr>
                </pic:pic>
              </a:graphicData>
            </a:graphic>
          </wp:inline>
        </w:drawing>
      </w:r>
      <w:r>
        <w:rPr/>
        <w:drawing>
          <wp:inline distT="0" distB="63500" distL="0" distR="0">
            <wp:extent cx="5895975" cy="14605"/>
            <wp:effectExtent l="0" t="0" r="0" b="0"/>
            <wp:docPr id="25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94" descr=""/>
                    <pic:cNvPicPr>
                      <a:picLocks noChangeAspect="1" noChangeArrowheads="1"/>
                    </pic:cNvPicPr>
                  </pic:nvPicPr>
                  <pic:blipFill>
                    <a:blip r:embed="rId100"/>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5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95" descr=""/>
                    <pic:cNvPicPr>
                      <a:picLocks noChangeAspect="1" noChangeArrowheads="1"/>
                    </pic:cNvPicPr>
                  </pic:nvPicPr>
                  <pic:blipFill>
                    <a:blip r:embed="rId101"/>
                    <a:stretch>
                      <a:fillRect/>
                    </a:stretch>
                  </pic:blipFill>
                  <pic:spPr bwMode="auto">
                    <a:xfrm>
                      <a:off x="0" y="0"/>
                      <a:ext cx="5895975" cy="14605"/>
                    </a:xfrm>
                    <a:prstGeom prst="rect">
                      <a:avLst/>
                    </a:prstGeom>
                  </pic:spPr>
                </pic:pic>
              </a:graphicData>
            </a:graphic>
          </wp:inline>
        </w:drawing>
      </w:r>
      <w:r>
        <w:rPr/>
        <w:drawing>
          <wp:inline distT="0" distB="63500" distL="0" distR="0">
            <wp:extent cx="5924550" cy="14605"/>
            <wp:effectExtent l="0" t="0" r="0" b="0"/>
            <wp:docPr id="25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96" descr=""/>
                    <pic:cNvPicPr>
                      <a:picLocks noChangeAspect="1" noChangeArrowheads="1"/>
                    </pic:cNvPicPr>
                  </pic:nvPicPr>
                  <pic:blipFill>
                    <a:blip r:embed="rId102"/>
                    <a:stretch>
                      <a:fillRect/>
                    </a:stretch>
                  </pic:blipFill>
                  <pic:spPr bwMode="auto">
                    <a:xfrm>
                      <a:off x="0" y="0"/>
                      <a:ext cx="5924550" cy="14605"/>
                    </a:xfrm>
                    <a:prstGeom prst="rect">
                      <a:avLst/>
                    </a:prstGeom>
                  </pic:spPr>
                </pic:pic>
              </a:graphicData>
            </a:graphic>
          </wp:inline>
        </w:drawing>
      </w:r>
      <w:r>
        <w:rPr>
          <w:rFonts w:ascii="Times New Roman;sans-serif" w:hAnsi="Times New Roman;sans-serif"/>
          <w:b w:val="false"/>
          <w:color w:val="0000FF"/>
          <w:sz w:val="20"/>
          <w:u w:val="single"/>
        </w:rPr>
        <w:t>Verifications; Confirmations; Credit Quality; Notifications. Bank may, from time to time,</w:t>
      </w:r>
    </w:p>
    <w:p>
      <w:pPr>
        <w:pStyle w:val="TextBody"/>
        <w:spacing w:lineRule="auto" w:line="240" w:before="0" w:after="0"/>
        <w:jc w:val="both"/>
        <w:rPr/>
      </w:pPr>
      <w:r>
        <w:rPr>
          <w:rFonts w:ascii="Times New Roman;sans-serif" w:hAnsi="Times New Roman;sans-serif"/>
          <w:b w:val="false"/>
          <w:color w:val="0000FF"/>
          <w:sz w:val="20"/>
          <w:u w:val="single"/>
        </w:rPr>
        <w:t>(i) verify and confirm directly with the respective Account Debtors the validity, amount and other matters relating to</w:t>
      </w:r>
      <w:r>
        <w:rPr>
          <w:color w:val="0000FF"/>
        </w:rPr>
        <w:t xml:space="preserve"> </w:t>
      </w:r>
      <w:r>
        <w:rPr>
          <w:rFonts w:ascii="Times New Roman;sans-serif" w:hAnsi="Times New Roman;sans-serif"/>
          <w:b w:val="false"/>
          <w:color w:val="0000FF"/>
          <w:sz w:val="20"/>
          <w:u w:val="single"/>
        </w:rPr>
        <w:t>the Accounts, either in the name of Borrower or Bank or such other name as Bank may choose, and notify any</w:t>
      </w:r>
      <w:r>
        <w:rPr>
          <w:color w:val="0000FF"/>
        </w:rPr>
        <w:t xml:space="preserve"> </w:t>
      </w:r>
      <w:r>
        <w:rPr>
          <w:rFonts w:ascii="Times New Roman;sans-serif" w:hAnsi="Times New Roman;sans-serif"/>
          <w:b w:val="false"/>
          <w:color w:val="0000FF"/>
          <w:sz w:val="20"/>
          <w:u w:val="single"/>
        </w:rPr>
        <w:t>Account Debtor of Bank’s security interest in such Account and/or (ii) conduct a credit check of any Account Debtor</w:t>
      </w:r>
      <w:r>
        <w:rPr>
          <w:color w:val="0000FF"/>
        </w:rPr>
        <w:t xml:space="preserve"> </w:t>
      </w:r>
      <w:r>
        <w:rPr>
          <w:rFonts w:ascii="Times New Roman;sans-serif" w:hAnsi="Times New Roman;sans-serif"/>
          <w:b w:val="false"/>
          <w:color w:val="0000FF"/>
          <w:sz w:val="20"/>
          <w:u w:val="single"/>
        </w:rPr>
        <w:t>to approve any such Account Debtor’s credit.</w:t>
      </w:r>
    </w:p>
    <w:p>
      <w:pPr>
        <w:pStyle w:val="TextBody"/>
        <w:spacing w:before="3"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2251710"/>
                <wp:effectExtent l="0" t="0" r="0" b="0"/>
                <wp:wrapNone/>
                <wp:docPr id="258" name="Frame148"/>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5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7" descr=""/>
                                          <pic:cNvPicPr>
                                            <a:picLocks noChangeAspect="1" noChangeArrowheads="1"/>
                                          </pic:cNvPicPr>
                                        </pic:nvPicPr>
                                        <pic:blipFill>
                                          <a:blip r:embed="rId10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6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7" descr=""/>
                                    <pic:cNvPicPr>
                                      <a:picLocks noChangeAspect="1" noChangeArrowheads="1"/>
                                    </pic:cNvPicPr>
                                  </pic:nvPicPr>
                                  <pic:blipFill>
                                    <a:blip r:embed="rId10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ind w:left="0" w:right="0" w:firstLine="1440"/>
        <w:jc w:val="both"/>
        <w:rPr/>
      </w:pPr>
      <w:r>
        <w:rPr>
          <w:rFonts w:ascii="Times New Roman;sans-serif" w:hAnsi="Times New Roman;sans-serif"/>
          <w:b w:val="false"/>
          <w:color w:val="0000FF"/>
          <w:sz w:val="20"/>
        </w:rPr>
        <w:t>(g)</w:t>
      </w:r>
      <w:r>
        <w:rPr/>
        <w:drawing>
          <wp:inline distT="0" distB="63500" distL="0" distR="0">
            <wp:extent cx="14605" cy="1019175"/>
            <wp:effectExtent l="0" t="0" r="0" b="0"/>
            <wp:docPr id="26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98" descr=""/>
                    <pic:cNvPicPr>
                      <a:picLocks noChangeAspect="1" noChangeArrowheads="1"/>
                    </pic:cNvPicPr>
                  </pic:nvPicPr>
                  <pic:blipFill>
                    <a:blip r:embed="rId104"/>
                    <a:stretch>
                      <a:fillRect/>
                    </a:stretch>
                  </pic:blipFill>
                  <pic:spPr bwMode="auto">
                    <a:xfrm>
                      <a:off x="0" y="0"/>
                      <a:ext cx="14605" cy="1019175"/>
                    </a:xfrm>
                    <a:prstGeom prst="rect">
                      <a:avLst/>
                    </a:prstGeom>
                  </pic:spPr>
                </pic:pic>
              </a:graphicData>
            </a:graphic>
          </wp:inline>
        </w:drawing>
      </w:r>
      <w:r>
        <w:rPr>
          <w:rFonts w:ascii="Times New Roman;sans-serif" w:hAnsi="Times New Roman;sans-serif"/>
          <w:b w:val="false"/>
          <w:color w:val="0000FF"/>
          <w:sz w:val="20"/>
          <w:u w:val="single"/>
        </w:rPr>
        <w:t>No Liability. Bank shall not be responsible or liable for any shortage or discrepancy in,</w:t>
      </w:r>
      <w:r>
        <w:rPr>
          <w:color w:val="0000FF"/>
        </w:rPr>
        <w:t xml:space="preserve"> </w:t>
      </w:r>
      <w:r>
        <w:rPr>
          <w:rFonts w:ascii="Times New Roman;sans-serif" w:hAnsi="Times New Roman;sans-serif"/>
          <w:b w:val="false"/>
          <w:color w:val="0000FF"/>
          <w:sz w:val="20"/>
          <w:u w:val="single"/>
        </w:rPr>
        <w:t>damage to, or loss or destruction of, any goods, the sale or other disposition of which gives rise to an Account, or for</w:t>
      </w:r>
      <w:r>
        <w:rPr>
          <w:color w:val="0000FF"/>
        </w:rPr>
        <w:t xml:space="preserve"> </w:t>
      </w:r>
      <w:r>
        <w:rPr>
          <w:rFonts w:ascii="Times New Roman;sans-serif" w:hAnsi="Times New Roman;sans-serif"/>
          <w:b w:val="false"/>
          <w:color w:val="0000FF"/>
          <w:sz w:val="20"/>
          <w:u w:val="single"/>
        </w:rPr>
        <w:t>any error, act, omission, or delay of any kind occurring in the settlement, failure to settle, collection or failure to</w:t>
      </w:r>
      <w:r>
        <w:rPr>
          <w:color w:val="0000FF"/>
        </w:rPr>
        <w:t xml:space="preserve"> </w:t>
      </w:r>
      <w:r>
        <w:rPr>
          <w:rFonts w:ascii="Times New Roman;sans-serif" w:hAnsi="Times New Roman;sans-serif"/>
          <w:b w:val="false"/>
          <w:color w:val="0000FF"/>
          <w:sz w:val="20"/>
          <w:u w:val="single"/>
        </w:rPr>
        <w:t>collect any Account, or for settling any Account in good faith for less than the full amount thereof, nor shall Bank be</w:t>
      </w:r>
      <w:r>
        <w:rPr>
          <w:color w:val="0000FF"/>
        </w:rPr>
        <w:t xml:space="preserve"> </w:t>
      </w:r>
      <w:r>
        <w:rPr>
          <w:rFonts w:ascii="Times New Roman;sans-serif" w:hAnsi="Times New Roman;sans-serif"/>
          <w:b w:val="false"/>
          <w:color w:val="0000FF"/>
          <w:sz w:val="20"/>
          <w:u w:val="single"/>
        </w:rPr>
        <w:t>deemed to be responsible for any of Borrower’s obligations under any contract or agreement giving rise to an</w:t>
      </w:r>
      <w:r>
        <w:rPr>
          <w:color w:val="0000FF"/>
        </w:rPr>
        <w:t xml:space="preserve"> </w:t>
      </w:r>
      <w:r>
        <w:rPr>
          <w:rFonts w:ascii="Times New Roman;sans-serif" w:hAnsi="Times New Roman;sans-serif"/>
          <w:b w:val="false"/>
          <w:color w:val="0000FF"/>
          <w:sz w:val="20"/>
          <w:u w:val="single"/>
        </w:rPr>
        <w:t>Account. Nothing herein shall, however, relieve Bank from liability for its own gross negligence or willful</w:t>
      </w:r>
      <w:r>
        <w:rPr>
          <w:color w:val="0000FF"/>
        </w:rPr>
        <w:t xml:space="preserve"> </w:t>
      </w:r>
      <w:r>
        <w:rPr>
          <w:rFonts w:ascii="Times New Roman;sans-serif" w:hAnsi="Times New Roman;sans-serif"/>
          <w:b w:val="false"/>
          <w:color w:val="0000FF"/>
          <w:sz w:val="20"/>
          <w:u w:val="single"/>
        </w:rPr>
        <w:t>misconduct.</w:t>
      </w:r>
    </w:p>
    <w:p>
      <w:pPr>
        <w:pStyle w:val="TextBody"/>
        <w:spacing w:before="5" w:after="283"/>
        <w:rPr/>
      </w:pPr>
      <w:r>
        <w:rPr/>
      </w:r>
    </w:p>
    <w:p>
      <w:pPr>
        <w:pStyle w:val="TextBody"/>
        <w:spacing w:lineRule="auto" w:line="240" w:before="91" w:after="283"/>
        <w:ind w:left="0" w:right="0" w:firstLine="720"/>
        <w:jc w:val="both"/>
        <w:rPr/>
      </w:pPr>
      <w:r>
        <w:rPr>
          <w:rFonts w:ascii="Times New Roman;sans-serif" w:hAnsi="Times New Roman;sans-serif"/>
          <w:b/>
          <w:color w:val="0000FF"/>
          <w:sz w:val="20"/>
        </w:rPr>
        <w:t>5.5</w:t>
      </w:r>
      <w:r>
        <w:rPr/>
        <w:drawing>
          <wp:inline distT="0" distB="63500" distL="0" distR="0">
            <wp:extent cx="14605" cy="1752600"/>
            <wp:effectExtent l="0" t="0" r="0" b="0"/>
            <wp:docPr id="26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9" descr=""/>
                    <pic:cNvPicPr>
                      <a:picLocks noChangeAspect="1" noChangeArrowheads="1"/>
                    </pic:cNvPicPr>
                  </pic:nvPicPr>
                  <pic:blipFill>
                    <a:blip r:embed="rId105"/>
                    <a:stretch>
                      <a:fillRect/>
                    </a:stretch>
                  </pic:blipFill>
                  <pic:spPr bwMode="auto">
                    <a:xfrm>
                      <a:off x="0" y="0"/>
                      <a:ext cx="14605" cy="1752600"/>
                    </a:xfrm>
                    <a:prstGeom prst="rect">
                      <a:avLst/>
                    </a:prstGeom>
                  </pic:spPr>
                </pic:pic>
              </a:graphicData>
            </a:graphic>
          </wp:inline>
        </w:drawing>
      </w:r>
      <w:r>
        <w:rPr>
          <w:rFonts w:ascii="Times New Roman;sans-serif" w:hAnsi="Times New Roman;sans-serif"/>
          <w:b/>
          <w:color w:val="0000FF"/>
          <w:sz w:val="20"/>
          <w:u w:val="single"/>
        </w:rPr>
        <w:t xml:space="preserve">Remittance of Proceeds. </w:t>
      </w:r>
      <w:r>
        <w:rPr>
          <w:rFonts w:ascii="Times New Roman;sans-serif" w:hAnsi="Times New Roman;sans-serif"/>
          <w:b w:val="false"/>
          <w:color w:val="0000FF"/>
          <w:sz w:val="20"/>
          <w:u w:val="single"/>
        </w:rPr>
        <w:t>Except as otherwise provided in Section 5.4(c) and Section 7.1, deliver,</w:t>
      </w:r>
      <w:r>
        <w:rPr>
          <w:color w:val="0000FF"/>
        </w:rPr>
        <w:t xml:space="preserve"> </w:t>
      </w:r>
      <w:r>
        <w:rPr>
          <w:rFonts w:ascii="Times New Roman;sans-serif" w:hAnsi="Times New Roman;sans-serif"/>
          <w:b w:val="false"/>
          <w:color w:val="0000FF"/>
          <w:sz w:val="20"/>
          <w:u w:val="single"/>
        </w:rPr>
        <w:t>in kind, all proceeds arising from the disposition of any Collateral to Bank in the original form in which received by</w:t>
      </w:r>
      <w:r>
        <w:rPr>
          <w:color w:val="0000FF"/>
        </w:rPr>
        <w:t xml:space="preserve"> </w:t>
      </w:r>
      <w:r>
        <w:rPr>
          <w:rFonts w:ascii="Times New Roman;sans-serif" w:hAnsi="Times New Roman;sans-serif"/>
          <w:b w:val="false"/>
          <w:color w:val="0000FF"/>
          <w:sz w:val="20"/>
          <w:u w:val="single"/>
        </w:rPr>
        <w:t>Borrower not later than the following Business Day after receipt by Borrower, to be applied to the Obligations (a)</w:t>
      </w:r>
      <w:r>
        <w:rPr>
          <w:color w:val="0000FF"/>
        </w:rPr>
        <w:t xml:space="preserve"> </w:t>
      </w:r>
      <w:r>
        <w:rPr>
          <w:rFonts w:ascii="Times New Roman;sans-serif" w:hAnsi="Times New Roman;sans-serif"/>
          <w:b w:val="false"/>
          <w:color w:val="0000FF"/>
          <w:sz w:val="20"/>
          <w:u w:val="single"/>
        </w:rPr>
        <w:t>prior to an Event of Default, pursuant to the terms of Section 5.4(c) hereof, and (b) after the occurrence and during</w:t>
      </w:r>
      <w:r>
        <w:rPr>
          <w:color w:val="0000FF"/>
        </w:rPr>
        <w:t xml:space="preserve"> </w:t>
      </w:r>
      <w:r>
        <w:rPr>
          <w:rFonts w:ascii="Times New Roman;sans-serif" w:hAnsi="Times New Roman;sans-serif"/>
          <w:b w:val="false"/>
          <w:color w:val="0000FF"/>
          <w:sz w:val="20"/>
          <w:u w:val="single"/>
        </w:rPr>
        <w:t>the continuance of an Event of Default, pursuant to the terms of Section 8.4 hereof; provided that, if no Event of</w:t>
      </w:r>
      <w:r>
        <w:rPr>
          <w:color w:val="0000FF"/>
        </w:rPr>
        <w:t xml:space="preserve"> </w:t>
      </w:r>
      <w:r>
        <w:rPr>
          <w:rFonts w:ascii="Times New Roman;sans-serif" w:hAnsi="Times New Roman;sans-serif"/>
          <w:b w:val="false"/>
          <w:color w:val="0000FF"/>
          <w:sz w:val="20"/>
          <w:u w:val="single"/>
        </w:rPr>
        <w:t>Default has occurred and is continuing, Borrower shall not be obligated to remit to Bank the proceeds of the sale of</w:t>
      </w:r>
      <w:r>
        <w:rPr>
          <w:color w:val="0000FF"/>
        </w:rPr>
        <w:t xml:space="preserve"> </w:t>
      </w:r>
      <w:r>
        <w:rPr>
          <w:rFonts w:ascii="Times New Roman;sans-serif" w:hAnsi="Times New Roman;sans-serif"/>
          <w:b w:val="false"/>
          <w:color w:val="0000FF"/>
          <w:sz w:val="20"/>
          <w:u w:val="single"/>
        </w:rPr>
        <w:t>worn out or obsolete Equipment disposed of by Borrower in good faith in an arm’s length transaction for an</w:t>
      </w:r>
      <w:r>
        <w:rPr>
          <w:color w:val="0000FF"/>
        </w:rPr>
        <w:t xml:space="preserve"> </w:t>
      </w:r>
      <w:r>
        <w:rPr>
          <w:rFonts w:ascii="Times New Roman;sans-serif" w:hAnsi="Times New Roman;sans-serif"/>
          <w:b w:val="false"/>
          <w:color w:val="0000FF"/>
          <w:sz w:val="20"/>
          <w:u w:val="single"/>
        </w:rPr>
        <w:t>aggregate purchase price of One Hundred Thousand Dollars ($100,000) or less (for all such transactions in any</w:t>
      </w:r>
      <w:r>
        <w:rPr>
          <w:color w:val="0000FF"/>
        </w:rPr>
        <w:t xml:space="preserve"> </w:t>
      </w:r>
      <w:r>
        <w:rPr>
          <w:rFonts w:ascii="Times New Roman;sans-serif" w:hAnsi="Times New Roman;sans-serif"/>
          <w:b w:val="false"/>
          <w:color w:val="0000FF"/>
          <w:sz w:val="20"/>
          <w:u w:val="single"/>
        </w:rPr>
        <w:t>fiscal year). Borrower agrees that it will not commingle proceeds of Collateral with any of Borrower’s other funds</w:t>
      </w:r>
      <w:r>
        <w:rPr>
          <w:color w:val="0000FF"/>
        </w:rPr>
        <w:t xml:space="preserve"> </w:t>
      </w:r>
      <w:r>
        <w:rPr>
          <w:rFonts w:ascii="Times New Roman;sans-serif" w:hAnsi="Times New Roman;sans-serif"/>
          <w:b w:val="false"/>
          <w:color w:val="0000FF"/>
          <w:sz w:val="20"/>
          <w:u w:val="single"/>
        </w:rPr>
        <w:t>or property, but will hold such proceeds separate and apart from such other funds and property and in an express</w:t>
      </w:r>
      <w:r>
        <w:rPr>
          <w:color w:val="0000FF"/>
        </w:rPr>
        <w:t xml:space="preserve"> </w:t>
      </w:r>
      <w:r>
        <w:rPr>
          <w:rFonts w:ascii="Times New Roman;sans-serif" w:hAnsi="Times New Roman;sans-serif"/>
          <w:b w:val="false"/>
          <w:color w:val="0000FF"/>
          <w:sz w:val="20"/>
          <w:u w:val="single"/>
        </w:rPr>
        <w:t>trust for Bank. Nothing in this Section 5.5 limits the restrictions on disposition of Collateral set forth elsewhere in</w:t>
      </w:r>
      <w:r>
        <w:rPr>
          <w:color w:val="0000FF"/>
        </w:rPr>
        <w:t xml:space="preserve"> </w:t>
      </w:r>
      <w:r>
        <w:rPr>
          <w:rFonts w:ascii="Times New Roman;sans-serif" w:hAnsi="Times New Roman;sans-serif"/>
          <w:b w:val="false"/>
          <w:color w:val="0000FF"/>
          <w:sz w:val="20"/>
          <w:u w:val="single"/>
        </w:rPr>
        <w:t>this Agreement.</w:t>
      </w:r>
    </w:p>
    <w:p>
      <w:pPr>
        <w:pStyle w:val="TextBody"/>
        <w:spacing w:before="7" w:after="283"/>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5.6Taxes; Pensions.</w:t>
      </w:r>
    </w:p>
    <w:p>
      <w:pPr>
        <w:pStyle w:val="TextBody"/>
        <w:spacing w:before="10" w:after="283"/>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(a)Timely file, and require each of its Subsidiaries to timely file (in each case, unless subject to a valid extension), all required tax returns and reports and timely pay, and require each of its Subsidiaries to</w:t>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timely pay, or file extensions for, all foreign, federal, state and local taxes, assessments, deposits and contributions owed by Borrower and each of its Subsidiaries, except for (deferred payment of any taxes contested pursuant to the terms of Section 4.9(a) hereof, and shall deliver to Bank, on demand, appropriate certificates attesting to such payments, and pay, and require each of its Subsidiaries to pay, all amounts necessary to fund all present pension, profit sharing and deferred compensation plans in accordance with their terms.</w:t>
      </w:r>
    </w:p>
    <w:p>
      <w:pPr>
        <w:pStyle w:val="TextBody"/>
        <w:spacing w:before="0" w:after="0"/>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(b)To the extent Borrower or any of its Subsidiaries defers payment of any contested taxes in excess of Fifty Thousand Dollars ($50,000),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w:t>
      </w:r>
    </w:p>
    <w:p>
      <w:pPr>
        <w:pStyle w:val="TextBody"/>
        <w:spacing w:before="3"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2251710"/>
                <wp:effectExtent l="0" t="0" r="0" b="0"/>
                <wp:wrapNone/>
                <wp:docPr id="263" name="Frame149"/>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6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00" descr=""/>
                                          <pic:cNvPicPr>
                                            <a:picLocks noChangeAspect="1" noChangeArrowheads="1"/>
                                          </pic:cNvPicPr>
                                        </pic:nvPicPr>
                                        <pic:blipFill>
                                          <a:blip r:embed="rId10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6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00" descr=""/>
                                    <pic:cNvPicPr>
                                      <a:picLocks noChangeAspect="1" noChangeArrowheads="1"/>
                                    </pic:cNvPicPr>
                                  </pic:nvPicPr>
                                  <pic:blipFill>
                                    <a:blip r:embed="rId10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720"/>
        <w:jc w:val="both"/>
        <w:rPr/>
      </w:pPr>
      <w:r>
        <w:rPr>
          <w:rFonts w:ascii="Times New Roman;sans-serif" w:hAnsi="Times New Roman;sans-serif"/>
          <w:b/>
          <w:color w:val="000000"/>
          <w:sz w:val="20"/>
        </w:rPr>
        <w:t>5.7</w:t>
      </w:r>
      <w:r>
        <w:rPr/>
        <w:drawing>
          <wp:inline distT="0" distB="63500" distL="0" distR="0">
            <wp:extent cx="14605" cy="142875"/>
            <wp:effectExtent l="0" t="0" r="0" b="0"/>
            <wp:docPr id="26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01" descr=""/>
                    <pic:cNvPicPr>
                      <a:picLocks noChangeAspect="1" noChangeArrowheads="1"/>
                    </pic:cNvPicPr>
                  </pic:nvPicPr>
                  <pic:blipFill>
                    <a:blip r:embed="rId107"/>
                    <a:stretch>
                      <a:fillRect/>
                    </a:stretch>
                  </pic:blipFill>
                  <pic:spPr bwMode="auto">
                    <a:xfrm>
                      <a:off x="0" y="0"/>
                      <a:ext cx="14605" cy="142875"/>
                    </a:xfrm>
                    <a:prstGeom prst="rect">
                      <a:avLst/>
                    </a:prstGeom>
                  </pic:spPr>
                </pic:pic>
              </a:graphicData>
            </a:graphic>
          </wp:inline>
        </w:drawing>
      </w:r>
      <w:r>
        <w:rPr/>
        <w:drawing>
          <wp:inline distT="0" distB="63500" distL="0" distR="0">
            <wp:extent cx="14605" cy="1162050"/>
            <wp:effectExtent l="0" t="0" r="0" b="0"/>
            <wp:docPr id="26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02" descr=""/>
                    <pic:cNvPicPr>
                      <a:picLocks noChangeAspect="1" noChangeArrowheads="1"/>
                    </pic:cNvPicPr>
                  </pic:nvPicPr>
                  <pic:blipFill>
                    <a:blip r:embed="rId108"/>
                    <a:stretch>
                      <a:fillRect/>
                    </a:stretch>
                  </pic:blipFill>
                  <pic:spPr bwMode="auto">
                    <a:xfrm>
                      <a:off x="0" y="0"/>
                      <a:ext cx="14605" cy="1162050"/>
                    </a:xfrm>
                    <a:prstGeom prst="rect">
                      <a:avLst/>
                    </a:prstGeom>
                  </pic:spPr>
                </pic:pic>
              </a:graphicData>
            </a:graphic>
          </wp:inline>
        </w:drawing>
      </w:r>
      <w:r>
        <w:rPr/>
        <w:drawing>
          <wp:inline distT="0" distB="63500" distL="0" distR="0">
            <wp:extent cx="5895975" cy="14605"/>
            <wp:effectExtent l="0" t="0" r="0" b="0"/>
            <wp:docPr id="26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03" descr=""/>
                    <pic:cNvPicPr>
                      <a:picLocks noChangeAspect="1" noChangeArrowheads="1"/>
                    </pic:cNvPicPr>
                  </pic:nvPicPr>
                  <pic:blipFill>
                    <a:blip r:embed="rId109"/>
                    <a:stretch>
                      <a:fillRect/>
                    </a:stretch>
                  </pic:blipFill>
                  <pic:spPr bwMode="auto">
                    <a:xfrm>
                      <a:off x="0" y="0"/>
                      <a:ext cx="5895975" cy="14605"/>
                    </a:xfrm>
                    <a:prstGeom prst="rect">
                      <a:avLst/>
                    </a:prstGeom>
                  </pic:spPr>
                </pic:pic>
              </a:graphicData>
            </a:graphic>
          </wp:inline>
        </w:drawing>
      </w:r>
      <w:r>
        <w:rPr/>
        <w:drawing>
          <wp:inline distT="0" distB="63500" distL="0" distR="0">
            <wp:extent cx="5924550" cy="14605"/>
            <wp:effectExtent l="0" t="0" r="0" b="0"/>
            <wp:docPr id="26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04" descr=""/>
                    <pic:cNvPicPr>
                      <a:picLocks noChangeAspect="1" noChangeArrowheads="1"/>
                    </pic:cNvPicPr>
                  </pic:nvPicPr>
                  <pic:blipFill>
                    <a:blip r:embed="rId110"/>
                    <a:stretch>
                      <a:fillRect/>
                    </a:stretch>
                  </pic:blipFill>
                  <pic:spPr bwMode="auto">
                    <a:xfrm>
                      <a:off x="0" y="0"/>
                      <a:ext cx="5924550" cy="14605"/>
                    </a:xfrm>
                    <a:prstGeom prst="rect">
                      <a:avLst/>
                    </a:prstGeom>
                  </pic:spPr>
                </pic:pic>
              </a:graphicData>
            </a:graphic>
          </wp:inline>
        </w:drawing>
      </w:r>
      <w:r>
        <w:rPr>
          <w:rFonts w:ascii="Times New Roman;sans-serif" w:hAnsi="Times New Roman;sans-serif"/>
          <w:b/>
          <w:color w:val="000000"/>
          <w:sz w:val="20"/>
        </w:rPr>
        <w:t xml:space="preserve">Access to Collateral; Books and Records. </w:t>
      </w:r>
      <w:r>
        <w:rPr>
          <w:rFonts w:ascii="Times New Roman;sans-serif" w:hAnsi="Times New Roman;sans-serif"/>
          <w:b w:val="false"/>
          <w:color w:val="000000"/>
          <w:sz w:val="20"/>
        </w:rPr>
        <w:t xml:space="preserve">At reasonable times, on </w:t>
      </w:r>
      <w:r>
        <w:rPr>
          <w:rFonts w:ascii="Times New Roman;sans-serif" w:hAnsi="Times New Roman;sans-serif"/>
          <w:b w:val="false"/>
          <w:strike/>
          <w:color w:val="FF0000"/>
          <w:sz w:val="20"/>
        </w:rPr>
        <w:t>three</w:t>
      </w:r>
      <w:r>
        <w:rPr>
          <w:rFonts w:ascii="Times New Roman;sans-serif" w:hAnsi="Times New Roman;sans-serif"/>
          <w:b w:val="false"/>
          <w:color w:val="0000FF"/>
          <w:sz w:val="20"/>
          <w:u w:val="single"/>
        </w:rPr>
        <w:t>five</w:t>
      </w:r>
      <w:r>
        <w:rPr>
          <w:color w:val="0000FF"/>
        </w:rPr>
        <w:t xml:space="preserve"> </w:t>
      </w:r>
      <w:r>
        <w:rPr>
          <w:rFonts w:ascii="Times New Roman;sans-serif" w:hAnsi="Times New Roman;sans-serif"/>
          <w:b w:val="false"/>
          <w:color w:val="000000"/>
          <w:sz w:val="20"/>
        </w:rPr>
        <w:t>(</w:t>
      </w:r>
      <w:r>
        <w:rPr>
          <w:rFonts w:ascii="Times New Roman;sans-serif" w:hAnsi="Times New Roman;sans-serif"/>
          <w:b w:val="false"/>
          <w:strike/>
          <w:color w:val="FF0000"/>
          <w:sz w:val="20"/>
        </w:rPr>
        <w:t>3)</w:t>
      </w:r>
      <w:r>
        <w:rPr>
          <w:rFonts w:ascii="Times New Roman;sans-serif" w:hAnsi="Times New Roman;sans-serif"/>
          <w:b w:val="false"/>
          <w:color w:val="0000FF"/>
          <w:sz w:val="20"/>
          <w:u w:val="single"/>
        </w:rPr>
        <w:t>5</w:t>
      </w:r>
      <w:r>
        <w:rPr>
          <w:rFonts w:ascii="Times New Roman;sans-serif" w:hAnsi="Times New Roman;sans-serif"/>
          <w:b w:val="false"/>
          <w:color w:val="000000"/>
          <w:sz w:val="20"/>
        </w:rPr>
        <w:t xml:space="preserve">) Business Days’ notice (provided no notice is required if an Event of Default has occurred and is continuing), Bank, or its agents, shall have the right to inspect the Collateral and the right to audit and copy Borrower’s Books. </w:t>
      </w:r>
      <w:r>
        <w:rPr>
          <w:rFonts w:ascii="Times New Roman;sans-serif" w:hAnsi="Times New Roman;sans-serif"/>
          <w:b w:val="false"/>
          <w:strike/>
          <w:color w:val="FF0000"/>
          <w:sz w:val="20"/>
        </w:rPr>
        <w:t>Such</w:t>
      </w:r>
      <w:r>
        <w:rPr>
          <w:rFonts w:ascii="Times New Roman;sans-serif" w:hAnsi="Times New Roman;sans-serif"/>
          <w:b w:val="false"/>
          <w:color w:val="0000FF"/>
          <w:sz w:val="20"/>
          <w:u w:val="single"/>
        </w:rPr>
        <w:t>The</w:t>
      </w:r>
      <w:r>
        <w:rPr>
          <w:color w:val="0000FF"/>
        </w:rPr>
        <w:t xml:space="preserve"> </w:t>
      </w:r>
      <w:r>
        <w:rPr>
          <w:rFonts w:ascii="Times New Roman;sans-serif" w:hAnsi="Times New Roman;sans-serif"/>
          <w:b w:val="false"/>
          <w:color w:val="0000FF"/>
          <w:sz w:val="20"/>
          <w:u w:val="single"/>
        </w:rPr>
        <w:t>Initial Audit shall be completed within ninety (90) days after the First Amendment Effective Date, and Borrower</w:t>
      </w:r>
      <w:r>
        <w:rPr>
          <w:color w:val="0000FF"/>
        </w:rPr>
        <w:t xml:space="preserve"> </w:t>
      </w:r>
      <w:r>
        <w:rPr>
          <w:rFonts w:ascii="Times New Roman;sans-serif" w:hAnsi="Times New Roman;sans-serif"/>
          <w:b w:val="false"/>
          <w:color w:val="0000FF"/>
          <w:sz w:val="20"/>
          <w:u w:val="single"/>
        </w:rPr>
        <w:t>shall cooperate with Bank in order to timely complete same. Thereafter, (i) when Streamline Period is in effect, such</w:t>
      </w:r>
      <w:r>
        <w:rPr>
          <w:color w:val="0000FF"/>
        </w:rPr>
        <w:t xml:space="preserve"> </w:t>
      </w:r>
      <w:r>
        <w:rPr>
          <w:rFonts w:ascii="Times New Roman;sans-serif" w:hAnsi="Times New Roman;sans-serif"/>
          <w:b w:val="false"/>
          <w:color w:val="000000"/>
          <w:sz w:val="20"/>
        </w:rPr>
        <w:t xml:space="preserve">inspections and audits shall be conducted </w:t>
      </w:r>
      <w:r>
        <w:rPr>
          <w:rFonts w:ascii="Times New Roman;sans-serif" w:hAnsi="Times New Roman;sans-serif"/>
          <w:b w:val="false"/>
          <w:strike/>
          <w:color w:val="FF0000"/>
          <w:sz w:val="20"/>
        </w:rPr>
        <w:t>during Borrower’s business hours</w:t>
      </w:r>
      <w:r>
        <w:rPr>
          <w:color w:val="FF0000"/>
        </w:rPr>
        <w:t xml:space="preserve"> </w:t>
      </w:r>
      <w:r>
        <w:rPr>
          <w:rFonts w:ascii="Times New Roman;sans-serif" w:hAnsi="Times New Roman;sans-serif"/>
          <w:b w:val="false"/>
          <w:color w:val="000000"/>
          <w:sz w:val="20"/>
        </w:rPr>
        <w:t>no more often than once every twelve</w:t>
      </w:r>
    </w:p>
    <w:p>
      <w:pPr>
        <w:pStyle w:val="TextBody"/>
        <w:spacing w:lineRule="auto" w:line="240" w:before="3" w:after="283"/>
        <w:jc w:val="both"/>
        <w:rPr/>
      </w:pPr>
      <w:r>
        <w:rPr/>
        <w:drawing>
          <wp:inline distT="0" distB="63500" distL="0" distR="0">
            <wp:extent cx="5895975" cy="14605"/>
            <wp:effectExtent l="0" t="0" r="0" b="0"/>
            <wp:docPr id="27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05" descr=""/>
                    <pic:cNvPicPr>
                      <a:picLocks noChangeAspect="1" noChangeArrowheads="1"/>
                    </pic:cNvPicPr>
                  </pic:nvPicPr>
                  <pic:blipFill>
                    <a:blip r:embed="rId111"/>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7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06" descr=""/>
                    <pic:cNvPicPr>
                      <a:picLocks noChangeAspect="1" noChangeArrowheads="1"/>
                    </pic:cNvPicPr>
                  </pic:nvPicPr>
                  <pic:blipFill>
                    <a:blip r:embed="rId112"/>
                    <a:stretch>
                      <a:fillRect/>
                    </a:stretch>
                  </pic:blipFill>
                  <pic:spPr bwMode="auto">
                    <a:xfrm>
                      <a:off x="0" y="0"/>
                      <a:ext cx="5895975" cy="14605"/>
                    </a:xfrm>
                    <a:prstGeom prst="rect">
                      <a:avLst/>
                    </a:prstGeom>
                  </pic:spPr>
                </pic:pic>
              </a:graphicData>
            </a:graphic>
          </wp:inline>
        </w:drawing>
      </w:r>
      <w:r>
        <w:rPr>
          <w:rFonts w:ascii="Times New Roman;sans-serif" w:hAnsi="Times New Roman;sans-serif"/>
          <w:b w:val="false"/>
          <w:color w:val="000000"/>
          <w:sz w:val="20"/>
        </w:rPr>
        <w:t>(12) months</w:t>
      </w:r>
      <w:r>
        <w:rPr>
          <w:rFonts w:ascii="Times New Roman;sans-serif" w:hAnsi="Times New Roman;sans-serif"/>
          <w:b w:val="false"/>
          <w:color w:val="0000FF"/>
          <w:sz w:val="20"/>
          <w:u w:val="single"/>
        </w:rPr>
        <w:t>, unless an Event of Default has occurred and is continuing, in which case such inspections and audits</w:t>
      </w:r>
      <w:r>
        <w:rPr>
          <w:color w:val="0000FF"/>
        </w:rPr>
        <w:t xml:space="preserve"> </w:t>
      </w:r>
      <w:r>
        <w:rPr>
          <w:rFonts w:ascii="Times New Roman;sans-serif" w:hAnsi="Times New Roman;sans-serif"/>
          <w:b w:val="false"/>
          <w:color w:val="0000FF"/>
          <w:sz w:val="20"/>
          <w:u w:val="single"/>
        </w:rPr>
        <w:t>shall occur as often as Bank shall determine is necessary and (ii) when Streamline Period is not in effect, such</w:t>
      </w:r>
      <w:r>
        <w:rPr>
          <w:color w:val="0000FF"/>
        </w:rPr>
        <w:t xml:space="preserve"> </w:t>
      </w:r>
      <w:r>
        <w:rPr>
          <w:rFonts w:ascii="Times New Roman;sans-serif" w:hAnsi="Times New Roman;sans-serif"/>
          <w:b w:val="false"/>
          <w:color w:val="0000FF"/>
          <w:sz w:val="20"/>
          <w:u w:val="single"/>
        </w:rPr>
        <w:t>inspections and audits shall be conducted no more often than once every six (6) months (or as frequently as Bank</w:t>
      </w:r>
      <w:r>
        <w:rPr>
          <w:color w:val="0000FF"/>
        </w:rPr>
        <w:t xml:space="preserve"> </w:t>
      </w:r>
      <w:r>
        <w:rPr>
          <w:rFonts w:ascii="Times New Roman;sans-serif" w:hAnsi="Times New Roman;sans-serif"/>
          <w:b w:val="false"/>
          <w:color w:val="0000FF"/>
          <w:sz w:val="20"/>
          <w:u w:val="single"/>
        </w:rPr>
        <w:t>determines in its sole discretion that conditions warrant)</w:t>
      </w:r>
      <w:r>
        <w:rPr>
          <w:rFonts w:ascii="Times New Roman;sans-serif" w:hAnsi="Times New Roman;sans-serif"/>
          <w:b w:val="false"/>
          <w:color w:val="000000"/>
          <w:sz w:val="20"/>
        </w:rPr>
        <w:t>,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plus reasonable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plus any out-of-pocket expenses incurred by Bank to compensate Bank for the anticipated costs and expenses of the cancellation or rescheduling.</w:t>
      </w:r>
    </w:p>
    <w:p>
      <w:pPr>
        <w:pStyle w:val="TextBody"/>
        <w:spacing w:before="6"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5.8Insurance.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w:t>
      </w:r>
    </w:p>
    <w:p>
      <w:pPr>
        <w:pStyle w:val="TextBody"/>
        <w:spacing w:before="0" w:after="0"/>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(b)All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w:t>
      </w:r>
    </w:p>
    <w:p>
      <w:pPr>
        <w:pStyle w:val="TextBody"/>
        <w:spacing w:before="0" w:after="0"/>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(c)Ensure that proceeds payable under any property policy are, at Bank’s option, payable to Bank on account of the Obligations. Notwithstanding the foregoing, (a) so long as no Event of Default has occurred and is continuing, Borrower shall have the option of applying the proceeds of any casualty policy up to One Million Dollars ($1,000,000)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Bank has been granted a first priority security interest, and (b) after the occurrence and during the continuance of an Event of Default, all proceeds payable under such casualty policy shall, at the option of Bank, be payable to Bank on account of the Obligations.</w:t>
      </w:r>
    </w:p>
    <w:p>
      <w:pPr>
        <w:pStyle w:val="TextBody"/>
        <w:spacing w:before="6"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(d)At Bank’s request, Borrower shall deliver certified copies of insurance policies and evidence of all premium payments. Each provider of any such insurance required under this Section </w:t>
      </w:r>
      <w:r>
        <w:rPr>
          <w:rFonts w:ascii="Times New Roman;sans-serif" w:hAnsi="Times New Roman;sans-serif"/>
          <w:b w:val="false"/>
          <w:strike/>
          <w:color w:val="000000"/>
          <w:sz w:val="20"/>
        </w:rPr>
        <w:t>5.8</w:t>
      </w:r>
      <w:r>
        <w:rPr>
          <w:rFonts w:ascii="Times New Roman;sans-serif" w:hAnsi="Times New Roman;sans-serif"/>
          <w:b w:val="false"/>
          <w:color w:val="000000"/>
          <w:sz w:val="20"/>
        </w:rPr>
        <w:t>6.5 shall agree, by endorsement upon the policy or policies issued by it or by independent instruments furnished to Bank, that it will give Bank twenty (20) days (or ten (10) days’ prior written notice in the event of cancellation due to non-payment of premium) prior written notice before any such policy or policies shall be materially altered or canceled. If Borrower fails to obtain insurance as required under this Section 5.8 or to pay any amount or furnish any required proof of payment to third persons and Bank, Bank may make all or part of such payment or obtain such insurance policies required in this Section 5.8, and take any action under the policies Bank deems prudent.</w:t>
      </w:r>
    </w:p>
    <w:p>
      <w:pPr>
        <w:pStyle w:val="TextBody"/>
        <w:spacing w:before="4"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5.9Accounts.</w:t>
      </w:r>
    </w:p>
    <w:p>
      <w:pPr>
        <w:pStyle w:val="TextBody"/>
        <w:spacing w:before="10"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2251710"/>
                <wp:effectExtent l="0" t="0" r="0" b="0"/>
                <wp:wrapNone/>
                <wp:docPr id="272" name="Frame150"/>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7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07" descr=""/>
                                          <pic:cNvPicPr>
                                            <a:picLocks noChangeAspect="1" noChangeArrowheads="1"/>
                                          </pic:cNvPicPr>
                                        </pic:nvPicPr>
                                        <pic:blipFill>
                                          <a:blip r:embed="rId11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7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07" descr=""/>
                                    <pic:cNvPicPr>
                                      <a:picLocks noChangeAspect="1" noChangeArrowheads="1"/>
                                    </pic:cNvPicPr>
                                  </pic:nvPicPr>
                                  <pic:blipFill>
                                    <a:blip r:embed="rId11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1440"/>
        <w:jc w:val="both"/>
        <w:rPr/>
      </w:pPr>
      <w:r>
        <w:rPr>
          <w:rFonts w:ascii="Times New Roman;sans-serif" w:hAnsi="Times New Roman;sans-serif"/>
          <w:b w:val="false"/>
          <w:color w:val="000000"/>
          <w:sz w:val="20"/>
        </w:rPr>
        <w:t>(a)Maintain all of Borrower’s, any of its Subsidiaries’, and any Guarantor’s operating accounts, depository accounts and excess cash with Bank or Bank’s Affiliates, other than Borrower’s Foreign Subsidiaries may maintain accounts with third parties other than Bank, provided the aggregate value of such accounts is subject to the terms of Section 6.11 (collectively the “</w:t>
      </w:r>
      <w:r>
        <w:rPr>
          <w:rFonts w:ascii="Times New Roman;sans-serif" w:hAnsi="Times New Roman;sans-serif"/>
          <w:b/>
          <w:color w:val="000000"/>
          <w:sz w:val="20"/>
        </w:rPr>
        <w:t>Permitted Foreign Subsidiary Accounts</w:t>
      </w:r>
      <w:r>
        <w:rPr>
          <w:color w:val="000000"/>
        </w:rPr>
        <w: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(b)In addition to the foregoing, Borrower, any Subsidiary of Borrower and any Guarantor, shall obtain any business credit card, Letter of Credit, FX Contract, and cash management services exclusively from Bank, except (i) third party credit cards, as permitted in the defined term “Permitted Indebtedness” part (g); (ii) Borrower’s Foreign Subsidiaries may maintain the foregoing bank services with third parties other than Bank, (iii) to the extent that Bank does not have such services in foreign locations, Borrower and its Subsidiaries may maintain the foregoing foreign banking services with third parties other than Bank, and (iv) Borrower may maintain and permit to exist online payment processors used in the ordinary course of business with third parties other than Bank.</w:t>
      </w:r>
    </w:p>
    <w:p>
      <w:pPr>
        <w:pStyle w:val="TextBody"/>
        <w:spacing w:before="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and (ii) the Permitted Foreign Subsidiary Accounts.</w:t>
      </w:r>
    </w:p>
    <w:p>
      <w:pPr>
        <w:pStyle w:val="TextBody"/>
        <w:spacing w:before="5" w:after="283"/>
        <w:rPr/>
      </w:pPr>
      <w:r>
        <w:rPr/>
      </w:r>
    </w:p>
    <w:p>
      <w:pPr>
        <w:pStyle w:val="TextBody"/>
        <w:spacing w:lineRule="auto" w:line="240" w:before="8" w:after="283"/>
        <w:ind w:left="0" w:right="0" w:firstLine="720"/>
        <w:jc w:val="both"/>
        <w:rPr/>
      </w:pPr>
      <w:r>
        <w:rPr>
          <w:rFonts w:ascii="Times New Roman;sans-serif" w:hAnsi="Times New Roman;sans-serif"/>
          <w:b w:val="false"/>
          <w:color w:val="000000"/>
          <w:sz w:val="13"/>
        </w:rPr>
        <w:t>5.10</w:t>
      </w:r>
      <w:r>
        <w:rPr/>
        <w:drawing>
          <wp:inline distT="0" distB="63500" distL="0" distR="0">
            <wp:extent cx="14605" cy="2047875"/>
            <wp:effectExtent l="0" t="0" r="0" b="0"/>
            <wp:docPr id="27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08" descr=""/>
                    <pic:cNvPicPr>
                      <a:picLocks noChangeAspect="1" noChangeArrowheads="1"/>
                    </pic:cNvPicPr>
                  </pic:nvPicPr>
                  <pic:blipFill>
                    <a:blip r:embed="rId114"/>
                    <a:stretch>
                      <a:fillRect/>
                    </a:stretch>
                  </pic:blipFill>
                  <pic:spPr bwMode="auto">
                    <a:xfrm>
                      <a:off x="0" y="0"/>
                      <a:ext cx="14605" cy="2047875"/>
                    </a:xfrm>
                    <a:prstGeom prst="rect">
                      <a:avLst/>
                    </a:prstGeom>
                  </pic:spPr>
                </pic:pic>
              </a:graphicData>
            </a:graphic>
          </wp:inline>
        </w:drawing>
      </w:r>
      <w:r>
        <w:rPr/>
        <w:drawing>
          <wp:inline distT="0" distB="63500" distL="0" distR="0">
            <wp:extent cx="5895975" cy="14605"/>
            <wp:effectExtent l="0" t="0" r="0" b="0"/>
            <wp:docPr id="27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09" descr=""/>
                    <pic:cNvPicPr>
                      <a:picLocks noChangeAspect="1" noChangeArrowheads="1"/>
                    </pic:cNvPicPr>
                  </pic:nvPicPr>
                  <pic:blipFill>
                    <a:blip r:embed="rId115"/>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7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10" descr=""/>
                    <pic:cNvPicPr>
                      <a:picLocks noChangeAspect="1" noChangeArrowheads="1"/>
                    </pic:cNvPicPr>
                  </pic:nvPicPr>
                  <pic:blipFill>
                    <a:blip r:embed="rId116"/>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7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11" descr=""/>
                    <pic:cNvPicPr>
                      <a:picLocks noChangeAspect="1" noChangeArrowheads="1"/>
                    </pic:cNvPicPr>
                  </pic:nvPicPr>
                  <pic:blipFill>
                    <a:blip r:embed="rId117"/>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7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12" descr=""/>
                    <pic:cNvPicPr>
                      <a:picLocks noChangeAspect="1" noChangeArrowheads="1"/>
                    </pic:cNvPicPr>
                  </pic:nvPicPr>
                  <pic:blipFill>
                    <a:blip r:embed="rId118"/>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8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3" descr=""/>
                    <pic:cNvPicPr>
                      <a:picLocks noChangeAspect="1" noChangeArrowheads="1"/>
                    </pic:cNvPicPr>
                  </pic:nvPicPr>
                  <pic:blipFill>
                    <a:blip r:embed="rId119"/>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8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14" descr=""/>
                    <pic:cNvPicPr>
                      <a:picLocks noChangeAspect="1" noChangeArrowheads="1"/>
                    </pic:cNvPicPr>
                  </pic:nvPicPr>
                  <pic:blipFill>
                    <a:blip r:embed="rId120"/>
                    <a:stretch>
                      <a:fillRect/>
                    </a:stretch>
                  </pic:blipFill>
                  <pic:spPr bwMode="auto">
                    <a:xfrm>
                      <a:off x="0" y="0"/>
                      <a:ext cx="5895975" cy="14605"/>
                    </a:xfrm>
                    <a:prstGeom prst="rect">
                      <a:avLst/>
                    </a:prstGeom>
                  </pic:spPr>
                </pic:pic>
              </a:graphicData>
            </a:graphic>
          </wp:inline>
        </w:drawing>
      </w:r>
      <w:r>
        <w:rPr/>
        <w:drawing>
          <wp:inline distT="0" distB="63500" distL="0" distR="0">
            <wp:extent cx="5924550" cy="14605"/>
            <wp:effectExtent l="0" t="0" r="0" b="0"/>
            <wp:docPr id="28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15" descr=""/>
                    <pic:cNvPicPr>
                      <a:picLocks noChangeAspect="1" noChangeArrowheads="1"/>
                    </pic:cNvPicPr>
                  </pic:nvPicPr>
                  <pic:blipFill>
                    <a:blip r:embed="rId121"/>
                    <a:stretch>
                      <a:fillRect/>
                    </a:stretch>
                  </pic:blipFill>
                  <pic:spPr bwMode="auto">
                    <a:xfrm>
                      <a:off x="0" y="0"/>
                      <a:ext cx="5924550" cy="14605"/>
                    </a:xfrm>
                    <a:prstGeom prst="rect">
                      <a:avLst/>
                    </a:prstGeom>
                  </pic:spPr>
                </pic:pic>
              </a:graphicData>
            </a:graphic>
          </wp:inline>
        </w:drawing>
      </w:r>
      <w:r>
        <w:rPr/>
        <w:drawing>
          <wp:inline distT="0" distB="63500" distL="0" distR="0">
            <wp:extent cx="5895975" cy="14605"/>
            <wp:effectExtent l="0" t="0" r="0" b="0"/>
            <wp:docPr id="28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16" descr=""/>
                    <pic:cNvPicPr>
                      <a:picLocks noChangeAspect="1" noChangeArrowheads="1"/>
                    </pic:cNvPicPr>
                  </pic:nvPicPr>
                  <pic:blipFill>
                    <a:blip r:embed="rId122"/>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8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17" descr=""/>
                    <pic:cNvPicPr>
                      <a:picLocks noChangeAspect="1" noChangeArrowheads="1"/>
                    </pic:cNvPicPr>
                  </pic:nvPicPr>
                  <pic:blipFill>
                    <a:blip r:embed="rId123"/>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8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18" descr=""/>
                    <pic:cNvPicPr>
                      <a:picLocks noChangeAspect="1" noChangeArrowheads="1"/>
                    </pic:cNvPicPr>
                  </pic:nvPicPr>
                  <pic:blipFill>
                    <a:blip r:embed="rId124"/>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8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19" descr=""/>
                    <pic:cNvPicPr>
                      <a:picLocks noChangeAspect="1" noChangeArrowheads="1"/>
                    </pic:cNvPicPr>
                  </pic:nvPicPr>
                  <pic:blipFill>
                    <a:blip r:embed="rId125"/>
                    <a:stretch>
                      <a:fillRect/>
                    </a:stretch>
                  </pic:blipFill>
                  <pic:spPr bwMode="auto">
                    <a:xfrm>
                      <a:off x="0" y="0"/>
                      <a:ext cx="5895975" cy="14605"/>
                    </a:xfrm>
                    <a:prstGeom prst="rect">
                      <a:avLst/>
                    </a:prstGeom>
                  </pic:spPr>
                </pic:pic>
              </a:graphicData>
            </a:graphic>
          </wp:inline>
        </w:drawing>
      </w:r>
      <w:r>
        <w:rPr>
          <w:rFonts w:ascii="Times New Roman;sans-serif" w:hAnsi="Times New Roman;sans-serif"/>
          <w:b/>
          <w:strike/>
          <w:color w:val="FF0000"/>
          <w:sz w:val="20"/>
        </w:rPr>
        <w:t>Reserved.</w:t>
      </w:r>
      <w:r>
        <w:rPr>
          <w:rFonts w:ascii="Times New Roman;sans-serif" w:hAnsi="Times New Roman;sans-serif"/>
          <w:b/>
          <w:color w:val="0000FF"/>
          <w:sz w:val="20"/>
          <w:u w:val="single"/>
        </w:rPr>
        <w:t xml:space="preserve">Financial Covenant (Net Revenue). </w:t>
      </w:r>
      <w:r>
        <w:rPr>
          <w:rFonts w:ascii="Times New Roman;sans-serif" w:hAnsi="Times New Roman;sans-serif"/>
          <w:b w:val="false"/>
          <w:color w:val="0000FF"/>
          <w:sz w:val="20"/>
          <w:u w:val="single"/>
        </w:rPr>
        <w:t>When a Financial Covenant Measuring Period is</w:t>
      </w:r>
      <w:r>
        <w:rPr>
          <w:color w:val="0000FF"/>
        </w:rPr>
        <w:t xml:space="preserve"> </w:t>
      </w:r>
      <w:r>
        <w:rPr>
          <w:rFonts w:ascii="Times New Roman;sans-serif" w:hAnsi="Times New Roman;sans-serif"/>
          <w:b w:val="false"/>
          <w:color w:val="0000FF"/>
          <w:sz w:val="20"/>
          <w:u w:val="single"/>
        </w:rPr>
        <w:t>in effect, Borrower shall achieve Net Revenue (measured in accordance with GAAP on a trailing six (6) month</w:t>
      </w:r>
      <w:r>
        <w:rPr>
          <w:color w:val="0000FF"/>
        </w:rPr>
        <w:t xml:space="preserve"> </w:t>
      </w:r>
      <w:r>
        <w:rPr>
          <w:rFonts w:ascii="Times New Roman;sans-serif" w:hAnsi="Times New Roman;sans-serif"/>
          <w:b w:val="false"/>
          <w:color w:val="0000FF"/>
          <w:sz w:val="20"/>
          <w:u w:val="single"/>
        </w:rPr>
        <w:t>basis), tested quarterly on the last day of each calendar quarter, in an amount equal to or greater than the levels to be</w:t>
      </w:r>
      <w:r>
        <w:rPr>
          <w:color w:val="0000FF"/>
        </w:rPr>
        <w:t xml:space="preserve"> </w:t>
      </w:r>
      <w:r>
        <w:rPr>
          <w:rFonts w:ascii="Times New Roman;sans-serif" w:hAnsi="Times New Roman;sans-serif"/>
          <w:b w:val="false"/>
          <w:color w:val="0000FF"/>
          <w:sz w:val="20"/>
          <w:u w:val="single"/>
        </w:rPr>
        <w:t>agreed upon between Borrower and Bank with respect to which Borrower hereby agrees: (i) shall be documented in</w:t>
      </w:r>
      <w:r>
        <w:rPr>
          <w:color w:val="0000FF"/>
        </w:rPr>
        <w:t xml:space="preserve"> </w:t>
      </w:r>
      <w:r>
        <w:rPr>
          <w:rFonts w:ascii="Times New Roman;sans-serif" w:hAnsi="Times New Roman;sans-serif"/>
          <w:b w:val="false"/>
          <w:color w:val="0000FF"/>
          <w:sz w:val="20"/>
          <w:u w:val="single"/>
        </w:rPr>
        <w:t>an amendment to this Agreement, in form and substance acceptable to Bank, which amendment shall be executed no</w:t>
      </w:r>
      <w:r>
        <w:rPr>
          <w:color w:val="0000FF"/>
        </w:rPr>
        <w:t xml:space="preserve"> </w:t>
      </w:r>
      <w:r>
        <w:rPr>
          <w:rFonts w:ascii="Times New Roman;sans-serif" w:hAnsi="Times New Roman;sans-serif"/>
          <w:b w:val="false"/>
          <w:color w:val="0000FF"/>
          <w:sz w:val="20"/>
          <w:u w:val="single"/>
        </w:rPr>
        <w:t>later than February 28</w:t>
      </w:r>
      <w:r>
        <w:rPr>
          <w:rFonts w:ascii="Times New Roman;sans-serif" w:hAnsi="Times New Roman;sans-serif"/>
          <w:b w:val="false"/>
          <w:color w:val="0000FF"/>
          <w:sz w:val="12"/>
        </w:rPr>
        <w:t>th</w:t>
      </w:r>
      <w:r>
        <w:rPr>
          <w:color w:val="0000FF"/>
          <w:u w:val="single"/>
        </w:rPr>
        <w:t xml:space="preserve"> </w:t>
      </w:r>
      <w:r>
        <w:rPr>
          <w:rFonts w:ascii="Times New Roman;sans-serif" w:hAnsi="Times New Roman;sans-serif"/>
          <w:b w:val="false"/>
          <w:color w:val="0000FF"/>
          <w:sz w:val="20"/>
          <w:u w:val="single"/>
        </w:rPr>
        <w:t>of each year beginning with February 28, 2024 with Borrower’s failure to enter into such</w:t>
      </w:r>
      <w:r>
        <w:rPr>
          <w:color w:val="0000FF"/>
        </w:rPr>
        <w:t xml:space="preserve"> </w:t>
      </w:r>
      <w:r>
        <w:rPr>
          <w:rFonts w:ascii="Times New Roman;sans-serif" w:hAnsi="Times New Roman;sans-serif"/>
          <w:b w:val="false"/>
          <w:color w:val="0000FF"/>
          <w:sz w:val="20"/>
        </w:rPr>
        <w:t>amendment to this Agreement to reset such covenant levels on or prior to February 28</w:t>
      </w:r>
      <w:r>
        <w:rPr>
          <w:rFonts w:ascii="Times New Roman;sans-serif" w:hAnsi="Times New Roman;sans-serif"/>
          <w:b w:val="false"/>
          <w:color w:val="0000FF"/>
          <w:sz w:val="12"/>
        </w:rPr>
        <w:t xml:space="preserve">th </w:t>
      </w:r>
      <w:r>
        <w:rPr>
          <w:rFonts w:ascii="Times New Roman;sans-serif" w:hAnsi="Times New Roman;sans-serif"/>
          <w:b w:val="false"/>
          <w:color w:val="0000FF"/>
          <w:sz w:val="20"/>
        </w:rPr>
        <w:t xml:space="preserve">of each year shall be an immediate and non-curable Event of Default hereunder; (ii) shall be based on Borrower’s projections delivered to </w:t>
      </w:r>
      <w:r>
        <w:rPr>
          <w:rFonts w:ascii="Times New Roman;sans-serif" w:hAnsi="Times New Roman;sans-serif"/>
          <w:b w:val="false"/>
          <w:color w:val="0000FF"/>
          <w:sz w:val="20"/>
          <w:u w:val="single"/>
        </w:rPr>
        <w:t>Bank in accordance with Section 5.3(e) hereof and acceptable to Bank in its commercially reasonable discretion with</w:t>
      </w:r>
      <w:r>
        <w:rPr>
          <w:color w:val="0000FF"/>
        </w:rPr>
        <w:t xml:space="preserve"> </w:t>
      </w:r>
      <w:r>
        <w:rPr>
          <w:rFonts w:ascii="Times New Roman;sans-serif" w:hAnsi="Times New Roman;sans-serif"/>
          <w:b w:val="false"/>
          <w:color w:val="0000FF"/>
          <w:sz w:val="20"/>
        </w:rPr>
        <w:t xml:space="preserve">such projections for Borrower’s 2024 fiscal year showing annual Net Revenue of not less than </w:t>
      </w:r>
      <w:r>
        <w:rPr>
          <w:rFonts w:ascii="Times New Roman;sans-serif" w:hAnsi="Times New Roman;sans-serif"/>
          <w:b w:val="false"/>
          <w:color w:val="000000"/>
          <w:sz w:val="22"/>
        </w:rPr>
        <w:t>[***]</w:t>
      </w:r>
      <w:r>
        <w:rPr>
          <w:rFonts w:ascii="Times New Roman;sans-serif" w:hAnsi="Times New Roman;sans-serif"/>
          <w:b w:val="false"/>
          <w:color w:val="0000FF"/>
          <w:sz w:val="20"/>
        </w:rPr>
        <w:t xml:space="preserve">. Notwithstanding anything to the contrary herein, if a Financial Covenant Measuring Period is occurring at any point between January 1, 2024 and February 28, 2024, then Borrower’s Net Revenue (measured in accordance with GAAP on a trailing six (6) month basis) for the period ending December 31, </w:t>
      </w:r>
      <w:r>
        <w:rPr>
          <w:rFonts w:ascii="Times New Roman;sans-serif" w:hAnsi="Times New Roman;sans-serif"/>
          <w:b w:val="false"/>
          <w:color w:val="0000FF"/>
          <w:sz w:val="20"/>
          <w:u w:val="single"/>
        </w:rPr>
        <w:t xml:space="preserve">2023 shall be tested and such Net Revenue shall not be less than </w:t>
      </w:r>
      <w:r>
        <w:rPr>
          <w:rFonts w:ascii="Times New Roman;sans-serif" w:hAnsi="Times New Roman;sans-serif"/>
          <w:b w:val="false"/>
          <w:color w:val="000000"/>
          <w:sz w:val="22"/>
        </w:rPr>
        <w:t>[***]</w:t>
      </w:r>
      <w:r>
        <w:rPr>
          <w:rFonts w:ascii="Times New Roman;sans-serif" w:hAnsi="Times New Roman;sans-serif"/>
          <w:b w:val="false"/>
          <w:color w:val="0000FF"/>
          <w:sz w:val="20"/>
          <w:u w:val="single"/>
        </w:rPr>
        <w:t>Dollars.</w:t>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5.11Protection of Intellectual Property Rights.</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2251710"/>
                <wp:effectExtent l="0" t="0" r="0" b="0"/>
                <wp:wrapNone/>
                <wp:docPr id="287" name="Frame151"/>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8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20" descr=""/>
                                          <pic:cNvPicPr>
                                            <a:picLocks noChangeAspect="1" noChangeArrowheads="1"/>
                                          </pic:cNvPicPr>
                                        </pic:nvPicPr>
                                        <pic:blipFill>
                                          <a:blip r:embed="rId12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8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20" descr=""/>
                                    <pic:cNvPicPr>
                                      <a:picLocks noChangeAspect="1" noChangeArrowheads="1"/>
                                    </pic:cNvPicPr>
                                  </pic:nvPicPr>
                                  <pic:blipFill>
                                    <a:blip r:embed="rId12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 Use commercially reasonable efforts to protect, defend and maintain the validity and enforceability of Borrower’s and each Subsidiary’s Intellectual Property, except to the extent that such failure to do so would not reasonably be expected to have a material adverse effect on Borrower’s business or operations or that such Intellectual Property does not have material value; (ii) promptly advise Bank in writing of infringements or any other event that could reasonably be expected to materially and adversely affect the value Borrower’s and each Subsidiary’s Intellectual Property that has material value; and (iii) not allow any Intellectual Property material to Borrower’s or any Subsidiary’s business to be abandoned, forfeited or dedicated to the public without Bank’s written consent.</w:t>
      </w:r>
    </w:p>
    <w:p>
      <w:pPr>
        <w:pStyle w:val="TextBody"/>
        <w:spacing w:before="1"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(b)Provide written notice to Bank within thirty (30)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5.12Litigation Cooperation. </w:t>
      </w:r>
      <w:r>
        <w:rPr>
          <w:rFonts w:ascii="Times New Roman;sans-serif" w:hAnsi="Times New Roman;sans-serif"/>
          <w:b w:val="false"/>
          <w:color w:val="000000"/>
          <w:sz w:val="20"/>
        </w:rPr>
        <w:t>From the date hereof and continuing through the termination of this Agreement, make available to Bank, without expense to Bank,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w:t>
      </w:r>
    </w:p>
    <w:p>
      <w:pPr>
        <w:pStyle w:val="TextBody"/>
        <w:spacing w:before="3"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5.13Reserved.</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5.14Formation or Acquisition of Subsidiaries. </w:t>
      </w:r>
      <w:r>
        <w:rPr>
          <w:rFonts w:ascii="Times New Roman;sans-serif" w:hAnsi="Times New Roman;sans-serif"/>
          <w:b w:val="false"/>
          <w:color w:val="000000"/>
          <w:sz w:val="20"/>
        </w:rPr>
        <w:t>Notwithstanding and without limiting the negative covenants contained in Sections 6.3 and 6.7 hereof, at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sole discretion), together with documentation, all in form and substance satisfactory to Bank (including being sufficient to grant Bank a first priority Lien (subject to Permitted Liens) in and to the assets of such newly formed or acquired Subsidiary that constitute Collateral), (b) provide to Bank appropriate certificates and powers and financing statements, pledging (i) all of the direct or beneficial ownership interest in such new Subsidiary, in form and substance reasonably satisfactory to Bank; and (c) provide to Bank all other documentation in form and substance reasonably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Section 5.14 shall be a Loan Document.</w:t>
      </w:r>
    </w:p>
    <w:p>
      <w:pPr>
        <w:pStyle w:val="TextBody"/>
        <w:spacing w:before="6"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5.15Inventory; Returns</w:t>
      </w:r>
      <w:r>
        <w:rPr>
          <w:rFonts w:ascii="Times New Roman;sans-serif" w:hAnsi="Times New Roman;sans-serif"/>
          <w:b w:val="false"/>
          <w:color w:val="000000"/>
          <w:sz w:val="20"/>
        </w:rPr>
        <w:t>. Keep all Inventory in good and marketable condition, free from material defects. Returns and allowances between Borrower and its Account Debtors shall follow Borrower’s customary practices as they exist at the Effective Date. Borrower shall promptly notify Bank of all returns, recoveries, disputes and claims that involve more than Two Hundred Fifty Thousand Dollars ($250,000) (measured as to any single return, recovery, dispute or claim, and not in the aggregate at such time).</w:t>
      </w:r>
    </w:p>
    <w:p>
      <w:pPr>
        <w:pStyle w:val="TextBody"/>
        <w:spacing w:before="2"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5.16Further Assurances. </w:t>
      </w:r>
      <w:r>
        <w:rPr>
          <w:rFonts w:ascii="Times New Roman;sans-serif" w:hAnsi="Times New Roman;sans-serif"/>
          <w:b w:val="false"/>
          <w:color w:val="000000"/>
          <w:sz w:val="20"/>
        </w:rPr>
        <w:t>Execute any further instruments and take such further action as Bank reasonably requests to perfect, protect, ensure the priority of or continue Bank’s Lien on the Collateral or to affect the purposes of this Agreement.</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5.17Sanctions</w:t>
      </w:r>
      <w:r>
        <w:rPr>
          <w:rFonts w:ascii="Times New Roman;sans-serif" w:hAnsi="Times New Roman;sans-serif"/>
          <w:b w:val="false"/>
          <w:color w:val="000000"/>
          <w:sz w:val="20"/>
        </w:rPr>
        <w:t>. (a) Not, and not permit any of its Subsidiaries to, engage in any of the activities described in Section 4.11 in the future; (b) not, and not permit any of its Subsidiaries to, become a Sanctioned Person; (c) ensure that the proceeds of the Obligations are not used to violate any Sanctions; and (d) deliver to Bank</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2251710"/>
                <wp:effectExtent l="0" t="0" r="0" b="0"/>
                <wp:wrapNone/>
                <wp:docPr id="290" name="Frame152"/>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9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21" descr=""/>
                                          <pic:cNvPicPr>
                                            <a:picLocks noChangeAspect="1" noChangeArrowheads="1"/>
                                          </pic:cNvPicPr>
                                        </pic:nvPicPr>
                                        <pic:blipFill>
                                          <a:blip r:embed="rId12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9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21" descr=""/>
                                    <pic:cNvPicPr>
                                      <a:picLocks noChangeAspect="1" noChangeArrowheads="1"/>
                                    </pic:cNvPicPr>
                                  </pic:nvPicPr>
                                  <pic:blipFill>
                                    <a:blip r:embed="rId12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certification or other evidence requested from time to time by Bank in its sole discretion, confirming each such Person’s compliance with this Section 5.17. In addition, have implemented, and will consistently apply while this Agreement is in effect, reasonable procedures to ensure that the representations and warranties in Section 4.11 remain true and correct while this Agreement is in effect.</w:t>
      </w:r>
    </w:p>
    <w:p>
      <w:pPr>
        <w:pStyle w:val="TextBody"/>
        <w:spacing w:before="2" w:after="283"/>
        <w:rPr/>
      </w:pPr>
      <w:r>
        <w:rPr/>
      </w:r>
    </w:p>
    <w:p>
      <w:pPr>
        <w:pStyle w:val="TextBody"/>
        <w:spacing w:lineRule="auto" w:line="240" w:before="0" w:after="0"/>
        <w:ind w:left="0" w:right="0" w:hanging="720"/>
        <w:rPr/>
      </w:pPr>
      <w:r>
        <w:rPr>
          <w:rFonts w:ascii="Times New Roman;sans-serif" w:hAnsi="Times New Roman;sans-serif"/>
          <w:b/>
          <w:color w:val="000000"/>
          <w:sz w:val="20"/>
        </w:rPr>
        <w:t>5.18Post-Closing Obligations</w:t>
      </w:r>
      <w:r>
        <w:rPr>
          <w:rFonts w:ascii="Times New Roman;sans-serif" w:hAnsi="Times New Roman;sans-serif"/>
          <w:b w:val="false"/>
          <w:color w:val="000000"/>
          <w:sz w:val="20"/>
        </w:rPr>
        <w:t>.</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(a)</w:t>
      </w:r>
      <w:r>
        <w:rPr/>
        <w:drawing>
          <wp:inline distT="0" distB="63500" distL="0" distR="0">
            <wp:extent cx="14605" cy="876300"/>
            <wp:effectExtent l="0" t="0" r="0" b="0"/>
            <wp:docPr id="29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22" descr=""/>
                    <pic:cNvPicPr>
                      <a:picLocks noChangeAspect="1" noChangeArrowheads="1"/>
                    </pic:cNvPicPr>
                  </pic:nvPicPr>
                  <pic:blipFill>
                    <a:blip r:embed="rId128"/>
                    <a:stretch>
                      <a:fillRect/>
                    </a:stretch>
                  </pic:blipFill>
                  <pic:spPr bwMode="auto">
                    <a:xfrm>
                      <a:off x="0" y="0"/>
                      <a:ext cx="14605" cy="876300"/>
                    </a:xfrm>
                    <a:prstGeom prst="rect">
                      <a:avLst/>
                    </a:prstGeom>
                  </pic:spPr>
                </pic:pic>
              </a:graphicData>
            </a:graphic>
          </wp:inline>
        </w:drawing>
      </w:r>
      <w:r>
        <w:rPr/>
        <w:drawing>
          <wp:inline distT="0" distB="63500" distL="0" distR="0">
            <wp:extent cx="5895975" cy="14605"/>
            <wp:effectExtent l="0" t="0" r="0" b="0"/>
            <wp:docPr id="29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23" descr=""/>
                    <pic:cNvPicPr>
                      <a:picLocks noChangeAspect="1" noChangeArrowheads="1"/>
                    </pic:cNvPicPr>
                  </pic:nvPicPr>
                  <pic:blipFill>
                    <a:blip r:embed="rId129"/>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29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24" descr=""/>
                    <pic:cNvPicPr>
                      <a:picLocks noChangeAspect="1" noChangeArrowheads="1"/>
                    </pic:cNvPicPr>
                  </pic:nvPicPr>
                  <pic:blipFill>
                    <a:blip r:embed="rId130"/>
                    <a:stretch>
                      <a:fillRect/>
                    </a:stretch>
                  </pic:blipFill>
                  <pic:spPr bwMode="auto">
                    <a:xfrm>
                      <a:off x="0" y="0"/>
                      <a:ext cx="5895975" cy="14605"/>
                    </a:xfrm>
                    <a:prstGeom prst="rect">
                      <a:avLst/>
                    </a:prstGeom>
                  </pic:spPr>
                </pic:pic>
              </a:graphicData>
            </a:graphic>
          </wp:inline>
        </w:drawing>
      </w:r>
      <w:r>
        <w:rPr>
          <w:rFonts w:ascii="Times New Roman;sans-serif" w:hAnsi="Times New Roman;sans-serif"/>
          <w:b w:val="false"/>
          <w:color w:val="000000"/>
          <w:sz w:val="20"/>
        </w:rPr>
        <w:t xml:space="preserve">As soon as possible, but in any event not later than the date that is </w:t>
      </w:r>
      <w:r>
        <w:rPr>
          <w:rFonts w:ascii="Times New Roman;sans-serif" w:hAnsi="Times New Roman;sans-serif"/>
          <w:b w:val="false"/>
          <w:strike/>
          <w:color w:val="FF0000"/>
          <w:sz w:val="20"/>
        </w:rPr>
        <w:t>fifteen</w:t>
      </w:r>
      <w:r>
        <w:rPr>
          <w:rFonts w:ascii="Times New Roman;sans-serif" w:hAnsi="Times New Roman;sans-serif"/>
          <w:b w:val="false"/>
          <w:color w:val="0000FF"/>
          <w:sz w:val="20"/>
          <w:u w:val="single"/>
        </w:rPr>
        <w:t>thirty</w:t>
      </w:r>
      <w:r>
        <w:rPr>
          <w:color w:val="0000FF"/>
        </w:rPr>
        <w:t xml:space="preserve"> </w:t>
      </w:r>
      <w:r>
        <w:rPr>
          <w:rFonts w:ascii="Times New Roman;sans-serif" w:hAnsi="Times New Roman;sans-serif"/>
          <w:b w:val="false"/>
          <w:color w:val="000000"/>
          <w:sz w:val="20"/>
        </w:rPr>
        <w:t>(</w:t>
      </w:r>
      <w:r>
        <w:rPr>
          <w:rFonts w:ascii="Times New Roman;sans-serif" w:hAnsi="Times New Roman;sans-serif"/>
          <w:b w:val="false"/>
          <w:strike/>
          <w:color w:val="FF0000"/>
          <w:sz w:val="20"/>
        </w:rPr>
        <w:t>15</w:t>
      </w:r>
      <w:r>
        <w:rPr>
          <w:rFonts w:ascii="Times New Roman;sans-serif" w:hAnsi="Times New Roman;sans-serif"/>
          <w:b w:val="false"/>
          <w:color w:val="0000FF"/>
          <w:sz w:val="20"/>
          <w:u w:val="single"/>
        </w:rPr>
        <w:t>30</w:t>
      </w:r>
      <w:r>
        <w:rPr>
          <w:rFonts w:ascii="Times New Roman;sans-serif" w:hAnsi="Times New Roman;sans-serif"/>
          <w:b w:val="false"/>
          <w:color w:val="000000"/>
          <w:sz w:val="20"/>
        </w:rPr>
        <w:t xml:space="preserve">) days after the </w:t>
      </w:r>
      <w:r>
        <w:rPr>
          <w:rFonts w:ascii="Times New Roman;sans-serif" w:hAnsi="Times New Roman;sans-serif"/>
          <w:b w:val="false"/>
          <w:color w:val="0000FF"/>
          <w:sz w:val="20"/>
          <w:u w:val="single"/>
        </w:rPr>
        <w:t>First Amendment</w:t>
      </w:r>
      <w:r>
        <w:rPr>
          <w:color w:val="0000FF"/>
        </w:rPr>
        <w:t xml:space="preserve"> </w:t>
      </w:r>
      <w:r>
        <w:rPr>
          <w:rFonts w:ascii="Times New Roman;sans-serif" w:hAnsi="Times New Roman;sans-serif"/>
          <w:b w:val="false"/>
          <w:color w:val="000000"/>
          <w:sz w:val="20"/>
        </w:rPr>
        <w:t xml:space="preserve">Effective Date, Borrower shall deliver to Bank </w:t>
      </w:r>
      <w:r>
        <w:rPr>
          <w:rFonts w:ascii="Times New Roman;sans-serif" w:hAnsi="Times New Roman;sans-serif"/>
          <w:b w:val="false"/>
          <w:strike/>
          <w:color w:val="FF0000"/>
          <w:sz w:val="20"/>
        </w:rPr>
        <w:t>a duly executed landlord’s consent in</w:t>
      </w:r>
      <w:r>
        <w:rPr>
          <w:color w:val="FF0000"/>
        </w:rPr>
        <w:t xml:space="preserve"> </w:t>
      </w:r>
      <w:r>
        <w:rPr>
          <w:rFonts w:ascii="Times New Roman;sans-serif" w:hAnsi="Times New Roman;sans-serif"/>
          <w:b w:val="false"/>
          <w:strike/>
          <w:color w:val="FF0000"/>
          <w:sz w:val="20"/>
        </w:rPr>
        <w:t>favor of Bank for Borrower’s leased location at 2380-2390 Owen Street, Santa Clara, CA 95954</w:t>
      </w:r>
      <w:r>
        <w:rPr>
          <w:rFonts w:ascii="Times New Roman;sans-serif" w:hAnsi="Times New Roman;sans-serif"/>
          <w:b w:val="false"/>
          <w:color w:val="0000FF"/>
          <w:sz w:val="20"/>
          <w:u w:val="single"/>
        </w:rPr>
        <w:t>evidence</w:t>
      </w:r>
      <w:r>
        <w:rPr>
          <w:color w:val="0000FF"/>
        </w:rPr>
        <w:t xml:space="preserve"> </w:t>
      </w:r>
      <w:r>
        <w:rPr>
          <w:rFonts w:ascii="Times New Roman;sans-serif" w:hAnsi="Times New Roman;sans-serif"/>
          <w:b w:val="false"/>
          <w:color w:val="0000FF"/>
          <w:sz w:val="20"/>
          <w:u w:val="single"/>
        </w:rPr>
        <w:t>satisfactory to Bank that the insurance policies and endorsements required by Section 5.8 hereof are in full force and</w:t>
      </w:r>
      <w:r>
        <w:rPr>
          <w:color w:val="0000FF"/>
        </w:rPr>
        <w:t xml:space="preserve"> </w:t>
      </w:r>
      <w:r>
        <w:rPr>
          <w:rFonts w:ascii="Times New Roman;sans-serif" w:hAnsi="Times New Roman;sans-serif"/>
          <w:b w:val="false"/>
          <w:color w:val="0000FF"/>
          <w:sz w:val="20"/>
          <w:u w:val="single"/>
        </w:rPr>
        <w:t>effect, together with appropriate evidence showing lender loss payable and additional insured clauses or</w:t>
      </w:r>
      <w:r>
        <w:rPr>
          <w:color w:val="0000FF"/>
        </w:rPr>
        <w:t xml:space="preserve"> </w:t>
      </w:r>
      <w:r>
        <w:rPr>
          <w:rFonts w:ascii="Times New Roman;sans-serif" w:hAnsi="Times New Roman;sans-serif"/>
          <w:b w:val="false"/>
          <w:color w:val="0000FF"/>
          <w:sz w:val="20"/>
          <w:u w:val="single"/>
        </w:rPr>
        <w:t>endorsements in favor of Bank</w:t>
      </w:r>
      <w:r>
        <w:rPr>
          <w:rFonts w:ascii="Times New Roman;sans-serif" w:hAnsi="Times New Roman;sans-serif"/>
          <w:b w:val="false"/>
          <w:color w:val="000000"/>
          <w:sz w:val="20"/>
        </w:rPr>
        <w:t>.</w:t>
      </w:r>
    </w:p>
    <w:p>
      <w:pPr>
        <w:pStyle w:val="TextBody"/>
        <w:spacing w:before="4" w:after="283"/>
        <w:rPr/>
      </w:pPr>
      <w:r>
        <w:rPr/>
      </w:r>
    </w:p>
    <w:p>
      <w:pPr>
        <w:pStyle w:val="TextBody"/>
        <w:spacing w:lineRule="auto" w:line="240" w:before="91" w:after="283"/>
        <w:ind w:left="0" w:right="0" w:firstLine="1440"/>
        <w:jc w:val="both"/>
        <w:rPr/>
      </w:pPr>
      <w:r>
        <w:rPr>
          <w:rFonts w:ascii="Times New Roman;sans-serif" w:hAnsi="Times New Roman;sans-serif"/>
          <w:b/>
          <w:color w:val="000000"/>
          <w:sz w:val="20"/>
        </w:rPr>
        <w:t>(b)</w:t>
      </w:r>
      <w:r>
        <w:rPr/>
        <w:drawing>
          <wp:inline distT="0" distB="63500" distL="0" distR="0">
            <wp:extent cx="14605" cy="581025"/>
            <wp:effectExtent l="0" t="0" r="0" b="0"/>
            <wp:docPr id="29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25" descr=""/>
                    <pic:cNvPicPr>
                      <a:picLocks noChangeAspect="1" noChangeArrowheads="1"/>
                    </pic:cNvPicPr>
                  </pic:nvPicPr>
                  <pic:blipFill>
                    <a:blip r:embed="rId131"/>
                    <a:stretch>
                      <a:fillRect/>
                    </a:stretch>
                  </pic:blipFill>
                  <pic:spPr bwMode="auto">
                    <a:xfrm>
                      <a:off x="0" y="0"/>
                      <a:ext cx="14605" cy="581025"/>
                    </a:xfrm>
                    <a:prstGeom prst="rect">
                      <a:avLst/>
                    </a:prstGeom>
                  </pic:spPr>
                </pic:pic>
              </a:graphicData>
            </a:graphic>
          </wp:inline>
        </w:drawing>
      </w:r>
      <w:r>
        <w:rPr>
          <w:rFonts w:ascii="Times New Roman;sans-serif" w:hAnsi="Times New Roman;sans-serif"/>
          <w:b w:val="false"/>
          <w:color w:val="000000"/>
          <w:sz w:val="20"/>
        </w:rPr>
        <w:t xml:space="preserve">As soon as possible, but in any event not later than the date that is </w:t>
      </w:r>
      <w:r>
        <w:rPr>
          <w:rFonts w:ascii="Times New Roman;sans-serif" w:hAnsi="Times New Roman;sans-serif"/>
          <w:b w:val="false"/>
          <w:strike/>
          <w:color w:val="FF0000"/>
          <w:sz w:val="20"/>
        </w:rPr>
        <w:t>thirty</w:t>
      </w:r>
      <w:r>
        <w:rPr>
          <w:rFonts w:ascii="Times New Roman;sans-serif" w:hAnsi="Times New Roman;sans-serif"/>
          <w:b w:val="false"/>
          <w:color w:val="0000FF"/>
          <w:sz w:val="20"/>
          <w:u w:val="single"/>
        </w:rPr>
        <w:t>five</w:t>
      </w:r>
      <w:r>
        <w:rPr>
          <w:color w:val="0000FF"/>
        </w:rPr>
        <w:t xml:space="preserve"> </w:t>
      </w:r>
      <w:r>
        <w:rPr>
          <w:rFonts w:ascii="Times New Roman;sans-serif" w:hAnsi="Times New Roman;sans-serif"/>
          <w:b w:val="false"/>
          <w:color w:val="000000"/>
          <w:sz w:val="20"/>
        </w:rPr>
        <w:t>(</w:t>
      </w:r>
      <w:r>
        <w:rPr>
          <w:rFonts w:ascii="Times New Roman;sans-serif" w:hAnsi="Times New Roman;sans-serif"/>
          <w:b w:val="false"/>
          <w:strike/>
          <w:color w:val="FF0000"/>
          <w:sz w:val="20"/>
        </w:rPr>
        <w:t>30</w:t>
      </w:r>
      <w:r>
        <w:rPr>
          <w:rFonts w:ascii="Times New Roman;sans-serif" w:hAnsi="Times New Roman;sans-serif"/>
          <w:b w:val="false"/>
          <w:color w:val="0000FF"/>
          <w:sz w:val="20"/>
          <w:u w:val="single"/>
        </w:rPr>
        <w:t>5</w:t>
      </w:r>
      <w:r>
        <w:rPr>
          <w:rFonts w:ascii="Times New Roman;sans-serif" w:hAnsi="Times New Roman;sans-serif"/>
          <w:b w:val="false"/>
          <w:color w:val="000000"/>
          <w:sz w:val="20"/>
        </w:rPr>
        <w:t xml:space="preserve">) days after the </w:t>
      </w:r>
      <w:r>
        <w:rPr>
          <w:rFonts w:ascii="Times New Roman;sans-serif" w:hAnsi="Times New Roman;sans-serif"/>
          <w:b w:val="false"/>
          <w:color w:val="0000FF"/>
          <w:sz w:val="20"/>
          <w:u w:val="single"/>
        </w:rPr>
        <w:t>First Amendment</w:t>
      </w:r>
      <w:r>
        <w:rPr>
          <w:color w:val="0000FF"/>
        </w:rPr>
        <w:t xml:space="preserve"> </w:t>
      </w:r>
      <w:r>
        <w:rPr>
          <w:rFonts w:ascii="Times New Roman;sans-serif" w:hAnsi="Times New Roman;sans-serif"/>
          <w:b w:val="false"/>
          <w:color w:val="000000"/>
          <w:sz w:val="20"/>
        </w:rPr>
        <w:t xml:space="preserve">Effective Date, Borrower shall deliver to Bank a duly executed </w:t>
      </w:r>
      <w:r>
        <w:rPr>
          <w:rFonts w:ascii="Times New Roman;sans-serif" w:hAnsi="Times New Roman;sans-serif"/>
          <w:b w:val="false"/>
          <w:strike/>
          <w:color w:val="FF0000"/>
          <w:sz w:val="20"/>
        </w:rPr>
        <w:t>bailee’s waiver in favor of</w:t>
      </w:r>
      <w:r>
        <w:rPr>
          <w:color w:val="FF0000"/>
        </w:rPr>
        <w:t xml:space="preserve"> </w:t>
      </w:r>
      <w:r>
        <w:rPr>
          <w:rFonts w:ascii="Times New Roman;sans-serif" w:hAnsi="Times New Roman;sans-serif"/>
          <w:b w:val="false"/>
          <w:strike/>
          <w:color w:val="FF0000"/>
          <w:sz w:val="20"/>
        </w:rPr>
        <w:t>Bank for the bailee location at 1125 W. Pinnacle Peak Road, Phoenix, AZ 85027, where Borrower maintains</w:t>
      </w:r>
      <w:r>
        <w:rPr>
          <w:color w:val="FF0000"/>
        </w:rPr>
        <w:t xml:space="preserve"> </w:t>
      </w:r>
      <w:r>
        <w:rPr>
          <w:rFonts w:ascii="Times New Roman;sans-serif" w:hAnsi="Times New Roman;sans-serif"/>
          <w:b w:val="false"/>
          <w:strike/>
          <w:color w:val="FF0000"/>
          <w:sz w:val="20"/>
        </w:rPr>
        <w:t>property with a third party</w:t>
      </w:r>
      <w:r>
        <w:rPr>
          <w:rFonts w:ascii="Times New Roman;sans-serif" w:hAnsi="Times New Roman;sans-serif"/>
          <w:b w:val="false"/>
          <w:color w:val="0000FF"/>
          <w:sz w:val="20"/>
          <w:u w:val="single"/>
        </w:rPr>
        <w:t>Control Agreement with U.S. Bank</w:t>
      </w:r>
      <w:r>
        <w:rPr>
          <w:rFonts w:ascii="Times New Roman;sans-serif" w:hAnsi="Times New Roman;sans-serif"/>
          <w:b w:val="false"/>
          <w:color w:val="000000"/>
          <w:sz w:val="20"/>
        </w:rPr>
        <w:t>.</w:t>
      </w:r>
    </w:p>
    <w:p>
      <w:pPr>
        <w:pStyle w:val="TextBody"/>
        <w:spacing w:before="4" w:after="283"/>
        <w:rPr/>
      </w:pPr>
      <w:r>
        <w:rPr/>
      </w:r>
    </w:p>
    <w:p>
      <w:pPr>
        <w:pStyle w:val="TextBody"/>
        <w:spacing w:lineRule="auto" w:line="240" w:before="91" w:after="283"/>
        <w:ind w:left="0" w:right="0" w:hanging="720"/>
        <w:rPr/>
      </w:pPr>
      <w:r>
        <w:rPr>
          <w:rFonts w:ascii="Times New Roman;sans-serif" w:hAnsi="Times New Roman;sans-serif"/>
          <w:b/>
          <w:color w:val="000000"/>
          <w:sz w:val="20"/>
        </w:rPr>
        <w:t>6.</w:t>
      </w:r>
      <w:r>
        <w:rPr>
          <w:rFonts w:ascii="Times New Roman;sans-serif" w:hAnsi="Times New Roman;sans-serif"/>
          <w:b/>
          <w:color w:val="000000"/>
          <w:sz w:val="20"/>
          <w:u w:val="single"/>
        </w:rPr>
        <w:t>NEGATIVE COVENANTS</w:t>
      </w:r>
    </w:p>
    <w:p>
      <w:pPr>
        <w:pStyle w:val="TextBody"/>
        <w:spacing w:before="0" w:after="0"/>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Borrower shall not do any of the following without Bank’s prior written consent:</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6.1Dispositions. </w:t>
      </w:r>
      <w:r>
        <w:rPr>
          <w:rFonts w:ascii="Times New Roman;sans-serif" w:hAnsi="Times New Roman;sans-serif"/>
          <w:b w:val="false"/>
          <w:color w:val="000000"/>
          <w:sz w:val="20"/>
        </w:rPr>
        <w:t>Convey, sell, lease, transfer, assign, or otherwise dispose of (including, without limitation, pursuant to a Division) (collectively, “</w:t>
      </w:r>
      <w:r>
        <w:rPr>
          <w:rFonts w:ascii="Times New Roman;sans-serif" w:hAnsi="Times New Roman;sans-serif"/>
          <w:b/>
          <w:color w:val="000000"/>
          <w:sz w:val="20"/>
        </w:rPr>
        <w:t>Transfer</w:t>
      </w:r>
      <w:r>
        <w:rPr>
          <w:color w:val="000000"/>
        </w:rPr>
        <w:t>”</w:t>
      </w:r>
      <w:r>
        <w:rPr>
          <w:rFonts w:ascii="Times New Roman;sans-serif" w:hAnsi="Times New Roman;sans-serif"/>
          <w:b w:val="false"/>
          <w:color w:val="000000"/>
          <w:sz w:val="20"/>
        </w:rPr>
        <w:t>), or permit any of its Subsidiaries to Transfer, all or any part of its business or property, except for Transfers (a) of Inventory in the ordinary course of business; (b) of worn-out, surplus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Section 6.2 of this Agreement; (e) consisting of Borrower’s or its Subsidiaries’ use or transfer of money or Cash Equivalents in a manner that is not prohibited by the terms of this Agreement or the other Loan Documents, including without limitation cash returns or refunds of customer payments; (f) of non-exclusive licenses for the use of the property of Borrower or its Subsidiaries in the ordinary course of business, and other licenses permitted pursuant to part (h) of the defined Permitted Liens; (g) other Transfers not to exceed One Hundred Thousand Dollars ($100,000) in any twelve (12) month period; and (h) other Transfers in which Borrower will receive cash proceeds in an amount equal to no less than seventy-five percent (75%) of such other Transfer consideration (fixed or contingent) paid or payable to Borrower or its Subsidiary.</w:t>
      </w:r>
    </w:p>
    <w:p>
      <w:pPr>
        <w:pStyle w:val="TextBody"/>
        <w:spacing w:before="5"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none of (a) the sale of any Permitted Convertible Indebtedness, (b) the sale of any Warrant Transaction, (c) the purchase of any Bond Hedge Transaction or (d) the performance by Borrower of its obligations under any Permitted Convertible Indebtedness, any Warrant Transaction or any Bond Hedge Transaction (including the settlement or termination of any Bond Hedge Transaction or Warrant Transaction) shall constitute a Transfer.</w:t>
      </w:r>
    </w:p>
    <w:p>
      <w:pPr>
        <w:pStyle w:val="TextBody"/>
        <w:spacing w:before="5"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6.2Changes in Business, Management, Control, or Business Locations. </w:t>
      </w:r>
      <w:r>
        <w:rPr>
          <w:rFonts w:ascii="Times New Roman;sans-serif" w:hAnsi="Times New Roman;sans-serif"/>
          <w:b w:val="false"/>
          <w:color w:val="000000"/>
          <w:sz w:val="20"/>
        </w:rPr>
        <w:t xml:space="preserve">(a) Engage in or permit any of its Subsidiaries to engage in any business other than the businesses currently engaged in by Borrower and such Subsidiary, as applicable, or reasonably related thereto; (b) liquidate or dissolve or permit any of its Subsidiaries to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251710"/>
                <wp:effectExtent l="0" t="0" r="0" b="0"/>
                <wp:wrapNone/>
                <wp:docPr id="297" name="Frame153"/>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298"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26" descr=""/>
                                          <pic:cNvPicPr>
                                            <a:picLocks noChangeAspect="1" noChangeArrowheads="1"/>
                                          </pic:cNvPicPr>
                                        </pic:nvPicPr>
                                        <pic:blipFill>
                                          <a:blip r:embed="rId132"/>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29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26" descr=""/>
                                    <pic:cNvPicPr>
                                      <a:picLocks noChangeAspect="1" noChangeArrowheads="1"/>
                                    </pic:cNvPicPr>
                                  </pic:nvPicPr>
                                  <pic:blipFill>
                                    <a:blip r:embed="rId132"/>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liquidate or dissolve (unless such Subsidiary’s assets are transferred to Borrower); (c) fail to provide notice to Bank of any Key Person departing from or ceasing to be employed by Borrower within seven (7) Business Days after such Key Person’s departure from Borrower; (d) permit, allow or suffer to occur any Change in Control;</w:t>
      </w:r>
    </w:p>
    <w:p>
      <w:pPr>
        <w:pStyle w:val="TextBody"/>
        <w:spacing w:lineRule="auto" w:line="240"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(e) without at least ten (10) days prior written notice to Bank, (i) add any new offices or business locations, including warehouses (unless such new offices or business locations contain less than Two Hundred Thousand Dollars</w:t>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($200,000) in Borrower’s assets or property) or deliver any portion of the Collateral valued, individually or in the aggregate, in excess of Two Hundred Thousand Dollars ($200,000) to a bailee at a location other than to a bailee and at a location already disclosed in the Perfection Certificate, or (f) without at least twenty (20) days prior written notice to Bank (i) change its jurisdiction of organization, (ii) change its organizational structure or type, (iii) change its legal name, or, (iv) change any organizational number (if any) assigned by its jurisdiction of organization. If Borrower intends to add any new offices or business locations, including warehouses, containing in excess of Two Hundred Thousand Dollars ($200,000) of Borrower’s assets or property, then Borrower will cause the landlord of any such new offices or business locations, including warehouses, to execute and deliver a landlord consent in form and substance reasonably satisfactory to Bank. If Borrower intends to deliver any portion of the Collateral valued, individually or in the aggregate, in excess of Two Hundred Thousand Dollars ($200,000) to a bailee, and Bank and such bailee are not already parties to a bailee agreement governing both the Collateral and the location to which Borrower intends to deliver the Collateral, then Borrower will cause such bailee to execute and deliver a bailee agreement in form and substance reasonably satisfactory to Bank. For the avoidance of doubt, no landlord or bailee waivers shall be required for or with respect to any foreign locations of Borrower or its Subsidiaries.</w:t>
      </w:r>
    </w:p>
    <w:p>
      <w:pPr>
        <w:pStyle w:val="TextBody"/>
        <w:spacing w:before="6"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6.3Mergers or Acquisitions. </w:t>
      </w:r>
      <w:r>
        <w:rPr>
          <w:rFonts w:ascii="Times New Roman;sans-serif" w:hAnsi="Times New Roman;sans-serif"/>
          <w:b w:val="false"/>
          <w:color w:val="000000"/>
          <w:sz w:val="20"/>
        </w:rPr>
        <w:t>Merge or consolidate, or permit any of its Subsidiaries to merge or consolidate, with any other Person, or acquire, 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except (i) if (a) Borrower has complied with the notice requirements applicable to prepayments hereunder, and (b) prior to or contemporaneously with the closing of such transaction, all Obligations are paid in full in cash, and all of Bank’s obligations to lend to Borrower under this Agreement are terminated, and/or (iii) Permitted Acquisitions. A Subsidiary may merge or consolidate into another Subsidiary or into Borrower.</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6.4Indebtedness. </w:t>
      </w:r>
      <w:r>
        <w:rPr>
          <w:rFonts w:ascii="Times New Roman;sans-serif" w:hAnsi="Times New Roman;sans-serif"/>
          <w:b w:val="false"/>
          <w:color w:val="000000"/>
          <w:sz w:val="20"/>
        </w:rPr>
        <w:t>Create, incur, assume, or be liable for any Indebtedness, or permit any Subsidiary to do so, other than Permitted Indebtedness.</w:t>
      </w:r>
    </w:p>
    <w:p>
      <w:pPr>
        <w:pStyle w:val="TextBody"/>
        <w:spacing w:before="1"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6.5Encumbrance. </w:t>
      </w:r>
      <w:r>
        <w:rPr>
          <w:rFonts w:ascii="Times New Roman;sans-serif" w:hAnsi="Times New Roman;sans-serif"/>
          <w:b w:val="false"/>
          <w:color w:val="000000"/>
          <w:sz w:val="20"/>
        </w:rPr>
        <w:t>Create, incur, allow, or suffer to exist any Lien on any of its property, or assign or convey any right to receive income, including the sale of any Accounts, or permit any of its Subsidiaries to do so, in each case as to the foregoing except for Permitted Liens, permit any Collateral not to be subject to the first priority security interest granted herein, other than Permitted Liens,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6.1 hereof and the definition of “Permitted Liens” herein.</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6.6Maintenance of Collateral Accounts. </w:t>
      </w:r>
      <w:r>
        <w:rPr>
          <w:rFonts w:ascii="Times New Roman;sans-serif" w:hAnsi="Times New Roman;sans-serif"/>
          <w:b w:val="false"/>
          <w:color w:val="000000"/>
          <w:sz w:val="20"/>
        </w:rPr>
        <w:t>Maintain any Collateral Account except pursuant to the terms of Section 5.9(c).</w:t>
      </w:r>
    </w:p>
    <w:p>
      <w:pPr>
        <w:pStyle w:val="TextBody"/>
        <w:spacing w:before="1"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6.7Distributions; Investments. </w:t>
      </w:r>
      <w:r>
        <w:rPr>
          <w:rFonts w:ascii="Times New Roman;sans-serif" w:hAnsi="Times New Roman;sans-serif"/>
          <w:b w:val="false"/>
          <w:color w:val="000000"/>
          <w:sz w:val="20"/>
        </w:rPr>
        <w:t>(a) Pay any dividends or make any distribution or payment or redeem, retire or purchase any stock, partnership, membership, or other ownership interest or other equity securities, provided that Borrower may (i) convert any of its convertible securities into other securities pursuant to the terms of such convertible securities or otherwise in exchange thereof, (ii) pay dividends solely in common stock or equity interests, (iii) repurchase the stock of former employees, officers, directors or consultants pursuant to stock repurchase agreements or termination of employment or service or repurchases pursuant to rights of first refusal in Borrower’s bylaws, so long as an Event of Default does not exist at the time of any such repurchase and would not exist after giving effect to any such repurchase; provided the aggregate amount of all such repurchases shall not exceed Five Hundred Thousand Dollars ($500,000) per fiscal year, (iv) pay cash distributions in lieu of issuing fractional shares; provided the aggregate amount of all such payments shall not exceed Two Hundred Thousand Dollars ($200,000) per fiscal year , (v) distribute equity securities to former or current employees, officers, consultants or directors pursuant to the exercise of employee stock options approved by the Board, (vi) pay, in connection with any Permitted Acquisition by Borrower or any of its Subsidiaries, (A) the receipt or acceptance of the return to Borrower or any of its Subsidiaries of stock or equity interests of Borrower constituting a portion of the</w:t>
      </w:r>
    </w:p>
    <w:p>
      <w:pPr>
        <w:pStyle w:val="TextBody"/>
        <w:spacing w:before="0" w:after="0"/>
        <w:jc w:val="both"/>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price consideration in settlement of indemnification claims, or as a result of a purchase price adjustment (including earn-outs or similar obligations) and (B) payments or distributions to equity holders pursuant to appraisal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251710"/>
                <wp:effectExtent l="0" t="0" r="0" b="0"/>
                <wp:wrapNone/>
                <wp:docPr id="300" name="Frame154"/>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0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27" descr=""/>
                                          <pic:cNvPicPr>
                                            <a:picLocks noChangeAspect="1" noChangeArrowheads="1"/>
                                          </pic:cNvPicPr>
                                        </pic:nvPicPr>
                                        <pic:blipFill>
                                          <a:blip r:embed="rId13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0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27" descr=""/>
                                    <pic:cNvPicPr>
                                      <a:picLocks noChangeAspect="1" noChangeArrowheads="1"/>
                                    </pic:cNvPicPr>
                                  </pic:nvPicPr>
                                  <pic:blipFill>
                                    <a:blip r:embed="rId13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rights required under requirements of law; (vii) the distribution of rights pursuant to any shareholder rights plan or the redemption of such rights for nominal consideration in accordance with the terms of any shareholder rights plan, and (viii) for the avoidance of doubt, Subsidiaries of Borrower shall be permitted to, directly or indirectly, pay dividends or make distributions to other Subsidiaries or to Borrower, or (b) directly or indirectly make any Investment (including, without limitation, by the formation of any Subsidiary) other than Permitted Investments, or permit any of its Subsidiaries to do so.</w:t>
      </w:r>
    </w:p>
    <w:p>
      <w:pPr>
        <w:pStyle w:val="TextBody"/>
        <w:spacing w:before="1" w:after="283"/>
        <w:rPr/>
      </w:pPr>
      <w:r>
        <w:rPr/>
      </w:r>
    </w:p>
    <w:p>
      <w:pPr>
        <w:pStyle w:val="TextBody"/>
        <w:spacing w:lineRule="auto" w:line="240" w:before="1" w:after="283"/>
        <w:jc w:val="both"/>
        <w:rPr/>
      </w:pPr>
      <w:r>
        <w:rPr>
          <w:rFonts w:ascii="Times New Roman;sans-serif" w:hAnsi="Times New Roman;sans-serif"/>
          <w:b w:val="false"/>
          <w:color w:val="000000"/>
          <w:sz w:val="20"/>
        </w:rPr>
        <w:t xml:space="preserve">Notwithstanding the foregoing, or anything to the contrary herein, and for the avoidance of doubt, this Section 6.7 shall not prohibit (i) the conversion by holders of (including any cash payment upon conversion), or required payment of any principal or premium on, or required payment of any interest with respect to, any Permitted Convertible Debt, in each case, in accordance with the terms of the indenture governing such Permitted Convertible Debt;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the preceding sentence shall only allow principal payments with respect to any repurchase in connection with the redemption of Permitted Convertible Debt upon satisfaction of a condition related to the stock price of the Borrower’s common stock if the Redemption Conditions are satisfied in respect of such redemption; </w:t>
      </w:r>
      <w:r>
        <w:rPr>
          <w:rFonts w:ascii="Times New Roman;sans-serif" w:hAnsi="Times New Roman;sans-serif"/>
          <w:b w:val="false"/>
          <w:i/>
          <w:color w:val="000000"/>
          <w:sz w:val="20"/>
        </w:rPr>
        <w:t xml:space="preserve">provided further </w:t>
      </w:r>
      <w:r>
        <w:rPr>
          <w:rFonts w:ascii="Times New Roman;sans-serif" w:hAnsi="Times New Roman;sans-serif"/>
          <w:b w:val="false"/>
          <w:color w:val="000000"/>
          <w:sz w:val="20"/>
        </w:rPr>
        <w:t>that, to the extent both (a) the aggregate amount of cash payable upon conversion or redemption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redemption does not trigger or correspond to an exercise or early unwind or settlement of a corresponding portion of the Bond Hedge Transactions constituting Permitted Call Spread Agreements relating to such Permitted Convertible Debt (including, for the avoidance of doubt, the case where there is no Bond Hedge Transaction constituting a Permitted Call Spread Agreement relating to such Permitted Convertible Debt), the payment of such excess cash (any such payment, a “</w:t>
      </w:r>
      <w:r>
        <w:rPr>
          <w:rFonts w:ascii="Times New Roman;sans-serif" w:hAnsi="Times New Roman;sans-serif"/>
          <w:b/>
          <w:color w:val="000000"/>
          <w:sz w:val="20"/>
        </w:rPr>
        <w:t>Cash Excess Payment</w:t>
      </w:r>
      <w:r>
        <w:rPr>
          <w:color w:val="000000"/>
        </w:rPr>
        <w:t>”</w:t>
      </w:r>
      <w:r>
        <w:rPr>
          <w:rFonts w:ascii="Times New Roman;sans-serif" w:hAnsi="Times New Roman;sans-serif"/>
          <w:b w:val="false"/>
          <w:color w:val="000000"/>
          <w:sz w:val="20"/>
        </w:rPr>
        <w:t xml:space="preserve">) shall not be permitted by this clause (i); and (ii) any required payment with respect to (including, for the avoidance of doubt, the payment of the relevant premium for the purchase thereof), or required early unwind or settlement of, any Permitted Call Spread Agreement, in each case, in accordance with the terms of the agreement governing such Permitted Call Spread Agreement;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to the extent cash is required to be paid under a Warrant Transaction as a result of the election of “cash settlement” (or substantially equivalent term) as the “settlement method” (or substantially equivalent term) thereunder by the Borrower (or its Affiliate) (including in connection with the exercise and/or early unwind or settlement thereof), the payment of such cash shall not be permitted by this clause (ii). Notwithstanding the foregoing, the Borrower may repurchase, exchange or induce the conversion of Permitted Convertible Debt by delivery of shares of the Borrower’s common stock and/or a different series of Permitted Convertible Debt (which series (I) matures after, and does not require any scheduled amortization or other scheduled payments of principal prior to, the analogous date under the indenture governing the Permitted Convertible Debt that are so repurchased, exchanged or converted and (II) has terms, conditions and covenants that are commercially reasonable to the Borrower (as determined by the Borrower in good faith) (any such series of Permitted Convertible Debt, “</w:t>
      </w:r>
      <w:r>
        <w:rPr>
          <w:rFonts w:ascii="Times New Roman;sans-serif" w:hAnsi="Times New Roman;sans-serif"/>
          <w:b/>
          <w:color w:val="000000"/>
          <w:sz w:val="20"/>
        </w:rPr>
        <w:t>Refinancing Convertible Debt</w:t>
      </w:r>
      <w:r>
        <w:rPr>
          <w:color w:val="000000"/>
        </w:rPr>
        <w:t>”</w:t>
      </w:r>
      <w:r>
        <w:rPr>
          <w:rFonts w:ascii="Times New Roman;sans-serif" w:hAnsi="Times New Roman;sans-serif"/>
          <w:b w:val="false"/>
          <w:color w:val="000000"/>
          <w:sz w:val="20"/>
        </w:rPr>
        <w:t xml:space="preserve">) and/or by payment of cash (x) in lieu of any fractional shares, (y) in respect of accrued and unpaid interest of such Permitted Convertible Debt and (z) additional cash in an amount that does not exceed the proceeds received by the Borrower from the substantially concurrent issuance of shares of the Borrower’s common stock and/or a Refinancing Convertible Debt plus the net cash proceeds, if any, received by the Borrower pursuant to the related exercise or early unwind or termination of the related Permitted Call Spread Agreements pursuant to the immediately following proviso;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substantially concurrently with, or a commercially reasonable period of time before or after, the related settlement date for the Permitted Convertible Debt that is so repurchased, exchanged or converted, the Borrower shall (and, for the avoidance of doubt, shall be permitted under this Section 7.7 to) exercise or unwind or terminate early (whether in cash, shares or any combination thereof) the portion of the Permitted Call Spread Agreements, if any, corresponding to such Permitted Convertible Debt that is so repurchased, exchanged or converted.</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6.8Transactions with Affiliates. </w:t>
      </w:r>
      <w:r>
        <w:rPr>
          <w:rFonts w:ascii="Times New Roman;sans-serif" w:hAnsi="Times New Roman;sans-serif"/>
          <w:b w:val="false"/>
          <w:color w:val="000000"/>
          <w:sz w:val="20"/>
        </w:rPr>
        <w:t>Directly or indirectly enter into or permit to exist any material transaction with any Affiliate of Borrower, except for (a) transactions that are in the ordinary course of Borrower’s business, upon fair and reasonable terms that are no less favorable to Borrower than would be obtained in an arm’s length transaction with a non-affiliated Person; (b) sales of Borrower’s equity securities to the then-existing investors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Borrower in connection with a bona fide equity financing by the Board so long as such sale shall not result in a violation of the Change of Control provision in Section 6.2, (c) debt financings from Borrower’s investors so long as all such Indebtedness shall constitute Subordinated Debt, (d) reasonable and customary compensation arrangements and benefit plans for officers, and other employees of Borrower approved by the Board, (e) reasonable and customary compensation arrangements for fees and costs paid to members of the Board in the ordinary course of business, and (f) Investments of the type described in and permitted under clauses (g) and/or (h) of the definition of “Permitted Investments” herein.</w:t>
      </w:r>
    </w:p>
    <w:p>
      <w:pPr>
        <w:pStyle w:val="TextBody"/>
        <w:spacing w:before="3"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6.9Subordinated Debt. </w:t>
      </w:r>
      <w:r>
        <w:rPr>
          <w:rFonts w:ascii="Times New Roman;sans-serif" w:hAnsi="Times New Roman;sans-serif"/>
          <w:b w:val="false"/>
          <w:color w:val="000000"/>
          <w:sz w:val="20"/>
        </w:rPr>
        <w:t xml:space="preserve">Except as expressly permitted under the terms of the subordination, intercreditor, or other similar agreement to which any Subordinated Debt is subject: (a) make or permit any payment on such Subordinated Debt; (b) amend any provision in any document relating to such Subordinated Debt which would increase the amount thereof, or (c) provide for earlier or greater principal, interest, or other payments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251710"/>
                <wp:effectExtent l="0" t="0" r="0" b="0"/>
                <wp:wrapNone/>
                <wp:docPr id="303" name="Frame155"/>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0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28" descr=""/>
                                          <pic:cNvPicPr>
                                            <a:picLocks noChangeAspect="1" noChangeArrowheads="1"/>
                                          </pic:cNvPicPr>
                                        </pic:nvPicPr>
                                        <pic:blipFill>
                                          <a:blip r:embed="rId13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0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28" descr=""/>
                                    <pic:cNvPicPr>
                                      <a:picLocks noChangeAspect="1" noChangeArrowheads="1"/>
                                    </pic:cNvPicPr>
                                  </pic:nvPicPr>
                                  <pic:blipFill>
                                    <a:blip r:embed="rId13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thereon, or adversely affect the subordination thereof to Obligations owed to Bank in contravention of the terms of such the subordination, intercreditor, or other similar agreement.</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6.10Compliance. </w:t>
      </w:r>
      <w:r>
        <w:rPr>
          <w:rFonts w:ascii="Times New Roman;sans-serif" w:hAnsi="Times New Roman;sans-serif"/>
          <w:b w:val="false"/>
          <w:color w:val="000000"/>
          <w:sz w:val="20"/>
        </w:rPr>
        <w:t>(a)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material liability of Borrower, including any material liability to the Pension Benefit Guaranty Corporation or its successors or any other Governmental Authority.</w:t>
      </w:r>
    </w:p>
    <w:p>
      <w:pPr>
        <w:pStyle w:val="TextBody"/>
        <w:spacing w:before="6"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6.11Cash and Cash Equivalents held by Foreign Subsidiaries</w:t>
      </w:r>
      <w:r>
        <w:rPr>
          <w:rFonts w:ascii="Times New Roman;sans-serif" w:hAnsi="Times New Roman;sans-serif"/>
          <w:b w:val="false"/>
          <w:color w:val="000000"/>
          <w:sz w:val="20"/>
        </w:rPr>
        <w:t>. The aggregate value of cash and Cash Equivalents held by all Foreign Subsidiaries of Borrower to exceed Two Million Five Hundred Thousand Dollars ($2,500,000) for more than five (5) Business Days in each calendar month.</w:t>
      </w:r>
    </w:p>
    <w:p>
      <w:pPr>
        <w:pStyle w:val="TextBody"/>
        <w:spacing w:before="2"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6.12Value of Assets held by Foreign Subsidiaries. </w:t>
      </w:r>
      <w:r>
        <w:rPr>
          <w:rFonts w:ascii="Times New Roman;sans-serif" w:hAnsi="Times New Roman;sans-serif"/>
          <w:b w:val="false"/>
          <w:color w:val="000000"/>
          <w:sz w:val="20"/>
        </w:rPr>
        <w:t>The aggregate value of the assets owned by the Foreign Subsidiaries of Borrower shall not exceed twenty percent (20%) of the aggregate value of all assets owned by the Borrower and its Subsidiaries.</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6.13Redemption of Permitted Convertible Debt. </w:t>
      </w:r>
      <w:r>
        <w:rPr>
          <w:rFonts w:ascii="Times New Roman;sans-serif" w:hAnsi="Times New Roman;sans-serif"/>
          <w:b w:val="false"/>
          <w:color w:val="000000"/>
          <w:sz w:val="20"/>
        </w:rPr>
        <w:t>Exercise any redemption right with respect to any Permitted Convertible Debt upon satisfaction of a condition related to the stock price of the Borrower’s common stock, unless the Redemption Conditions are satisfied in respect of such redemption.</w:t>
      </w:r>
    </w:p>
    <w:p>
      <w:pPr>
        <w:pStyle w:val="TextBody"/>
        <w:spacing w:before="2" w:after="283"/>
        <w:rPr/>
      </w:pPr>
      <w:r>
        <w:rPr/>
      </w:r>
    </w:p>
    <w:p>
      <w:pPr>
        <w:pStyle w:val="TextBody"/>
        <w:spacing w:lineRule="auto" w:line="240" w:before="0" w:after="0"/>
        <w:ind w:left="0" w:right="0" w:hanging="720"/>
        <w:rPr/>
      </w:pPr>
      <w:r>
        <w:rPr>
          <w:rFonts w:ascii="Times New Roman;sans-serif" w:hAnsi="Times New Roman;sans-serif"/>
          <w:b/>
          <w:color w:val="000000"/>
          <w:sz w:val="20"/>
        </w:rPr>
        <w:t>7.</w:t>
      </w:r>
      <w:r>
        <w:rPr>
          <w:rFonts w:ascii="Times New Roman;sans-serif" w:hAnsi="Times New Roman;sans-serif"/>
          <w:b/>
          <w:color w:val="000000"/>
          <w:sz w:val="20"/>
          <w:u w:val="single"/>
        </w:rPr>
        <w:t>EVENTS OF DEFAULT</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Any one of the following shall constitute an event of default (an “</w:t>
      </w:r>
      <w:r>
        <w:rPr>
          <w:rFonts w:ascii="Times New Roman;sans-serif" w:hAnsi="Times New Roman;sans-serif"/>
          <w:b/>
          <w:color w:val="000000"/>
          <w:sz w:val="20"/>
        </w:rPr>
        <w:t>Event of Default</w:t>
      </w:r>
      <w:r>
        <w:rPr>
          <w:color w:val="000000"/>
        </w:rPr>
        <w:t>”</w:t>
      </w:r>
      <w:r>
        <w:rPr>
          <w:rFonts w:ascii="Times New Roman;sans-serif" w:hAnsi="Times New Roman;sans-serif"/>
          <w:b w:val="false"/>
          <w:color w:val="000000"/>
          <w:sz w:val="20"/>
        </w:rPr>
        <w:t>) under this Agreement:</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7.1</w:t>
      </w:r>
      <w:r>
        <w:rPr/>
        <w:drawing>
          <wp:inline distT="0" distB="63500" distL="0" distR="0">
            <wp:extent cx="14605" cy="285750"/>
            <wp:effectExtent l="0" t="0" r="0" b="0"/>
            <wp:docPr id="30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29" descr=""/>
                    <pic:cNvPicPr>
                      <a:picLocks noChangeAspect="1" noChangeArrowheads="1"/>
                    </pic:cNvPicPr>
                  </pic:nvPicPr>
                  <pic:blipFill>
                    <a:blip r:embed="rId135"/>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color w:val="000000"/>
          <w:sz w:val="20"/>
        </w:rPr>
        <w:t xml:space="preserve">Payment Default. </w:t>
      </w:r>
      <w:r>
        <w:rPr>
          <w:rFonts w:ascii="Times New Roman;sans-serif" w:hAnsi="Times New Roman;sans-serif"/>
          <w:b w:val="false"/>
          <w:color w:val="000000"/>
          <w:sz w:val="20"/>
        </w:rPr>
        <w:t xml:space="preserve">Borrower fails to (a) make any payment of principal or interest on any Credit Extension on its due date, or (b) pay any other Obligations within three (3) Business Days after such Obligations are due and payable (which three (3) Business Day cure period shall not apply to payments due on the </w:t>
      </w:r>
      <w:r>
        <w:rPr>
          <w:rFonts w:ascii="Times New Roman;sans-serif" w:hAnsi="Times New Roman;sans-serif"/>
          <w:b w:val="false"/>
          <w:color w:val="0000FF"/>
          <w:sz w:val="20"/>
          <w:u w:val="single"/>
        </w:rPr>
        <w:t>Revolving Line</w:t>
      </w:r>
      <w:r>
        <w:rPr>
          <w:color w:val="0000FF"/>
        </w:rPr>
        <w:t xml:space="preserve"> </w:t>
      </w:r>
      <w:r>
        <w:rPr>
          <w:rFonts w:ascii="Times New Roman;sans-serif" w:hAnsi="Times New Roman;sans-serif"/>
          <w:b w:val="false"/>
          <w:color w:val="0000FF"/>
          <w:sz w:val="20"/>
          <w:u w:val="single"/>
        </w:rPr>
        <w:t>Maturity Date or</w:t>
      </w:r>
      <w:r>
        <w:rPr>
          <w:color w:val="0000FF"/>
        </w:rPr>
        <w:t xml:space="preserve"> </w:t>
      </w:r>
      <w:r>
        <w:rPr>
          <w:rFonts w:ascii="Times New Roman;sans-serif" w:hAnsi="Times New Roman;sans-serif"/>
          <w:b w:val="false"/>
          <w:color w:val="000000"/>
          <w:sz w:val="20"/>
        </w:rPr>
        <w:t>Term Loan Maturity Date), in each unless such late payment is due to Bank’s failure to auto-debit such payment when sufficient funds were contained in the Designated Deposit Account (or if insufficient funds are contained therein, or if an Event of Default has occurred and is continuing, any of Borrower’s other accounts at</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Bank). During the cure period, the failure to make or pay any payment specified under clause (b) hereunder is not an Event of Default (but no Credit Extension will be made during the cure period);</w:t>
      </w:r>
    </w:p>
    <w:p>
      <w:pPr>
        <w:pStyle w:val="TextBody"/>
        <w:spacing w:before="1" w:after="283"/>
        <w:rPr/>
      </w:pPr>
      <w:r>
        <w:rPr/>
      </w:r>
    </w:p>
    <w:p>
      <w:pPr>
        <w:pStyle w:val="TextBody"/>
        <w:spacing w:lineRule="auto" w:line="240" w:before="1" w:after="283"/>
        <w:ind w:left="0" w:right="0" w:hanging="720"/>
        <w:rPr>
          <w:rFonts w:ascii="Times New Roman;sans-serif" w:hAnsi="Times New Roman;sans-serif"/>
          <w:b/>
          <w:color w:val="000000"/>
          <w:sz w:val="20"/>
        </w:rPr>
      </w:pPr>
      <w:r>
        <w:rPr>
          <w:rFonts w:ascii="Times New Roman;sans-serif" w:hAnsi="Times New Roman;sans-serif"/>
          <w:b/>
          <w:color w:val="000000"/>
          <w:sz w:val="20"/>
        </w:rPr>
        <w:t>7.2Covenant Default.</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 fails or neglects to perform any obligation in Section 5 (other than Sections 5.2 (Government Compliance), 5.12 (Litigation Cooperation), 5.15 (Inventory; Returns) and 5.16 (Further Assurances)) or violates any covenant in Section 6; or</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drawing>
          <wp:inline distT="0" distB="63500" distL="0" distR="0">
            <wp:extent cx="14605" cy="285750"/>
            <wp:effectExtent l="0" t="0" r="0" b="0"/>
            <wp:docPr id="30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30" descr=""/>
                    <pic:cNvPicPr>
                      <a:picLocks noChangeAspect="1" noChangeArrowheads="1"/>
                    </pic:cNvPicPr>
                  </pic:nvPicPr>
                  <pic:blipFill>
                    <a:blip r:embed="rId136"/>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00"/>
          <w:sz w:val="20"/>
        </w:rPr>
        <w:t>Borrower fails or neglects to perform, keep, or observe any other term, provision, condition, covenant or agreement contained in this Agreement or any Loan Documents, and as to any default (other than those specified in this Section 7)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w:t>
      </w:r>
      <w:r>
        <w:rPr>
          <w:strike/>
          <w:color w:val="FF0000"/>
        </w:rPr>
        <w:t xml:space="preserve"> </w:t>
      </w:r>
      <w:r>
        <w:rPr>
          <w:rFonts w:ascii="Times New Roman;sans-serif" w:hAnsi="Times New Roman;sans-serif"/>
          <w:b w:val="false"/>
          <w:strike/>
          <w:color w:val="FF0000"/>
          <w:sz w:val="20"/>
        </w:rPr>
        <w:t>to</w:t>
      </w:r>
      <w:r>
        <w:rPr>
          <w:rFonts w:ascii="Times New Roman;sans-serif" w:hAnsi="Times New Roman;sans-serif"/>
          <w:b w:val="false"/>
          <w:color w:val="0000FF"/>
          <w:sz w:val="20"/>
          <w:u w:val="single"/>
        </w:rPr>
        <w:t>, among other things, to financial covenants or any other covenants that are required to be satisfied,</w:t>
      </w:r>
      <w:r>
        <w:rPr>
          <w:color w:val="0000FF"/>
        </w:rPr>
        <w:t xml:space="preserve"> </w:t>
      </w:r>
      <w:r>
        <w:rPr>
          <w:rFonts w:ascii="Times New Roman;sans-serif" w:hAnsi="Times New Roman;sans-serif"/>
          <w:b w:val="false"/>
          <w:color w:val="0000FF"/>
          <w:sz w:val="20"/>
          <w:u w:val="single"/>
        </w:rPr>
        <w:t>completed or tested by a date certain or</w:t>
      </w:r>
      <w:r>
        <w:rPr>
          <w:color w:val="0000FF"/>
        </w:rPr>
        <w:t xml:space="preserve"> </w:t>
      </w:r>
      <w:r>
        <w:rPr>
          <w:rFonts w:ascii="Times New Roman;sans-serif" w:hAnsi="Times New Roman;sans-serif"/>
          <w:b w:val="false"/>
          <w:color w:val="000000"/>
          <w:sz w:val="20"/>
        </w:rPr>
        <w:t xml:space="preserve">any covenants set forth in </w:t>
      </w:r>
      <w:r>
        <w:rPr>
          <w:rFonts w:ascii="Times New Roman;sans-serif" w:hAnsi="Times New Roman;sans-serif"/>
          <w:b w:val="false"/>
          <w:strike/>
          <w:color w:val="FF0000"/>
          <w:sz w:val="20"/>
        </w:rPr>
        <w:t>Section 7.2(a)</w:t>
      </w:r>
      <w:r>
        <w:rPr>
          <w:rFonts w:ascii="Times New Roman;sans-serif" w:hAnsi="Times New Roman;sans-serif"/>
          <w:b w:val="false"/>
          <w:color w:val="0000FF"/>
          <w:sz w:val="20"/>
          <w:u w:val="single"/>
        </w:rPr>
        <w:t>clause (a)</w:t>
      </w:r>
      <w:r>
        <w:rPr>
          <w:color w:val="0000FF"/>
        </w:rPr>
        <w:t xml:space="preserve"> </w:t>
      </w:r>
      <w:r>
        <w:rPr>
          <w:rFonts w:ascii="Times New Roman;sans-serif" w:hAnsi="Times New Roman;sans-serif"/>
          <w:b w:val="false"/>
          <w:color w:val="000000"/>
          <w:sz w:val="20"/>
        </w:rPr>
        <w:t>above;</w:t>
      </w:r>
    </w:p>
    <w:p>
      <w:pPr>
        <w:pStyle w:val="TextBody"/>
        <w:spacing w:before="6"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51710"/>
                <wp:effectExtent l="0" t="0" r="0" b="0"/>
                <wp:wrapNone/>
                <wp:docPr id="308" name="Frame156"/>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0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31" descr=""/>
                                          <pic:cNvPicPr>
                                            <a:picLocks noChangeAspect="1" noChangeArrowheads="1"/>
                                          </pic:cNvPicPr>
                                        </pic:nvPicPr>
                                        <pic:blipFill>
                                          <a:blip r:embed="rId13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1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31" descr=""/>
                                    <pic:cNvPicPr>
                                      <a:picLocks noChangeAspect="1" noChangeArrowheads="1"/>
                                    </pic:cNvPicPr>
                                  </pic:nvPicPr>
                                  <pic:blipFill>
                                    <a:blip r:embed="rId13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ind w:left="0" w:right="0" w:hanging="720"/>
        <w:rPr/>
      </w:pPr>
      <w:r>
        <w:rPr>
          <w:rFonts w:ascii="Times New Roman;sans-serif" w:hAnsi="Times New Roman;sans-serif"/>
          <w:b/>
          <w:color w:val="000000"/>
          <w:sz w:val="20"/>
        </w:rPr>
        <w:t xml:space="preserve">7.1Material Adverse Change. </w:t>
      </w:r>
      <w:r>
        <w:rPr>
          <w:rFonts w:ascii="Times New Roman;sans-serif" w:hAnsi="Times New Roman;sans-serif"/>
          <w:b w:val="false"/>
          <w:color w:val="000000"/>
          <w:sz w:val="20"/>
        </w:rPr>
        <w:t>A Material Adverse Change occurs;</w:t>
      </w:r>
    </w:p>
    <w:p>
      <w:pPr>
        <w:pStyle w:val="TextBody"/>
        <w:spacing w:before="1" w:after="283"/>
        <w:rPr/>
      </w:pPr>
      <w:r>
        <w:rPr/>
      </w:r>
    </w:p>
    <w:p>
      <w:pPr>
        <w:pStyle w:val="TextBody"/>
        <w:spacing w:lineRule="auto" w:line="240" w:before="1" w:after="283"/>
        <w:ind w:left="0" w:right="0" w:hanging="720"/>
        <w:rPr>
          <w:rFonts w:ascii="Times New Roman;sans-serif" w:hAnsi="Times New Roman;sans-serif"/>
          <w:b/>
          <w:color w:val="000000"/>
          <w:sz w:val="20"/>
        </w:rPr>
      </w:pPr>
      <w:r>
        <w:rPr>
          <w:rFonts w:ascii="Times New Roman;sans-serif" w:hAnsi="Times New Roman;sans-serif"/>
          <w:b/>
          <w:color w:val="000000"/>
          <w:sz w:val="20"/>
        </w:rPr>
        <w:t>7.2Attachment; Levy; Restraint on Business.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 The service of process seeking to attach, by trustee or similar process, any funds of Borrower or any Subsidiary with a value in excess of Two Hundred Thousand Dollars ($200,000), or (ii) a notice of lien or levy in an amount in excess of Two Hundred Thousand Dollars ($200,000), is filed against any of Borrower’s or any of its Subsidiaries’ assets by any Governmental Authority, and the same under subclauses (i) and (ii) hereof are not, within fifteen (15) days after the occurrence thereof, discharged or stayed (whether through the posting of a bond or otherwise); provided, however, no Credit Extensions shall be made during any fifteen (15) day cure period; or</w:t>
      </w:r>
    </w:p>
    <w:p>
      <w:pPr>
        <w:pStyle w:val="TextBody"/>
        <w:spacing w:before="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 any material portion of Borrower’s or any of its Subsidiaries’ assets with a value in excess of Two Hundred Thousand Dollars ($200,000), is attached, seized, levied on, or comes into possession of a trustee or receiver, or (ii) any court order enjoins, restrains, or prevents Borrower or any of its Subsidiaries from conducting all or any material part of its business;</w:t>
      </w:r>
    </w:p>
    <w:p>
      <w:pPr>
        <w:pStyle w:val="TextBody"/>
        <w:spacing w:before="3" w:after="283"/>
        <w:rPr/>
      </w:pPr>
      <w:r>
        <w:rPr/>
      </w:r>
    </w:p>
    <w:p>
      <w:pPr>
        <w:pStyle w:val="TextBody"/>
        <w:spacing w:lineRule="auto" w:line="240" w:before="0" w:after="0"/>
        <w:ind w:left="0" w:right="0" w:firstLine="720"/>
        <w:rPr/>
      </w:pPr>
      <w:r>
        <w:rPr>
          <w:rFonts w:ascii="Times New Roman;sans-serif" w:hAnsi="Times New Roman;sans-serif"/>
          <w:b/>
          <w:color w:val="000000"/>
          <w:sz w:val="20"/>
        </w:rPr>
        <w:t xml:space="preserve">7.1Insolvency. </w:t>
      </w:r>
      <w:r>
        <w:rPr>
          <w:rFonts w:ascii="Times New Roman;sans-serif" w:hAnsi="Times New Roman;sans-serif"/>
          <w:b w:val="false"/>
          <w:color w:val="000000"/>
          <w:sz w:val="20"/>
        </w:rPr>
        <w:t>(a) Borrower or Borrower and of its Subsidiaries (taken as a whole) is unable to pay its debts (including trade debts) as they become due or otherwise becomes insolvent; (b) Borrower or any of its Subsidiaries begins an Insolvency Proceeding; or (c) an Insolvency Proceeding is begun against Borrower or any of its Subsidiaries and is not dismissed or stayed within forty-five (45) days (but no Credit Extensions shall be made while any of the conditions described in clause (a) exist and/or until any Insolvency Proceeding is dismissed);</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7.2Other Agreements. </w:t>
      </w:r>
      <w:r>
        <w:rPr>
          <w:rFonts w:ascii="Times New Roman;sans-serif" w:hAnsi="Times New Roman;sans-serif"/>
          <w:b w:val="false"/>
          <w:color w:val="000000"/>
          <w:sz w:val="20"/>
        </w:rPr>
        <w:t>There is, under any agreement to which Borrower, any of Borrower’s Subsidiaries, or any Guarantor is a party with a third party or parties, (a) any default by Borrower (after applicable grace and/or cure periods) resulting in a right by such third party or parties, whether or not exercised, to accelerate the maturity of any Indebtedness in an amount individually or in the aggregate in excess of Five Hundred Thousand Dollars ($500,000); or (b) any breach or default by Borrower, any of Borrower’s Subsidiaries, or Guarantor the result of which could reasonably be expected to have a material adverse effect on Borrower’s, any of Borrower’s Subsidiaries’, or any Guarantor’s business or operations (taken as a whole)</w:t>
      </w:r>
    </w:p>
    <w:p>
      <w:pPr>
        <w:pStyle w:val="TextBody"/>
        <w:spacing w:before="9" w:after="283"/>
        <w:rPr/>
      </w:pPr>
      <w:r>
        <w:rPr/>
      </w:r>
    </w:p>
    <w:p>
      <w:pPr>
        <w:pStyle w:val="TextBody"/>
        <w:spacing w:lineRule="auto" w:line="240" w:before="91" w:after="283"/>
        <w:ind w:left="0" w:right="0" w:firstLine="720"/>
        <w:rPr/>
      </w:pPr>
      <w:r>
        <w:rPr>
          <w:rFonts w:ascii="Times New Roman;sans-serif" w:hAnsi="Times New Roman;sans-serif"/>
          <w:b/>
          <w:color w:val="000000"/>
          <w:sz w:val="20"/>
        </w:rPr>
        <w:t xml:space="preserve">7.3Judgments; Penalties. </w:t>
      </w:r>
      <w:r>
        <w:rPr>
          <w:rFonts w:ascii="Times New Roman;sans-serif" w:hAnsi="Times New Roman;sans-serif"/>
          <w:b w:val="false"/>
          <w:color w:val="000000"/>
          <w:sz w:val="20"/>
        </w:rPr>
        <w:t>One or more fines, penalties or final judgments, orders or decrees for the payment of money in an amount, individually or in the aggregate, of at least Five Hundred Thousand Dollars ($500,000)(not covered by independent third-party insurance as to which liability has been accepted by such insurance carrier) shall be rendered against Borrower or any of its Subsidiaries by any Governmental Authority, and the same are not, within ten (10) days after the entry, assessment or issuance thereof, discharged, satisfied or paid, or after execution thereof, or stayed pending appeal, or such judgments are not discharged, satisfied or paid prior to the expiration of any such stay (provided that no Credit Extensions will be made prior to the discharge, satisfaction, payment, or stay of such fine, penalty, judgment, order or decree);</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7.4Misrepresentations. </w:t>
      </w:r>
      <w:r>
        <w:rPr>
          <w:rFonts w:ascii="Times New Roman;sans-serif" w:hAnsi="Times New Roman;sans-serif"/>
          <w:b w:val="false"/>
          <w:color w:val="000000"/>
          <w:sz w:val="20"/>
        </w:rPr>
        <w:t>Borrower or any of its Subsidiaries or any Responsible Person acting for Borrower or any of its Subsidiaries knowingly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w:t>
      </w:r>
    </w:p>
    <w:p>
      <w:pPr>
        <w:pStyle w:val="TextBody"/>
        <w:spacing w:before="4"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7.5Subordinated Debt. </w:t>
      </w:r>
      <w:r>
        <w:rPr>
          <w:rFonts w:ascii="Times New Roman;sans-serif" w:hAnsi="Times New Roman;sans-serif"/>
          <w:b w:val="false"/>
          <w:color w:val="000000"/>
          <w:sz w:val="20"/>
        </w:rPr>
        <w:t>If: (a) any document, instrument, or agreement evidencing any Subordinated Debt shall for any reason be revoked or invalidated or otherwise cease to be in full force and effect (other than in accordance with the terms of such document, instrument or agreement)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the applicable subordination or intercreditor agreement;</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7.6Lien Priority</w:t>
      </w:r>
      <w:r>
        <w:rPr>
          <w:rFonts w:ascii="Times New Roman;sans-serif" w:hAnsi="Times New Roman;sans-serif"/>
          <w:b w:val="false"/>
          <w:color w:val="000000"/>
          <w:sz w:val="20"/>
        </w:rPr>
        <w:t>. There is a material impairment in the perfection or priority of Bank’s security interest in the Collateral (unless such failure is caused by Bank’s gross negligence or willful misconduct);</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7.7Guaranty. </w:t>
      </w:r>
      <w:r>
        <w:rPr>
          <w:rFonts w:ascii="Times New Roman;sans-serif" w:hAnsi="Times New Roman;sans-serif"/>
          <w:b w:val="false"/>
          <w:color w:val="000000"/>
          <w:sz w:val="20"/>
        </w:rPr>
        <w:t xml:space="preserve">(a) Any guaranty of any Obligations terminates or ceases for any reason to be in full force and effect (except due to termination in accordance with the terms of such guaranty); (b) any Guarantor does not perform any material obligation or covenant under any guaranty of the Obligations; (c) any circumstance described in Sections 7.3, 7.4, 7.5, 7.6, 7.7, or 7.8 of this Agreement occurs with respect to any Guarantor (subject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51710"/>
                <wp:effectExtent l="0" t="0" r="0" b="0"/>
                <wp:wrapNone/>
                <wp:docPr id="311" name="Frame157"/>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1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32" descr=""/>
                                          <pic:cNvPicPr>
                                            <a:picLocks noChangeAspect="1" noChangeArrowheads="1"/>
                                          </pic:cNvPicPr>
                                        </pic:nvPicPr>
                                        <pic:blipFill>
                                          <a:blip r:embed="rId13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1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32" descr=""/>
                                    <pic:cNvPicPr>
                                      <a:picLocks noChangeAspect="1" noChangeArrowheads="1"/>
                                    </pic:cNvPicPr>
                                  </pic:nvPicPr>
                                  <pic:blipFill>
                                    <a:blip r:embed="rId13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applicable cure and grace periods herein), (d) the death, liquidation, winding up, or termination of existence of any Guarantor; or (e)a material impairment in the perfection or priority of Bank’s Lien in the collateral provided by Guarantor or in the value of such collateral ; or</w:t>
      </w:r>
    </w:p>
    <w:p>
      <w:pPr>
        <w:pStyle w:val="TextBody"/>
        <w:spacing w:before="3"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7.8Governmental Approvals. </w:t>
      </w:r>
      <w:r>
        <w:rPr>
          <w:rFonts w:ascii="Times New Roman;sans-serif" w:hAnsi="Times New Roman;sans-serif"/>
          <w:b w:val="false"/>
          <w:color w:val="000000"/>
          <w:sz w:val="20"/>
        </w:rPr>
        <w:t>Any Governmental Approval shall have been (a) revoked, rescinded, 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materially and adversely affect the status of or legal qualifications of Borrower or any of its Subsidiaries to hold any Governmental Approval in any other jurisdiction that is material to the operation of Borrower’s business.</w:t>
      </w:r>
    </w:p>
    <w:p>
      <w:pPr>
        <w:pStyle w:val="TextBody"/>
        <w:spacing w:before="5" w:after="283"/>
        <w:rPr/>
      </w:pPr>
      <w:r>
        <w:rPr/>
      </w:r>
    </w:p>
    <w:p>
      <w:pPr>
        <w:pStyle w:val="TextBody"/>
        <w:spacing w:lineRule="auto" w:line="240" w:before="0" w:after="0"/>
        <w:ind w:left="0" w:right="0" w:hanging="720"/>
        <w:rPr/>
      </w:pPr>
      <w:r>
        <w:rPr>
          <w:rFonts w:ascii="Times New Roman;sans-serif" w:hAnsi="Times New Roman;sans-serif"/>
          <w:b/>
          <w:color w:val="000000"/>
          <w:sz w:val="20"/>
        </w:rPr>
        <w:t>8.</w:t>
      </w:r>
      <w:r>
        <w:rPr>
          <w:rFonts w:ascii="Times New Roman;sans-serif" w:hAnsi="Times New Roman;sans-serif"/>
          <w:b/>
          <w:color w:val="000000"/>
          <w:sz w:val="20"/>
          <w:u w:val="single"/>
        </w:rPr>
        <w:t>BANK’S RIGHTS AND REMEDIES</w:t>
      </w:r>
    </w:p>
    <w:p>
      <w:pPr>
        <w:pStyle w:val="TextBody"/>
        <w:spacing w:before="0" w:after="0"/>
        <w:rPr/>
      </w:pPr>
      <w:r>
        <w:rPr/>
      </w:r>
    </w:p>
    <w:p>
      <w:pPr>
        <w:pStyle w:val="TextBody"/>
        <w:spacing w:before="9" w:after="283"/>
        <w:rPr/>
      </w:pPr>
      <w:r>
        <w:rPr/>
      </w:r>
    </w:p>
    <w:p>
      <w:pPr>
        <w:pStyle w:val="TextBody"/>
        <w:spacing w:lineRule="auto" w:line="240" w:before="91" w:after="283"/>
        <w:ind w:left="0" w:right="0" w:firstLine="720"/>
        <w:rPr/>
      </w:pPr>
      <w:r>
        <w:rPr>
          <w:rFonts w:ascii="Times New Roman;sans-serif" w:hAnsi="Times New Roman;sans-serif"/>
          <w:b/>
          <w:color w:val="000000"/>
          <w:sz w:val="20"/>
        </w:rPr>
        <w:t xml:space="preserve">8.1Rights and Remedies. </w:t>
      </w:r>
      <w:r>
        <w:rPr>
          <w:rFonts w:ascii="Times New Roman;sans-serif" w:hAnsi="Times New Roman;sans-serif"/>
          <w:b w:val="false"/>
          <w:color w:val="000000"/>
          <w:sz w:val="20"/>
        </w:rPr>
        <w:t>Upon the occurrence and during the continuance of an Event of Default, Bank may, without notice or demand, do any or all of the following:</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(a)declare all Obligations immediately due and payable (but if an Event of Default described in Section 7.5 occurs all Obligations are immediately due and payable without any action by Bank);</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(b)stop advancing money or extending credit for Borrower’s benefit under this Agreement or under any other agreement between Borrower and Bank;</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(c)demand that Borrower (i) deposit cash with Bank in an amount equal to at least (A) one hundred and five percent (105.0%) of the aggregate face amount of any Letters of Credit denominated in Dollars remaining undrawn, and (B) one hundred and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pStyle w:val="TextBody"/>
        <w:spacing w:before="1"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Borrower shall be liable for all losses, damages, costs, margin obligations and expenses incurred by Bank arising from Borrower’s failure to satisfy its obligations under any FX Contract or the execution of any FX Contract; and</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(iii) Bank shall not be liable to Borrower for any gain in value of a FX Contract that Bank may obtain in covering Borrower’s breach);</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pStyle w:val="TextBody"/>
        <w:spacing w:before="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(g)apply to the Obligations any (i) balances and deposits of Borrower it holds, or (ii) amount held by Bank owing to or for the credit or the account of Borrower;</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(h)ship, reclaim, recover, store, finish, maintain, repair, prepare for sale, advertise for sale, and sell the Collateral. For use solely upon the occurrence and during the continuation of an Event of Default, Bank is hereby granted a non-exclusive, royalty-free license or other right to use, without charge, Borrower’s labels,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51710"/>
                <wp:effectExtent l="0" t="0" r="0" b="0"/>
                <wp:wrapNone/>
                <wp:docPr id="314" name="Frame158"/>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1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33" descr=""/>
                                          <pic:cNvPicPr>
                                            <a:picLocks noChangeAspect="1" noChangeArrowheads="1"/>
                                          </pic:cNvPicPr>
                                        </pic:nvPicPr>
                                        <pic:blipFill>
                                          <a:blip r:embed="rId139"/>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1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33" descr=""/>
                                    <pic:cNvPicPr>
                                      <a:picLocks noChangeAspect="1" noChangeArrowheads="1"/>
                                    </pic:cNvPicPr>
                                  </pic:nvPicPr>
                                  <pic:blipFill>
                                    <a:blip r:embed="rId139"/>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w:t>
      </w:r>
    </w:p>
    <w:p>
      <w:pPr>
        <w:pStyle w:val="TextBody"/>
        <w:spacing w:before="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(i)place a “hold” on any account maintained with Bank and/or deliver a notice of exclusive control, any entitlement order, or other directions or instructions pursuant to any Control Agreement or similar agreements providing control of any Collateral;</w:t>
      </w:r>
    </w:p>
    <w:p>
      <w:pPr>
        <w:pStyle w:val="TextBody"/>
        <w:spacing w:before="0" w:after="0"/>
        <w:jc w:val="both"/>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(j)demand and receive possession of Borrower’s Books; and</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(k)exercise all rights and remedies available to Bank under the Loan Documents or at law or equity, including all remedies provided under the Code or any Applicable Law (including disposal of the Collateral pursuant to the terms thereof).</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8.2Power of Attorney. </w:t>
      </w:r>
      <w:r>
        <w:rPr>
          <w:rFonts w:ascii="Times New Roman;sans-serif" w:hAnsi="Times New Roman;sans-serif"/>
          <w:b w:val="false"/>
          <w:color w:val="000000"/>
          <w:sz w:val="20"/>
        </w:rPr>
        <w:t>Borrower hereby irrevocably appoints Bank as its true and lawful attorney-in-fact, (a) exercisable only following the occurrence and during the continuance of an Event of Default, to:</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(b) regardless of whether an Event of Default has occurred, to sign Borrower’s name on any documents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paid in full in cash,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8.3Protective Payments. </w:t>
      </w:r>
      <w:r>
        <w:rPr>
          <w:rFonts w:ascii="Times New Roman;sans-serif" w:hAnsi="Times New Roman;sans-serif"/>
          <w:b w:val="false"/>
          <w:color w:val="000000"/>
          <w:sz w:val="20"/>
        </w:rPr>
        <w:t>If Borrower fails to obtain the insurance called for by Section 5.8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pStyle w:val="TextBody"/>
        <w:spacing w:before="4" w:after="283"/>
        <w:rPr/>
      </w:pPr>
      <w:r>
        <w:rPr/>
      </w:r>
    </w:p>
    <w:p>
      <w:pPr>
        <w:pStyle w:val="TextBody"/>
        <w:spacing w:lineRule="auto" w:line="240" w:before="0" w:after="0"/>
        <w:ind w:left="0" w:right="0" w:firstLine="720"/>
        <w:rPr/>
      </w:pPr>
      <w:r>
        <w:rPr>
          <w:rFonts w:ascii="Times New Roman;sans-serif" w:hAnsi="Times New Roman;sans-serif"/>
          <w:b/>
          <w:color w:val="000000"/>
          <w:sz w:val="20"/>
        </w:rPr>
        <w:t xml:space="preserve">8.4Application of Payments and Proceeds. </w:t>
      </w:r>
      <w:r>
        <w:rPr>
          <w:rFonts w:ascii="Times New Roman;sans-serif" w:hAnsi="Times New Roman;sans-serif"/>
          <w:b w:val="false"/>
          <w:color w:val="000000"/>
          <w:sz w:val="20"/>
        </w:rPr>
        <w:t>If an Event of Default has occurred and is continuing, Bank shall have the right to apply in any order 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Following the occurrence and during the continuation of an Event of Default,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pStyle w:val="TextBody"/>
        <w:spacing w:before="5"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8.5Bank’s Liability for Collateral. </w:t>
      </w:r>
      <w:r>
        <w:rPr>
          <w:rFonts w:ascii="Times New Roman;sans-serif" w:hAnsi="Times New Roman;sans-serif"/>
          <w:b w:val="false"/>
          <w:color w:val="000000"/>
          <w:sz w:val="20"/>
        </w:rPr>
        <w:t>Bank’s sole duty with respect to the custody, safekeeping and physical preservation of the Collateral in its possession or under its control, under Section 9-207 of the Code or otherwise, shall be to deal with it in the same manner as Bank deals with its own property consisting of similar instruments or interests. Borrower bears all risk of loss, damage or destruction of the Collateral.</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8.6No Waiver; Remedies Cumulative. </w:t>
      </w:r>
      <w:r>
        <w:rPr>
          <w:rFonts w:ascii="Times New Roman;sans-serif" w:hAnsi="Times New Roman;sans-serif"/>
          <w:b w:val="false"/>
          <w:color w:val="000000"/>
          <w:sz w:val="20"/>
        </w:rPr>
        <w:t>Bank’s failure, at any time or times, to require strict performance by Borrower of any provision of this Agreement or any other Loan Document shall not waive, affect, or diminish any right of Bank thereafter to demand strict performance and compliance herewith or therewith. No</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51710"/>
                <wp:effectExtent l="0" t="0" r="0" b="0"/>
                <wp:wrapNone/>
                <wp:docPr id="317" name="Frame159"/>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1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34" descr=""/>
                                          <pic:cNvPicPr>
                                            <a:picLocks noChangeAspect="1" noChangeArrowheads="1"/>
                                          </pic:cNvPicPr>
                                        </pic:nvPicPr>
                                        <pic:blipFill>
                                          <a:blip r:embed="rId140"/>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1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34" descr=""/>
                                    <pic:cNvPicPr>
                                      <a:picLocks noChangeAspect="1" noChangeArrowheads="1"/>
                                    </pic:cNvPicPr>
                                  </pic:nvPicPr>
                                  <pic:blipFill>
                                    <a:blip r:embed="rId140"/>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8.7Demand Waiver. </w:t>
      </w:r>
      <w:r>
        <w:rPr>
          <w:rFonts w:ascii="Times New Roman;sans-serif" w:hAnsi="Times New Roman;sans-serif"/>
          <w:b w:val="false"/>
          <w:color w:val="000000"/>
          <w:sz w:val="20"/>
        </w:rPr>
        <w:t>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w:t>
      </w:r>
    </w:p>
    <w:p>
      <w:pPr>
        <w:pStyle w:val="TextBody"/>
        <w:spacing w:before="2" w:after="283"/>
        <w:rPr/>
      </w:pPr>
      <w:r>
        <w:rPr/>
      </w:r>
    </w:p>
    <w:p>
      <w:pPr>
        <w:pStyle w:val="TextBody"/>
        <w:spacing w:lineRule="auto" w:line="240" w:before="0" w:after="0"/>
        <w:ind w:left="0" w:right="0" w:hanging="720"/>
        <w:rPr/>
      </w:pPr>
      <w:r>
        <w:rPr>
          <w:rFonts w:ascii="Times New Roman;sans-serif" w:hAnsi="Times New Roman;sans-serif"/>
          <w:b/>
          <w:color w:val="000000"/>
          <w:sz w:val="20"/>
        </w:rPr>
        <w:t>9.</w:t>
      </w:r>
      <w:r>
        <w:rPr>
          <w:rFonts w:ascii="Times New Roman;sans-serif" w:hAnsi="Times New Roman;sans-serif"/>
          <w:b/>
          <w:color w:val="000000"/>
          <w:sz w:val="20"/>
          <w:u w:val="single"/>
        </w:rPr>
        <w:t>NOTICES</w:t>
      </w:r>
    </w:p>
    <w:p>
      <w:pPr>
        <w:pStyle w:val="TextBody"/>
        <w:spacing w:before="0" w:after="0"/>
        <w:rPr/>
      </w:pPr>
      <w:r>
        <w:rPr/>
      </w:r>
    </w:p>
    <w:p>
      <w:pPr>
        <w:pStyle w:val="TextBody"/>
        <w:spacing w:lineRule="auto" w:line="240" w:before="91"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Section 9.</w:t>
      </w:r>
    </w:p>
    <w:p>
      <w:pPr>
        <w:pStyle w:val="TextBody"/>
        <w:spacing w:before="3"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If to Borrower:    SI-Bone, Inc.</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471 El Camino Real, Suite 101 Santa Clara, CA 95050</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Attn: Laura Francis, CEO; and Anshul Maheshwari, CFO</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Email: lfrancis@si-bone.com; and Anshul.Maheshwari@si-bone.com</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with a copy to (which shall not constitute notice):</w:t>
      </w:r>
    </w:p>
    <w:p>
      <w:pPr>
        <w:pStyle w:val="TextBody"/>
        <w:spacing w:lineRule="auto" w:line="240" w:before="121" w:after="283"/>
        <w:rPr>
          <w:rFonts w:ascii="Times New Roman;sans-serif" w:hAnsi="Times New Roman;sans-serif"/>
          <w:b w:val="false"/>
          <w:color w:val="000000"/>
          <w:sz w:val="20"/>
        </w:rPr>
      </w:pPr>
      <w:r>
        <w:rPr>
          <w:rFonts w:ascii="Times New Roman;sans-serif" w:hAnsi="Times New Roman;sans-serif"/>
          <w:b w:val="false"/>
          <w:color w:val="000000"/>
          <w:sz w:val="20"/>
        </w:rPr>
        <w:t>Cooley LLP</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55 Hudson Yards</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New York, New York, 10001-2157 Attn: Patrick Flanagan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Email: pflanagan@cooley.com</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If to Bank:    Silicon Valley Bank</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505 Howard Street, Floor 3 San Francisco, CA 94105 Attn: Mark Davis</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Email: mdavis@svb.com</w:t>
      </w:r>
    </w:p>
    <w:p>
      <w:pPr>
        <w:pStyle w:val="TextBody"/>
        <w:spacing w:before="10"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with a copy to (which shall not constitute notice):</w:t>
      </w:r>
    </w:p>
    <w:p>
      <w:pPr>
        <w:pStyle w:val="TextBody"/>
        <w:spacing w:lineRule="auto" w:line="240" w:before="121" w:after="283"/>
        <w:rPr>
          <w:rFonts w:ascii="Times New Roman;sans-serif" w:hAnsi="Times New Roman;sans-serif"/>
          <w:b w:val="false"/>
          <w:color w:val="000000"/>
          <w:sz w:val="20"/>
        </w:rPr>
      </w:pPr>
      <w:r>
        <w:rPr>
          <w:rFonts w:ascii="Times New Roman;sans-serif" w:hAnsi="Times New Roman;sans-serif"/>
          <w:b w:val="false"/>
          <w:color w:val="000000"/>
          <w:sz w:val="20"/>
        </w:rPr>
        <w:t>DLA Piper LLP (US)</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401 B Street, Suite 1700 San Diego, California 92101 Attn: Matt Schwartz, Esq.</w:t>
      </w:r>
    </w:p>
    <w:p>
      <w:pPr>
        <w:pStyle w:val="TextBody"/>
        <w:spacing w:lineRule="auto" w:line="240" w:before="2" w:after="283"/>
        <w:rPr>
          <w:rFonts w:ascii="Times New Roman;sans-serif" w:hAnsi="Times New Roman;sans-serif"/>
          <w:b w:val="false"/>
          <w:color w:val="000000"/>
          <w:sz w:val="20"/>
        </w:rPr>
      </w:pPr>
      <w:r>
        <w:rPr>
          <w:rFonts w:ascii="Times New Roman;sans-serif" w:hAnsi="Times New Roman;sans-serif"/>
          <w:b w:val="false"/>
          <w:color w:val="000000"/>
          <w:sz w:val="20"/>
        </w:rPr>
        <w:t>Email: matt.schwartz@us.dlapiper.com</w:t>
      </w:r>
    </w:p>
    <w:p>
      <w:pPr>
        <w:pStyle w:val="TextBody"/>
        <w:spacing w:before="0" w:after="0"/>
        <w:rPr/>
      </w:pPr>
      <w:r>
        <w:rPr/>
      </w:r>
    </w:p>
    <w:p>
      <w:pPr>
        <w:pStyle w:val="TextBody"/>
        <w:spacing w:before="10" w:after="283"/>
        <w:rPr/>
      </w:pPr>
      <w:r>
        <w:rPr/>
      </w:r>
    </w:p>
    <w:p>
      <w:pPr>
        <w:pStyle w:val="TextBody"/>
        <w:spacing w:lineRule="auto" w:line="240" w:before="91" w:after="283"/>
        <w:ind w:left="0" w:right="0" w:hanging="720"/>
        <w:rPr/>
      </w:pPr>
      <w:r>
        <w:rPr>
          <w:rFonts w:ascii="Times New Roman;sans-serif" w:hAnsi="Times New Roman;sans-serif"/>
          <w:b/>
          <w:color w:val="000000"/>
          <w:sz w:val="20"/>
        </w:rPr>
        <w:t>10.</w:t>
      </w:r>
      <w:r>
        <w:rPr>
          <w:rFonts w:ascii="Times New Roman;sans-serif" w:hAnsi="Times New Roman;sans-serif"/>
          <w:b/>
          <w:color w:val="000000"/>
          <w:sz w:val="20"/>
          <w:u w:val="single"/>
        </w:rPr>
        <w:t>CHOICE OF LAW, VENUE AND JURY TRIAL WAIVER; JUDICIAL REFERENCE</w:t>
      </w:r>
    </w:p>
    <w:p>
      <w:pPr>
        <w:pStyle w:val="TextBody"/>
        <w:spacing w:before="11" w:after="283"/>
        <w:rPr/>
      </w:pPr>
      <w:r>
        <w:rPr/>
      </w:r>
    </w:p>
    <w:p>
      <w:pPr>
        <w:pStyle w:val="TextBody"/>
        <w:spacing w:lineRule="auto" w:line="240" w:before="91"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otherwise expressly provided in any of the Loan Documents, California law governs the Loan Documents without regard to principles of conflicts of law that would require the application of the laws of another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51710"/>
                <wp:effectExtent l="0" t="0" r="0" b="0"/>
                <wp:wrapNone/>
                <wp:docPr id="320" name="Frame160"/>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2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35" descr=""/>
                                          <pic:cNvPicPr>
                                            <a:picLocks noChangeAspect="1" noChangeArrowheads="1"/>
                                          </pic:cNvPicPr>
                                        </pic:nvPicPr>
                                        <pic:blipFill>
                                          <a:blip r:embed="rId14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2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35" descr=""/>
                                    <pic:cNvPicPr>
                                      <a:picLocks noChangeAspect="1" noChangeArrowheads="1"/>
                                    </pic:cNvPicPr>
                                  </pic:nvPicPr>
                                  <pic:blipFill>
                                    <a:blip r:embed="rId14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jurisdiction. Borrower and Bank each irrevocably and unconditionally submit to the exclusive jurisdiction of the State and Federal courts in Santa Clara County, California; provided, however, that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9 of this Agreement and that service so made shall be deemed completed upon the earlier to occur of Borrower’s actual receipt thereof or three (3) days after deposit in the U.S. mails, proper postage prepaid.</w:t>
      </w:r>
    </w:p>
    <w:p>
      <w:pPr>
        <w:pStyle w:val="TextBody"/>
        <w:spacing w:before="5" w:after="283"/>
        <w:rPr/>
      </w:pPr>
      <w:r>
        <w:rPr/>
      </w:r>
    </w:p>
    <w:p>
      <w:pPr>
        <w:pStyle w:val="TextBody"/>
        <w:spacing w:lineRule="auto" w:line="240"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TO THE FULLEST EXTENT PERMITTED BY APPLICABLE LAW, BORROWER AND BANK EACH WAIVES ITS RIGHT TO A JURY TRIAL OF ANY CLAIM OR CAUSE OF ACTION ARISING OUT OF OR BASED UPON THIS AGREEMENT, THE LOAN DOCUMENTS OR ANY CONTEMPLATED TRANSACTION UNDER THIS AGREEMENT, INCLUDING CONTRACT, TORT, BREACH OF DUTY AND ALL OTHER CLAIMS. THIS WAIVER IS A MATERIAL INDUCEMENT FOR THE PARTIES HERETO TO ENTER INTO THIS AGREEMENT. EACH PARTY HERETO HAS REVIEWED THIS WAIVER WITH ITS COUNSEL.</w:t>
      </w:r>
    </w:p>
    <w:p>
      <w:pPr>
        <w:pStyle w:val="TextBody"/>
        <w:spacing w:before="1" w:after="283"/>
        <w:rPr/>
      </w:pPr>
      <w:r>
        <w:rPr/>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WITHOUT INTENDING IN ANY WAY TO LIMIT THE PARTIES’ AGREEMENT TO WAIVE THEIR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This Section 10 shall survive the termination of this Agreement and the repayment of all Obligations.</w:t>
      </w:r>
    </w:p>
    <w:p>
      <w:pPr>
        <w:pStyle w:val="TextBody"/>
        <w:spacing w:before="1" w:after="283"/>
        <w:rPr/>
      </w:pPr>
      <w:r>
        <w:rPr/>
      </w:r>
    </w:p>
    <w:p>
      <w:pPr>
        <w:pStyle w:val="TextBody"/>
        <w:spacing w:lineRule="auto" w:line="240" w:before="0" w:after="0"/>
        <w:ind w:left="0" w:right="0" w:hanging="720"/>
        <w:rPr/>
      </w:pPr>
      <w:r>
        <w:rPr>
          <w:rFonts w:ascii="Times New Roman;sans-serif" w:hAnsi="Times New Roman;sans-serif"/>
          <w:b/>
          <w:color w:val="000000"/>
          <w:sz w:val="20"/>
        </w:rPr>
        <w:t>11.</w:t>
      </w:r>
      <w:r>
        <w:rPr>
          <w:rFonts w:ascii="Times New Roman;sans-serif" w:hAnsi="Times New Roman;sans-serif"/>
          <w:b/>
          <w:color w:val="000000"/>
          <w:sz w:val="20"/>
          <w:u w:val="single"/>
        </w:rPr>
        <w:t>GENERAL PROVISIONS</w:t>
      </w:r>
    </w:p>
    <w:p>
      <w:pPr>
        <w:pStyle w:val="TextBody"/>
        <w:spacing w:before="2" w:after="283"/>
        <w:rPr/>
      </w:pPr>
      <w:r>
        <w:rPr/>
      </w:r>
    </w:p>
    <w:p>
      <w:pPr>
        <w:pStyle w:val="TextBody"/>
        <w:spacing w:lineRule="auto" w:line="240" w:before="91" w:after="283"/>
        <w:ind w:left="0" w:right="0" w:firstLine="720"/>
        <w:jc w:val="both"/>
        <w:rPr/>
      </w:pPr>
      <w:r>
        <w:rPr>
          <w:rFonts w:ascii="Times New Roman;sans-serif" w:hAnsi="Times New Roman;sans-serif"/>
          <w:b/>
          <w:color w:val="000000"/>
          <w:sz w:val="20"/>
        </w:rPr>
        <w:t>11.1</w:t>
      </w:r>
      <w:r>
        <w:rPr/>
        <w:drawing>
          <wp:inline distT="0" distB="63500" distL="0" distR="0">
            <wp:extent cx="14605" cy="142875"/>
            <wp:effectExtent l="0" t="0" r="0" b="0"/>
            <wp:docPr id="32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36" descr=""/>
                    <pic:cNvPicPr>
                      <a:picLocks noChangeAspect="1" noChangeArrowheads="1"/>
                    </pic:cNvPicPr>
                  </pic:nvPicPr>
                  <pic:blipFill>
                    <a:blip r:embed="rId142"/>
                    <a:stretch>
                      <a:fillRect/>
                    </a:stretch>
                  </pic:blipFill>
                  <pic:spPr bwMode="auto">
                    <a:xfrm>
                      <a:off x="0" y="0"/>
                      <a:ext cx="14605" cy="142875"/>
                    </a:xfrm>
                    <a:prstGeom prst="rect">
                      <a:avLst/>
                    </a:prstGeom>
                  </pic:spPr>
                </pic:pic>
              </a:graphicData>
            </a:graphic>
          </wp:inline>
        </w:drawing>
      </w:r>
      <w:r>
        <w:rPr/>
        <w:drawing>
          <wp:inline distT="0" distB="63500" distL="0" distR="0">
            <wp:extent cx="14605" cy="142875"/>
            <wp:effectExtent l="0" t="0" r="0" b="0"/>
            <wp:docPr id="32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37" descr=""/>
                    <pic:cNvPicPr>
                      <a:picLocks noChangeAspect="1" noChangeArrowheads="1"/>
                    </pic:cNvPicPr>
                  </pic:nvPicPr>
                  <pic:blipFill>
                    <a:blip r:embed="rId143"/>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color w:val="000000"/>
          <w:sz w:val="20"/>
        </w:rPr>
        <w:t xml:space="preserve">Termination Prior to </w:t>
      </w:r>
      <w:r>
        <w:rPr>
          <w:rFonts w:ascii="Times New Roman;sans-serif" w:hAnsi="Times New Roman;sans-serif"/>
          <w:b/>
          <w:color w:val="0000FF"/>
          <w:sz w:val="20"/>
          <w:u w:val="single"/>
        </w:rPr>
        <w:t>Revolving Line Maturity Date or</w:t>
      </w:r>
      <w:r>
        <w:rPr>
          <w:color w:val="0000FF"/>
        </w:rPr>
        <w:t xml:space="preserve"> </w:t>
      </w:r>
      <w:r>
        <w:rPr>
          <w:rFonts w:ascii="Times New Roman;sans-serif" w:hAnsi="Times New Roman;sans-serif"/>
          <w:b/>
          <w:color w:val="000000"/>
          <w:sz w:val="20"/>
        </w:rPr>
        <w:t xml:space="preserve">Term Loan Maturity Date; Survival. </w:t>
      </w:r>
      <w:r>
        <w:rPr>
          <w:rFonts w:ascii="Times New Roman;sans-serif" w:hAnsi="Times New Roman;sans-serif"/>
          <w:b w:val="false"/>
          <w:color w:val="000000"/>
          <w:sz w:val="20"/>
        </w:rPr>
        <w:t xml:space="preserve">All covenants, representations and warranties made in this Agreement shall 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3.1 of this Agreement), this Agreement may be terminated prior to the </w:t>
      </w:r>
      <w:r>
        <w:rPr>
          <w:rFonts w:ascii="Times New Roman;sans-serif" w:hAnsi="Times New Roman;sans-serif"/>
          <w:b w:val="false"/>
          <w:color w:val="0000FF"/>
          <w:sz w:val="20"/>
          <w:u w:val="single"/>
        </w:rPr>
        <w:t>Revolving Line Maturity Date and the</w:t>
      </w:r>
      <w:r>
        <w:rPr>
          <w:color w:val="0000FF"/>
        </w:rPr>
        <w:t xml:space="preserve"> </w:t>
      </w:r>
      <w:r>
        <w:rPr>
          <w:rFonts w:ascii="Times New Roman;sans-serif" w:hAnsi="Times New Roman;sans-serif"/>
          <w:b w:val="false"/>
          <w:color w:val="000000"/>
          <w:sz w:val="20"/>
        </w:rPr>
        <w:t>Term Loan Maturity Date by Borrower, effective three (3) Business Days after written notice of termination is given to Bank. Those obligations that are expressly specified in this Agreement as surviving this Agreement’s</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251710"/>
                <wp:effectExtent l="0" t="0" r="0" b="0"/>
                <wp:wrapNone/>
                <wp:docPr id="325" name="Frame161"/>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2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38" descr=""/>
                                          <pic:cNvPicPr>
                                            <a:picLocks noChangeAspect="1" noChangeArrowheads="1"/>
                                          </pic:cNvPicPr>
                                        </pic:nvPicPr>
                                        <pic:blipFill>
                                          <a:blip r:embed="rId14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2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38" descr=""/>
                                    <pic:cNvPicPr>
                                      <a:picLocks noChangeAspect="1" noChangeArrowheads="1"/>
                                    </pic:cNvPicPr>
                                  </pic:nvPicPr>
                                  <pic:blipFill>
                                    <a:blip r:embed="rId14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termination and the repayment of all Obligations shall continue to survive notwithstanding this Agreement’s termination and the repayment of all Obligations.</w:t>
      </w:r>
    </w:p>
    <w:p>
      <w:pPr>
        <w:pStyle w:val="TextBody"/>
        <w:spacing w:before="6"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11.2Successors and Assigns. </w:t>
      </w:r>
      <w:r>
        <w:rPr>
          <w:rFonts w:ascii="Times New Roman;sans-serif" w:hAnsi="Times New Roman;sans-serif"/>
          <w:b w:val="false"/>
          <w:color w:val="000000"/>
          <w:sz w:val="20"/>
        </w:rPr>
        <w:t>This Agreement binds and is for the benefit of the successors and permitted assigns of each party. Borrower may 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Notwithstanding the foregoing, or anything to the contrary herein, so long as no Event of Default shall have occurred and is continuing, Bank shall not assign its interest in the Loan Documents to any Person who is (a) a competitor of Borrower, whether as an operating company or direct or indirect parent with voting control over such operating company, or (b) a vulture fund or distressed debt fund.</w:t>
      </w:r>
    </w:p>
    <w:p>
      <w:pPr>
        <w:pStyle w:val="TextBody"/>
        <w:spacing w:before="5"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11.3Indemnification.</w:t>
      </w:r>
    </w:p>
    <w:p>
      <w:pPr>
        <w:pStyle w:val="TextBody"/>
        <w:spacing w:before="10" w:after="283"/>
        <w:rPr/>
      </w:pPr>
      <w:r>
        <w:rPr/>
      </w:r>
    </w:p>
    <w:p>
      <w:pPr>
        <w:pStyle w:val="TextBody"/>
        <w:spacing w:lineRule="auto" w:line="240" w:before="1" w:after="283"/>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General Indemnification</w:t>
      </w:r>
      <w:r>
        <w:rPr>
          <w:rFonts w:ascii="Times New Roman;sans-serif" w:hAnsi="Times New Roman;sans-serif"/>
          <w:b w:val="false"/>
          <w:color w:val="000000"/>
          <w:sz w:val="20"/>
        </w:rPr>
        <w:t>. Borrower shall indemnify, defend and hold Bank and its Affiliates and the partners, directors, officers, employees, agents, trustees, administrators, managers, advisors and representatives of Bank and its Affiliates (each, an “</w:t>
      </w:r>
      <w:r>
        <w:rPr>
          <w:rFonts w:ascii="Times New Roman;sans-serif" w:hAnsi="Times New Roman;sans-serif"/>
          <w:b/>
          <w:color w:val="000000"/>
          <w:sz w:val="20"/>
        </w:rPr>
        <w:t>Indemnified Person</w:t>
      </w:r>
      <w:r>
        <w:rPr>
          <w:color w:val="000000"/>
        </w:rPr>
        <w:t>”</w:t>
      </w:r>
      <w:r>
        <w:rPr>
          <w:rFonts w:ascii="Times New Roman;sans-serif" w:hAnsi="Times New Roman;sans-serif"/>
          <w:b w:val="false"/>
          <w:color w:val="000000"/>
          <w:sz w:val="20"/>
        </w:rPr>
        <w:t>) harmless against: all losses, claims, damages, liabilities and related expenses (including Bank Expenses and the reasonable fees, charges and disbursements of any counsel for any Indemnified Person) (collectively, “</w:t>
      </w:r>
      <w:r>
        <w:rPr>
          <w:rFonts w:ascii="Times New Roman;sans-serif" w:hAnsi="Times New Roman;sans-serif"/>
          <w:b/>
          <w:color w:val="000000"/>
          <w:sz w:val="20"/>
        </w:rPr>
        <w:t>Claims</w:t>
      </w:r>
      <w:r>
        <w:rPr>
          <w:color w:val="000000"/>
        </w:rPr>
        <w:t>”</w:t>
      </w:r>
      <w:r>
        <w:rPr>
          <w:rFonts w:ascii="Times New Roman;sans-serif" w:hAnsi="Times New Roman;sans-serif"/>
          <w:b w:val="false"/>
          <w:color w:val="000000"/>
          <w:sz w:val="20"/>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Section 11.3 shall be payable promptly after demand therefor.</w:t>
      </w:r>
    </w:p>
    <w:p>
      <w:pPr>
        <w:pStyle w:val="TextBody"/>
        <w:spacing w:before="5"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Waiver of Consequential Damages, Etc.</w:t>
      </w:r>
      <w:r>
        <w:rPr>
          <w:color w:val="000000"/>
        </w:rPr>
        <w:t xml:space="preserve"> </w:t>
      </w:r>
      <w:r>
        <w:rPr>
          <w:rFonts w:ascii="Times New Roman;sans-serif" w:hAnsi="Times New Roman;sans-serif"/>
          <w:b w:val="false"/>
          <w:color w:val="000000"/>
          <w:sz w:val="20"/>
        </w:rPr>
        <w:t>To the fullest extent permitted by Applicable Law, Borrower shall not assert, and hereby waives, any claim against any Indemnified Person,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Indemnified Person shall be liable for any damages arising from</w:t>
      </w:r>
    </w:p>
    <w:p>
      <w:pPr>
        <w:pStyle w:val="TextBody"/>
        <w:spacing w:before="0" w:after="0"/>
        <w:jc w:val="both"/>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pStyle w:val="TextBody"/>
        <w:spacing w:before="11" w:after="283"/>
        <w:rPr/>
      </w:pPr>
      <w:r>
        <w:rPr/>
      </w:r>
    </w:p>
    <w:p>
      <w:pPr>
        <w:pStyle w:val="TextBody"/>
        <w:spacing w:lineRule="auto" w:line="240"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This Section 11.3 shall survive the termination of this Agreement and the repayment of all Obligations until all statutes of limitation with respect to the Claims, losses, and expenses for which indemnity is given shall have run.</w:t>
      </w:r>
    </w:p>
    <w:p>
      <w:pPr>
        <w:pStyle w:val="TextBody"/>
        <w:spacing w:before="2" w:after="283"/>
        <w:rPr/>
      </w:pPr>
      <w:r>
        <w:rPr/>
      </w:r>
    </w:p>
    <w:p>
      <w:pPr>
        <w:pStyle w:val="TextBody"/>
        <w:spacing w:lineRule="auto" w:line="240" w:before="0" w:after="0"/>
        <w:ind w:left="0" w:right="0" w:hanging="720"/>
        <w:rPr/>
      </w:pPr>
      <w:r>
        <w:rPr>
          <w:rFonts w:ascii="Times New Roman;sans-serif" w:hAnsi="Times New Roman;sans-serif"/>
          <w:b/>
          <w:color w:val="000000"/>
          <w:sz w:val="20"/>
        </w:rPr>
        <w:t xml:space="preserve">11.4Time of Essence. </w:t>
      </w:r>
      <w:r>
        <w:rPr>
          <w:rFonts w:ascii="Times New Roman;sans-serif" w:hAnsi="Times New Roman;sans-serif"/>
          <w:b w:val="false"/>
          <w:color w:val="000000"/>
          <w:sz w:val="20"/>
        </w:rPr>
        <w:t>Time is of the essence for the performance of all Obligations in this Agreement.</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11.5Severability of Provisions. </w:t>
      </w:r>
      <w:r>
        <w:rPr>
          <w:rFonts w:ascii="Times New Roman;sans-serif" w:hAnsi="Times New Roman;sans-serif"/>
          <w:b w:val="false"/>
          <w:color w:val="000000"/>
          <w:sz w:val="20"/>
        </w:rPr>
        <w:t>Each provision of this Agreement is severable from every other provision in determining the enforceability of any provision.</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11.6Amendments in Writing; Waiver; Integration. </w:t>
      </w:r>
      <w:r>
        <w:rPr>
          <w:rFonts w:ascii="Times New Roman;sans-serif" w:hAnsi="Times New Roman;sans-serif"/>
          <w:b w:val="false"/>
          <w:color w:val="000000"/>
          <w:sz w:val="20"/>
        </w:rPr>
        <w:t>No purported amendment or modification of any Loan Document, or waiver, discharge or termination of any obligation under any Loan 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251710"/>
                <wp:effectExtent l="0" t="0" r="0" b="0"/>
                <wp:wrapNone/>
                <wp:docPr id="328" name="Frame162"/>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2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39" descr=""/>
                                          <pic:cNvPicPr>
                                            <a:picLocks noChangeAspect="1" noChangeArrowheads="1"/>
                                          </pic:cNvPicPr>
                                        </pic:nvPicPr>
                                        <pic:blipFill>
                                          <a:blip r:embed="rId14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3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39" descr=""/>
                                    <pic:cNvPicPr>
                                      <a:picLocks noChangeAspect="1" noChangeArrowheads="1"/>
                                    </pic:cNvPicPr>
                                  </pic:nvPicPr>
                                  <pic:blipFill>
                                    <a:blip r:embed="rId14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5"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11.7Counterparts. </w:t>
      </w:r>
      <w:r>
        <w:rPr>
          <w:rFonts w:ascii="Times New Roman;sans-serif" w:hAnsi="Times New Roman;sans-serif"/>
          <w:b w:val="false"/>
          <w:color w:val="000000"/>
          <w:sz w:val="20"/>
        </w:rPr>
        <w:t>This Agreement may be executed in any number of counterparts and by different parties on separate counterparts, each of which, when executed and delivered, is an original, and all taken together, constitute one Agreement. Delivery of an executed signature page of this Agreement by electronic mail transmission shall be effective as delivery of a manually executed counterpart hereof.</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11.8Confidentiality. </w:t>
      </w:r>
      <w:r>
        <w:rPr>
          <w:rFonts w:ascii="Times New Roman;sans-serif" w:hAnsi="Times New Roman;sans-serif"/>
          <w:b w:val="false"/>
          <w:color w:val="000000"/>
          <w:sz w:val="20"/>
        </w:rPr>
        <w:t>Bank agrees to maintain the confidentiality of Information (as defined below), except that Information may be disclosed (a) to Bank’s Subsidiaries and Affiliates and their respective employees, directors, agents, attorneys, accountants and other professional advisors (collectively, “</w:t>
      </w:r>
      <w:r>
        <w:rPr>
          <w:rFonts w:ascii="Times New Roman;sans-serif" w:hAnsi="Times New Roman;sans-serif"/>
          <w:b/>
          <w:color w:val="000000"/>
          <w:sz w:val="20"/>
        </w:rPr>
        <w:t>Representatives</w:t>
      </w:r>
      <w:r>
        <w:rPr>
          <w:color w:val="000000"/>
        </w:rPr>
        <w:t xml:space="preserve">” </w:t>
      </w:r>
      <w:r>
        <w:rPr>
          <w:rFonts w:ascii="Times New Roman;sans-serif" w:hAnsi="Times New Roman;sans-serif"/>
          <w:b w:val="false"/>
          <w:color w:val="000000"/>
          <w:sz w:val="20"/>
        </w:rPr>
        <w:t>and, together with Bank, collectively, “</w:t>
      </w:r>
      <w:r>
        <w:rPr>
          <w:rFonts w:ascii="Times New Roman;sans-serif" w:hAnsi="Times New Roman;sans-serif"/>
          <w:b/>
          <w:color w:val="000000"/>
          <w:sz w:val="20"/>
        </w:rPr>
        <w:t>Bank Entities</w:t>
      </w:r>
      <w:r>
        <w:rPr>
          <w:color w:val="000000"/>
        </w:rPr>
        <w:t>”</w:t>
      </w:r>
      <w:r>
        <w:rPr>
          <w:rFonts w:ascii="Times New Roman;sans-serif" w:hAnsi="Times New Roman;sans-serif"/>
          <w:b w:val="false"/>
          <w:color w:val="000000"/>
          <w:sz w:val="20"/>
        </w:rPr>
        <w:t>), provided that such Bank Entities are subject to the same confidentiality provisions herein; (b) to prospective transferees, assignees, credit providers or purchasers of Bank’s interests under or in connection with this Agreement and their Representatives (provided, however, Bank shall use obtain any such prospective transferee’s, assignee’s, credit provider’s, purchaser’s or their Representatives’ agreement to the terms of this provision or substantially similar terms);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sans-serif" w:hAnsi="Times New Roman;sans-serif"/>
          <w:b/>
          <w:color w:val="000000"/>
          <w:sz w:val="20"/>
        </w:rPr>
        <w:t>Information</w:t>
      </w:r>
      <w:r>
        <w:rPr>
          <w:color w:val="000000"/>
        </w:rPr>
        <w:t xml:space="preserve">” </w:t>
      </w:r>
      <w:r>
        <w:rPr>
          <w:rFonts w:ascii="Times New Roman;sans-serif" w:hAnsi="Times New Roman;sans-serif"/>
          <w:b w:val="false"/>
          <w:color w:val="000000"/>
          <w:sz w:val="20"/>
        </w:rPr>
        <w:t>means all information received from Borrower and its agents regarding Borrower or its business, in each case other than information that is either:</w:t>
      </w:r>
    </w:p>
    <w:p>
      <w:pPr>
        <w:pStyle w:val="TextBody"/>
        <w:spacing w:lineRule="auto" w:line="240" w:before="6"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11.9Electronic Execution of Documents. </w:t>
      </w:r>
      <w:r>
        <w:rPr>
          <w:rFonts w:ascii="Times New Roman;sans-serif" w:hAnsi="Times New Roman;sans-serif"/>
          <w:b w:val="false"/>
          <w:color w:val="000000"/>
          <w:sz w:val="20"/>
        </w:rPr>
        <w:t>The words “execution,” “signed,” “signature” and words of like import in any Loan Document shall be deemed to include electronic signatures, or the keeping of records in electronic form, each of which shall be of the same legal effect, validity and enforceability as a manually executed</w:t>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signature or the use of a paper-based recordkeeping systems, as the case may be, to the extent and as provided for in any Applicable Law, including, without limitation, any state law based on the Uniform Electronic Transactions Act.</w:t>
      </w:r>
    </w:p>
    <w:p>
      <w:pPr>
        <w:pStyle w:val="TextBody"/>
        <w:spacing w:before="1"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11.10Right of Setoff. </w:t>
      </w:r>
      <w:r>
        <w:rPr>
          <w:rFonts w:ascii="Times New Roman;sans-serif" w:hAnsi="Times New Roman;sans-serif"/>
          <w:b w:val="false"/>
          <w:color w:val="000000"/>
          <w:sz w:val="20"/>
        </w:rPr>
        <w:t>Borrower hereby grants to Bank a Lien and a right of setoff as security for all 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pStyle w:val="TextBody"/>
        <w:spacing w:before="5"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11.11Captions and Section References. </w:t>
      </w:r>
      <w:r>
        <w:rPr>
          <w:rFonts w:ascii="Times New Roman;sans-serif" w:hAnsi="Times New Roman;sans-serif"/>
          <w:b w:val="false"/>
          <w:color w:val="000000"/>
          <w:sz w:val="20"/>
        </w:rPr>
        <w:t>The headings used in this Agreement are for convenience only and shall not affect the interpretation of this Agreement. Unless indicated otherwise, section references herein are to sections of this Agreement.</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11.12Construction of Agreement. </w:t>
      </w:r>
      <w:r>
        <w:rPr>
          <w:rFonts w:ascii="Times New Roman;sans-serif" w:hAnsi="Times New Roman;sans-serif"/>
          <w:b w:val="false"/>
          <w:color w:val="000000"/>
          <w:sz w:val="20"/>
        </w:rPr>
        <w:t>The parties hereto mutually acknowledge that they and their attorneys have participated in the preparation and negotiation of this Agreement. In cases of uncertainty this Agreement shall be construed without regard to which of the parties caused the uncertainty to exist.</w:t>
      </w:r>
    </w:p>
    <w:p>
      <w:pPr>
        <w:pStyle w:val="TextBody"/>
        <w:spacing w:before="2"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11.13Relationship. </w:t>
      </w:r>
      <w:r>
        <w:rPr>
          <w:rFonts w:ascii="Times New Roman;sans-serif" w:hAnsi="Times New Roman;sans-serif"/>
          <w:b w:val="false"/>
          <w:color w:val="000000"/>
          <w:sz w:val="20"/>
        </w:rPr>
        <w:t>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w:t>
      </w:r>
    </w:p>
    <w:p>
      <w:pPr>
        <w:pStyle w:val="TextBody"/>
        <w:spacing w:before="2"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0"/>
        </w:rPr>
        <w:t xml:space="preserve">11.14Third Parties. </w:t>
      </w:r>
      <w:r>
        <w:rPr>
          <w:rFonts w:ascii="Times New Roman;sans-serif" w:hAnsi="Times New Roman;sans-serif"/>
          <w:b w:val="false"/>
          <w:color w:val="000000"/>
          <w:sz w:val="20"/>
        </w:rPr>
        <w:t>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pStyle w:val="TextBody"/>
        <w:spacing w:before="2"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251710"/>
                <wp:effectExtent l="0" t="0" r="0" b="0"/>
                <wp:wrapNone/>
                <wp:docPr id="331" name="Frame163"/>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32"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40" descr=""/>
                                          <pic:cNvPicPr>
                                            <a:picLocks noChangeAspect="1" noChangeArrowheads="1"/>
                                          </pic:cNvPicPr>
                                        </pic:nvPicPr>
                                        <pic:blipFill>
                                          <a:blip r:embed="rId14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3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40" descr=""/>
                                    <pic:cNvPicPr>
                                      <a:picLocks noChangeAspect="1" noChangeArrowheads="1"/>
                                    </pic:cNvPicPr>
                                  </pic:nvPicPr>
                                  <pic:blipFill>
                                    <a:blip r:embed="rId14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1" w:after="283"/>
        <w:ind w:left="0" w:right="0" w:firstLine="720"/>
        <w:jc w:val="both"/>
        <w:rPr/>
      </w:pPr>
      <w:r>
        <w:rPr>
          <w:rFonts w:ascii="Times New Roman;sans-serif" w:hAnsi="Times New Roman;sans-serif"/>
          <w:b/>
          <w:color w:val="000000"/>
          <w:sz w:val="20"/>
        </w:rPr>
        <w:t xml:space="preserve">11.15Anti-Terrorism Law. </w:t>
      </w:r>
      <w:r>
        <w:rPr>
          <w:rFonts w:ascii="Times New Roman;sans-serif" w:hAnsi="Times New Roman;sans-serif"/>
          <w:b w:val="false"/>
          <w:color w:val="000000"/>
          <w:sz w:val="20"/>
        </w:rPr>
        <w:t>Bank hereby notifies Borrower that, pursuant to the requirements of Anti-Terrorism Law, Bank may be required to 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w:t>
      </w:r>
    </w:p>
    <w:p>
      <w:pPr>
        <w:pStyle w:val="TextBody"/>
        <w:spacing w:before="2" w:after="283"/>
        <w:rPr/>
      </w:pPr>
      <w:r>
        <w:rPr/>
      </w:r>
    </w:p>
    <w:p>
      <w:pPr>
        <w:pStyle w:val="TextBody"/>
        <w:spacing w:lineRule="auto" w:line="240" w:before="1" w:after="283"/>
        <w:ind w:left="0" w:right="0" w:hanging="720"/>
        <w:rPr/>
      </w:pPr>
      <w:r>
        <w:rPr>
          <w:rFonts w:ascii="Times New Roman;sans-serif" w:hAnsi="Times New Roman;sans-serif"/>
          <w:b/>
          <w:color w:val="000000"/>
          <w:sz w:val="20"/>
        </w:rPr>
        <w:t>12.</w:t>
      </w:r>
      <w:r>
        <w:rPr>
          <w:rFonts w:ascii="Times New Roman;sans-serif" w:hAnsi="Times New Roman;sans-serif"/>
          <w:b/>
          <w:color w:val="000000"/>
          <w:sz w:val="20"/>
          <w:u w:val="single"/>
        </w:rPr>
        <w:t>ACCOUNTING TERMS AND OTHER DEFINITIONS</w:t>
      </w:r>
    </w:p>
    <w:p>
      <w:pPr>
        <w:pStyle w:val="TextBody"/>
        <w:spacing w:before="2" w:after="283"/>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12.1Accounting and Other Terms.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(a)Accounting terms not defined in this Agreement shall be construed following GAAP, except for non-compliance with FAS 123R with respect to monthly financial statements. Calculations and determinations must be made following GAAP (except for (a) non-compliance with FAS 123R with respect to monthly financial statement),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provided, further, that, until so amended, (i) such ratio or requirement shall continue to be computed in accordance with GAAP prior to such change therein and (ii) Borrower shall provide Bank financial statements and other documents required under this Agreement or as reasonably requested hereunder</w:t>
      </w:r>
    </w:p>
    <w:p>
      <w:pPr>
        <w:pStyle w:val="TextBody"/>
        <w:spacing w:before="0" w:after="0"/>
        <w:jc w:val="both"/>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251710"/>
                <wp:effectExtent l="0" t="0" r="0" b="0"/>
                <wp:wrapNone/>
                <wp:docPr id="334" name="Frame164"/>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3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41" descr=""/>
                                          <pic:cNvPicPr>
                                            <a:picLocks noChangeAspect="1" noChangeArrowheads="1"/>
                                          </pic:cNvPicPr>
                                        </pic:nvPicPr>
                                        <pic:blipFill>
                                          <a:blip r:embed="rId14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3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41" descr=""/>
                                    <pic:cNvPicPr>
                                      <a:picLocks noChangeAspect="1" noChangeArrowheads="1"/>
                                    </pic:cNvPicPr>
                                  </pic:nvPicPr>
                                  <pic:blipFill>
                                    <a:blip r:embed="rId14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setting forth a reconciliation between calculations of such ratio or requirement made before and after giving effect to such change in GAAP.</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w:t>
      </w:r>
    </w:p>
    <w:p>
      <w:pPr>
        <w:pStyle w:val="TextBody"/>
        <w:spacing w:before="3" w:after="283"/>
        <w:rPr/>
      </w:pPr>
      <w:r>
        <w:rPr/>
      </w:r>
    </w:p>
    <w:p>
      <w:pPr>
        <w:pStyle w:val="TextBody"/>
        <w:spacing w:lineRule="auto" w:line="240" w:before="0" w:after="0"/>
        <w:ind w:left="0" w:right="0" w:firstLine="720"/>
        <w:jc w:val="both"/>
        <w:rPr/>
      </w:pPr>
      <w:r>
        <w:rPr>
          <w:rFonts w:ascii="Times New Roman;sans-serif" w:hAnsi="Times New Roman;sans-serif"/>
          <w:b/>
          <w:color w:val="000000"/>
          <w:sz w:val="20"/>
        </w:rPr>
        <w:t xml:space="preserve">12.2Definitions. </w:t>
      </w:r>
      <w:r>
        <w:rPr>
          <w:rFonts w:ascii="Times New Roman;sans-serif" w:hAnsi="Times New Roman;sans-serif"/>
          <w:b w:val="false"/>
          <w:color w:val="000000"/>
          <w:sz w:val="20"/>
        </w:rPr>
        <w:t>Capitalized terms not otherwise defined in this Agreement shall have the meanings set forth in this Section 12.2. All other terms contained in this Agreement, unless otherwise indicated, shall have the meaning provided by the Code to the extent such terms are defined therein. As used in this Agreement, the following capitalized terms have the following meanings:</w:t>
      </w:r>
    </w:p>
    <w:p>
      <w:pPr>
        <w:pStyle w:val="TextBody"/>
        <w:spacing w:before="0" w:after="0"/>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Account</w:t>
      </w:r>
      <w:r>
        <w:rPr>
          <w:color w:val="000000"/>
        </w:rPr>
        <w:t xml:space="preserve">” </w:t>
      </w:r>
      <w:r>
        <w:rPr>
          <w:rFonts w:ascii="Times New Roman;sans-serif" w:hAnsi="Times New Roman;sans-serif"/>
          <w:b w:val="false"/>
          <w:color w:val="000000"/>
          <w:sz w:val="20"/>
        </w:rPr>
        <w:t>is, as to any Person, any “account” of such Person as “account” is defined in the Code with such additions to such term as may hereafter be made, and includes, without limitation, all accounts receivable and other sums owing to such Person.</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Account Debtor</w:t>
      </w:r>
      <w:r>
        <w:rPr>
          <w:color w:val="000000"/>
        </w:rPr>
        <w:t xml:space="preserve">” </w:t>
      </w:r>
      <w:r>
        <w:rPr>
          <w:rFonts w:ascii="Times New Roman;sans-serif" w:hAnsi="Times New Roman;sans-serif"/>
          <w:b w:val="false"/>
          <w:color w:val="000000"/>
          <w:sz w:val="20"/>
        </w:rPr>
        <w:t>is any “account debtor” as defined in the Code with such additions to such term as may hereafter be made.</w:t>
      </w:r>
    </w:p>
    <w:p>
      <w:pPr>
        <w:pStyle w:val="TextBody"/>
        <w:spacing w:before="11" w:after="283"/>
        <w:rPr/>
      </w:pPr>
      <w:r>
        <w:rPr/>
      </w:r>
    </w:p>
    <w:p>
      <w:pPr>
        <w:pStyle w:val="TextBody"/>
        <w:spacing w:lineRule="auto" w:line="240" w:before="0" w:after="7"/>
        <w:jc w:val="both"/>
        <w:rPr/>
      </w:pPr>
      <w:r>
        <w:rPr/>
        <w:drawing>
          <wp:inline distT="0" distB="63500" distL="0" distR="0">
            <wp:extent cx="14605" cy="581025"/>
            <wp:effectExtent l="0" t="0" r="0" b="0"/>
            <wp:docPr id="33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42" descr=""/>
                    <pic:cNvPicPr>
                      <a:picLocks noChangeAspect="1" noChangeArrowheads="1"/>
                    </pic:cNvPicPr>
                  </pic:nvPicPr>
                  <pic:blipFill>
                    <a:blip r:embed="rId148"/>
                    <a:stretch>
                      <a:fillRect/>
                    </a:stretch>
                  </pic:blipFill>
                  <pic:spPr bwMode="auto">
                    <a:xfrm>
                      <a:off x="0" y="0"/>
                      <a:ext cx="14605" cy="58102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Adjusted EBITDA</w:t>
      </w:r>
      <w:r>
        <w:rPr>
          <w:color w:val="0000FF"/>
          <w:u w:val="single"/>
        </w:rPr>
        <w:t xml:space="preserve">” </w:t>
      </w:r>
      <w:r>
        <w:rPr>
          <w:rFonts w:ascii="Times New Roman;sans-serif" w:hAnsi="Times New Roman;sans-serif"/>
          <w:b w:val="false"/>
          <w:color w:val="0000FF"/>
          <w:sz w:val="20"/>
          <w:u w:val="single"/>
        </w:rPr>
        <w:t>shall mean, for Borrower and its Subsidiaries, with respect to any period, the sum of</w:t>
      </w:r>
    </w:p>
    <w:p>
      <w:pPr>
        <w:pStyle w:val="TextBody"/>
        <w:spacing w:before="0" w:after="0"/>
        <w:rPr/>
      </w:pPr>
      <w:r>
        <w:rPr/>
        <w:drawing>
          <wp:inline distT="0" distB="63500" distL="0" distR="0">
            <wp:extent cx="5438775" cy="14605"/>
            <wp:effectExtent l="0" t="0" r="0" b="0"/>
            <wp:docPr id="33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43" descr=""/>
                    <pic:cNvPicPr>
                      <a:picLocks noChangeAspect="1" noChangeArrowheads="1"/>
                    </pic:cNvPicPr>
                  </pic:nvPicPr>
                  <pic:blipFill>
                    <a:blip r:embed="rId149"/>
                    <a:stretch>
                      <a:fillRect/>
                    </a:stretch>
                  </pic:blipFill>
                  <pic:spPr bwMode="auto">
                    <a:xfrm>
                      <a:off x="0" y="0"/>
                      <a:ext cx="5438775" cy="14605"/>
                    </a:xfrm>
                    <a:prstGeom prst="rect">
                      <a:avLst/>
                    </a:prstGeom>
                  </pic:spPr>
                </pic:pic>
              </a:graphicData>
            </a:graphic>
          </wp:inline>
        </w:drawing>
      </w:r>
    </w:p>
    <w:p>
      <w:pPr>
        <w:pStyle w:val="TextBody"/>
        <w:spacing w:lineRule="auto" w:line="240" w:before="0" w:after="0"/>
        <w:jc w:val="both"/>
        <w:rPr/>
      </w:pPr>
      <w:r>
        <w:rPr>
          <w:rFonts w:ascii="Times New Roman;sans-serif" w:hAnsi="Times New Roman;sans-serif"/>
          <w:b w:val="false"/>
          <w:color w:val="007F00"/>
          <w:sz w:val="20"/>
          <w:u w:val="single"/>
        </w:rPr>
        <w:t xml:space="preserve">(a)Net Income, </w:t>
      </w:r>
      <w:r>
        <w:rPr>
          <w:rFonts w:ascii="Times New Roman;sans-serif" w:hAnsi="Times New Roman;sans-serif"/>
          <w:b w:val="false"/>
          <w:i/>
          <w:color w:val="007F00"/>
          <w:sz w:val="20"/>
          <w:u w:val="single"/>
        </w:rPr>
        <w:t xml:space="preserve">plus </w:t>
      </w:r>
      <w:r>
        <w:rPr>
          <w:rFonts w:ascii="Times New Roman;sans-serif" w:hAnsi="Times New Roman;sans-serif"/>
          <w:b w:val="false"/>
          <w:color w:val="007F00"/>
          <w:sz w:val="20"/>
          <w:u w:val="single"/>
        </w:rPr>
        <w:t>(b) to the extent deducted</w:t>
      </w:r>
      <w:r>
        <w:rPr>
          <w:color w:val="007F00"/>
        </w:rPr>
        <w:t xml:space="preserve"> </w:t>
      </w:r>
      <w:r>
        <w:rPr>
          <w:rFonts w:ascii="Times New Roman;sans-serif" w:hAnsi="Times New Roman;sans-serif"/>
          <w:b w:val="false"/>
          <w:color w:val="0000FF"/>
          <w:sz w:val="20"/>
          <w:u w:val="single"/>
        </w:rPr>
        <w:t xml:space="preserve">or added to </w:t>
      </w:r>
      <w:r>
        <w:rPr>
          <w:rFonts w:ascii="Times New Roman;sans-serif" w:hAnsi="Times New Roman;sans-serif"/>
          <w:b w:val="false"/>
          <w:color w:val="007F00"/>
          <w:sz w:val="20"/>
          <w:u w:val="single"/>
        </w:rPr>
        <w:t>the calculation of Net Income</w:t>
      </w:r>
      <w:r>
        <w:rPr>
          <w:rFonts w:ascii="Times New Roman;sans-serif" w:hAnsi="Times New Roman;sans-serif"/>
          <w:b w:val="false"/>
          <w:color w:val="0000FF"/>
          <w:sz w:val="20"/>
          <w:u w:val="single"/>
        </w:rPr>
        <w:t>, (i) Interest income,</w:t>
      </w:r>
      <w:r>
        <w:rPr>
          <w:color w:val="0000FF"/>
        </w:rPr>
        <w:t xml:space="preserve"> </w:t>
      </w:r>
      <w:r>
        <w:rPr>
          <w:rFonts w:ascii="Times New Roman;sans-serif" w:hAnsi="Times New Roman;sans-serif"/>
          <w:b w:val="false"/>
          <w:color w:val="0000FF"/>
          <w:sz w:val="20"/>
          <w:u w:val="single"/>
        </w:rPr>
        <w:t>Interest Expenses</w:t>
      </w:r>
      <w:r>
        <w:rPr>
          <w:rFonts w:ascii="Times New Roman;sans-serif" w:hAnsi="Times New Roman;sans-serif"/>
          <w:b w:val="false"/>
          <w:color w:val="007F00"/>
          <w:sz w:val="20"/>
          <w:u w:val="single"/>
        </w:rPr>
        <w:t>, (ii) depreciation expense and amortization expense, (iii) income tax expense,</w:t>
      </w:r>
      <w:r>
        <w:rPr>
          <w:color w:val="007F00"/>
        </w:rPr>
        <w:t xml:space="preserve"> </w:t>
      </w:r>
      <w:r>
        <w:rPr>
          <w:rFonts w:ascii="Times New Roman;sans-serif" w:hAnsi="Times New Roman;sans-serif"/>
          <w:b w:val="false"/>
          <w:color w:val="0000FF"/>
          <w:sz w:val="20"/>
          <w:u w:val="single"/>
        </w:rPr>
        <w:t>(iv) non-cash stock</w:t>
      </w:r>
      <w:r>
        <w:rPr>
          <w:color w:val="0000FF"/>
        </w:rPr>
        <w:t xml:space="preserve"> </w:t>
      </w:r>
      <w:r>
        <w:rPr>
          <w:rFonts w:ascii="Times New Roman;sans-serif" w:hAnsi="Times New Roman;sans-serif"/>
          <w:b w:val="false"/>
          <w:color w:val="0000FF"/>
          <w:sz w:val="20"/>
          <w:u w:val="single"/>
        </w:rPr>
        <w:t>compensation, and (v) any other one-time restructuring or non-cash charges.</w:t>
      </w:r>
    </w:p>
    <w:p>
      <w:pPr>
        <w:pStyle w:val="TextBody"/>
        <w:spacing w:before="9" w:after="283"/>
        <w:rPr/>
      </w:pPr>
      <w:r>
        <w:rPr/>
      </w:r>
    </w:p>
    <w:p>
      <w:pPr>
        <w:pStyle w:val="TextBody"/>
        <w:spacing w:lineRule="auto" w:line="240" w:before="91" w:after="283"/>
        <w:ind w:left="0" w:right="0" w:firstLine="720"/>
        <w:rPr/>
      </w:pPr>
      <w:r>
        <w:rPr/>
        <w:drawing>
          <wp:inline distT="0" distB="63500" distL="0" distR="0">
            <wp:extent cx="14605" cy="285750"/>
            <wp:effectExtent l="0" t="0" r="0" b="0"/>
            <wp:docPr id="33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44" descr=""/>
                    <pic:cNvPicPr>
                      <a:picLocks noChangeAspect="1" noChangeArrowheads="1"/>
                    </pic:cNvPicPr>
                  </pic:nvPicPr>
                  <pic:blipFill>
                    <a:blip r:embed="rId150"/>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Adjusted Quick Ratio</w:t>
      </w:r>
      <w:r>
        <w:rPr>
          <w:color w:val="0000FF"/>
          <w:u w:val="single"/>
        </w:rPr>
        <w:t xml:space="preserve">” </w:t>
      </w:r>
      <w:r>
        <w:rPr>
          <w:rFonts w:ascii="Times New Roman;sans-serif" w:hAnsi="Times New Roman;sans-serif"/>
          <w:b w:val="false"/>
          <w:color w:val="0000FF"/>
          <w:sz w:val="20"/>
          <w:u w:val="single"/>
        </w:rPr>
        <w:t>is the ratio of (a) Quick Assets to (b) the sum of (i) Current Liabilities minus (ii)</w:t>
      </w:r>
      <w:r>
        <w:rPr>
          <w:color w:val="0000FF"/>
        </w:rPr>
        <w:t xml:space="preserve"> </w:t>
      </w:r>
      <w:r>
        <w:rPr>
          <w:rFonts w:ascii="Times New Roman;sans-serif" w:hAnsi="Times New Roman;sans-serif"/>
          <w:b w:val="false"/>
          <w:color w:val="0000FF"/>
          <w:sz w:val="20"/>
          <w:u w:val="single"/>
        </w:rPr>
        <w:t>the current portion of Deferred Revenue.</w:t>
      </w:r>
    </w:p>
    <w:p>
      <w:pPr>
        <w:pStyle w:val="TextBody"/>
        <w:spacing w:before="0" w:after="0"/>
        <w:rPr/>
      </w:pPr>
      <w:r>
        <w:rPr/>
      </w:r>
    </w:p>
    <w:p>
      <w:pPr>
        <w:pStyle w:val="TextBody"/>
        <w:spacing w:lineRule="auto" w:line="240" w:before="91" w:after="283"/>
        <w:rPr/>
      </w:pPr>
      <w:r>
        <w:rPr/>
        <w:drawing>
          <wp:inline distT="0" distB="63500" distL="0" distR="0">
            <wp:extent cx="14605" cy="142875"/>
            <wp:effectExtent l="0" t="0" r="0" b="0"/>
            <wp:docPr id="34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45" descr=""/>
                    <pic:cNvPicPr>
                      <a:picLocks noChangeAspect="1" noChangeArrowheads="1"/>
                    </pic:cNvPicPr>
                  </pic:nvPicPr>
                  <pic:blipFill>
                    <a:blip r:embed="rId151"/>
                    <a:stretch>
                      <a:fillRect/>
                    </a:stretch>
                  </pic:blipFill>
                  <pic:spPr bwMode="auto">
                    <a:xfrm>
                      <a:off x="0" y="0"/>
                      <a:ext cx="14605" cy="142875"/>
                    </a:xfrm>
                    <a:prstGeom prst="rect">
                      <a:avLst/>
                    </a:prstGeom>
                  </pic:spPr>
                </pic:pic>
              </a:graphicData>
            </a:graphic>
          </wp:inline>
        </w:drawing>
      </w:r>
      <w:r>
        <w:rPr>
          <w:color w:val="0000FF"/>
          <w:u w:val="single"/>
        </w:rPr>
        <w:t xml:space="preserve"> “</w:t>
      </w:r>
      <w:r>
        <w:rPr>
          <w:rFonts w:ascii="Times New Roman;sans-serif" w:hAnsi="Times New Roman;sans-serif"/>
          <w:b/>
          <w:color w:val="0000FF"/>
          <w:sz w:val="20"/>
          <w:u w:val="single"/>
        </w:rPr>
        <w:t>Administrator</w:t>
      </w:r>
      <w:r>
        <w:rPr>
          <w:color w:val="0000FF"/>
          <w:u w:val="single"/>
        </w:rPr>
        <w:t xml:space="preserve">” </w:t>
      </w:r>
      <w:r>
        <w:rPr>
          <w:rFonts w:ascii="Times New Roman;sans-serif" w:hAnsi="Times New Roman;sans-serif"/>
          <w:b w:val="false"/>
          <w:color w:val="0000FF"/>
          <w:sz w:val="20"/>
          <w:u w:val="single"/>
        </w:rPr>
        <w:t>is an individual that is named:</w:t>
      </w:r>
    </w:p>
    <w:p>
      <w:pPr>
        <w:pStyle w:val="TextBody"/>
        <w:spacing w:before="0" w:after="0"/>
        <w:rPr/>
      </w:pPr>
      <w:r>
        <w:rPr/>
      </w:r>
    </w:p>
    <w:p>
      <w:pPr>
        <w:pStyle w:val="TextBody"/>
        <w:spacing w:lineRule="auto" w:line="240" w:before="91" w:after="283"/>
        <w:ind w:left="0" w:right="0" w:firstLine="720"/>
        <w:jc w:val="both"/>
        <w:rPr/>
      </w:pPr>
      <w:r>
        <w:rPr>
          <w:rFonts w:ascii="Times New Roman;sans-serif" w:hAnsi="Times New Roman;sans-serif"/>
          <w:b w:val="false"/>
          <w:color w:val="0000FF"/>
          <w:sz w:val="20"/>
          <w:u w:val="single"/>
        </w:rPr>
        <w:t>(a)</w:t>
      </w:r>
      <w:r>
        <w:rPr/>
        <w:drawing>
          <wp:inline distT="0" distB="63500" distL="0" distR="0">
            <wp:extent cx="14605" cy="438150"/>
            <wp:effectExtent l="0" t="0" r="0" b="0"/>
            <wp:docPr id="34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46" descr=""/>
                    <pic:cNvPicPr>
                      <a:picLocks noChangeAspect="1" noChangeArrowheads="1"/>
                    </pic:cNvPicPr>
                  </pic:nvPicPr>
                  <pic:blipFill>
                    <a:blip r:embed="rId152"/>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as an “Administrator” in the “SVB Online Services” form completed by Borrower with</w:t>
      </w:r>
      <w:r>
        <w:rPr>
          <w:color w:val="0000FF"/>
        </w:rPr>
        <w:t xml:space="preserve"> </w:t>
      </w:r>
      <w:r>
        <w:rPr>
          <w:rFonts w:ascii="Times New Roman;sans-serif" w:hAnsi="Times New Roman;sans-serif"/>
          <w:b w:val="false"/>
          <w:color w:val="0000FF"/>
          <w:sz w:val="20"/>
          <w:u w:val="single"/>
        </w:rPr>
        <w:t>the authority to determine who will be authorized to use SVB Online Services (as defined in Bank’s Online</w:t>
      </w:r>
      <w:r>
        <w:rPr>
          <w:color w:val="0000FF"/>
        </w:rPr>
        <w:t xml:space="preserve"> </w:t>
      </w:r>
      <w:r>
        <w:rPr>
          <w:rFonts w:ascii="Times New Roman;sans-serif" w:hAnsi="Times New Roman;sans-serif"/>
          <w:b w:val="false"/>
          <w:color w:val="0000FF"/>
          <w:sz w:val="20"/>
          <w:u w:val="single"/>
        </w:rPr>
        <w:t>Banking Agreement as in effect from time to time) on behalf of Borrower; and</w:t>
      </w:r>
    </w:p>
    <w:p>
      <w:pPr>
        <w:pStyle w:val="TextBody"/>
        <w:spacing w:before="1" w:after="283"/>
        <w:rPr/>
      </w:pPr>
      <w:r>
        <w:rPr/>
      </w:r>
    </w:p>
    <w:p>
      <w:pPr>
        <w:pStyle w:val="TextBody"/>
        <w:spacing w:lineRule="auto" w:line="240" w:before="91" w:after="283"/>
        <w:ind w:left="0" w:right="0" w:hanging="720"/>
        <w:rPr/>
      </w:pPr>
      <w:r>
        <w:rPr>
          <w:rFonts w:ascii="Times New Roman;sans-serif" w:hAnsi="Times New Roman;sans-serif"/>
          <w:b w:val="false"/>
          <w:color w:val="0000FF"/>
          <w:sz w:val="20"/>
          <w:u w:val="single"/>
        </w:rPr>
        <w:t>(b)</w:t>
      </w:r>
      <w:r>
        <w:rPr/>
        <w:drawing>
          <wp:inline distT="0" distB="63500" distL="0" distR="0">
            <wp:extent cx="14605" cy="142875"/>
            <wp:effectExtent l="0" t="0" r="0" b="0"/>
            <wp:docPr id="34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47" descr=""/>
                    <pic:cNvPicPr>
                      <a:picLocks noChangeAspect="1" noChangeArrowheads="1"/>
                    </pic:cNvPicPr>
                  </pic:nvPicPr>
                  <pic:blipFill>
                    <a:blip r:embed="rId153"/>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as an Authorized Signer of Borrower in an approval by the Board.</w:t>
      </w:r>
    </w:p>
    <w:p>
      <w:pPr>
        <w:pStyle w:val="TextBody"/>
        <w:spacing w:before="0" w:after="0"/>
        <w:rPr/>
      </w:pPr>
      <w:r>
        <w:rPr/>
      </w:r>
    </w:p>
    <w:p>
      <w:pPr>
        <w:pStyle w:val="TextBody"/>
        <w:spacing w:lineRule="auto" w:line="240" w:before="91" w:after="7"/>
        <w:rPr/>
      </w:pPr>
      <w:r>
        <w:rPr/>
        <w:drawing>
          <wp:inline distT="0" distB="63500" distL="0" distR="0">
            <wp:extent cx="14605" cy="285750"/>
            <wp:effectExtent l="0" t="0" r="0" b="0"/>
            <wp:docPr id="343"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48" descr=""/>
                    <pic:cNvPicPr>
                      <a:picLocks noChangeAspect="1" noChangeArrowheads="1"/>
                    </pic:cNvPicPr>
                  </pic:nvPicPr>
                  <pic:blipFill>
                    <a:blip r:embed="rId154"/>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Advance</w:t>
      </w:r>
      <w:r>
        <w:rPr>
          <w:color w:val="0000FF"/>
          <w:u w:val="single"/>
        </w:rPr>
        <w:t xml:space="preserve">” </w:t>
      </w:r>
      <w:r>
        <w:rPr>
          <w:rFonts w:ascii="Times New Roman;sans-serif" w:hAnsi="Times New Roman;sans-serif"/>
          <w:b w:val="false"/>
          <w:color w:val="0000FF"/>
          <w:sz w:val="20"/>
          <w:u w:val="single"/>
        </w:rPr>
        <w:t>or “</w:t>
      </w:r>
      <w:r>
        <w:rPr>
          <w:rFonts w:ascii="Times New Roman;sans-serif" w:hAnsi="Times New Roman;sans-serif"/>
          <w:b/>
          <w:color w:val="0000FF"/>
          <w:sz w:val="20"/>
          <w:u w:val="single"/>
        </w:rPr>
        <w:t>Advances</w:t>
      </w:r>
      <w:r>
        <w:rPr>
          <w:color w:val="0000FF"/>
          <w:u w:val="single"/>
        </w:rPr>
        <w:t xml:space="preserve">” </w:t>
      </w:r>
      <w:r>
        <w:rPr>
          <w:rFonts w:ascii="Times New Roman;sans-serif" w:hAnsi="Times New Roman;sans-serif"/>
          <w:b w:val="false"/>
          <w:color w:val="0000FF"/>
          <w:sz w:val="20"/>
          <w:u w:val="single"/>
        </w:rPr>
        <w:t>means a revolving credit loan (or revolving credit loans) under the Revolving</w:t>
      </w:r>
    </w:p>
    <w:p>
      <w:pPr>
        <w:pStyle w:val="TextBody"/>
        <w:spacing w:before="0" w:after="0"/>
        <w:rPr/>
      </w:pPr>
      <w:r>
        <w:rPr/>
        <w:drawing>
          <wp:inline distT="0" distB="63500" distL="0" distR="0">
            <wp:extent cx="5438775" cy="14605"/>
            <wp:effectExtent l="0" t="0" r="0" b="0"/>
            <wp:docPr id="344"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49" descr=""/>
                    <pic:cNvPicPr>
                      <a:picLocks noChangeAspect="1" noChangeArrowheads="1"/>
                    </pic:cNvPicPr>
                  </pic:nvPicPr>
                  <pic:blipFill>
                    <a:blip r:embed="rId155"/>
                    <a:stretch>
                      <a:fillRect/>
                    </a:stretch>
                  </pic:blipFill>
                  <pic:spPr bwMode="auto">
                    <a:xfrm>
                      <a:off x="0" y="0"/>
                      <a:ext cx="5438775" cy="14605"/>
                    </a:xfrm>
                    <a:prstGeom prst="rect">
                      <a:avLst/>
                    </a:prstGeom>
                  </pic:spPr>
                </pic:pic>
              </a:graphicData>
            </a:graphic>
          </wp:inline>
        </w:drawing>
      </w:r>
    </w:p>
    <w:p>
      <w:pPr>
        <w:pStyle w:val="TextBody"/>
        <w:spacing w:lineRule="auto" w:line="240" w:before="0" w:after="0"/>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Line.</w:t>
      </w:r>
    </w:p>
    <w:p>
      <w:pPr>
        <w:pStyle w:val="TextBody"/>
        <w:spacing w:before="8" w:after="283"/>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Affiliate</w:t>
      </w:r>
      <w:r>
        <w:rPr>
          <w:color w:val="000000"/>
        </w:rPr>
        <w:t xml:space="preserve">” </w:t>
      </w:r>
      <w:r>
        <w:rPr>
          <w:rFonts w:ascii="Times New Roman;sans-serif" w:hAnsi="Times New Roman;sans-serif"/>
          <w:b w:val="false"/>
          <w:color w:val="000000"/>
          <w:sz w:val="20"/>
        </w:rPr>
        <w:t>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0"/>
        </w:rPr>
        <w:t>Agreement</w:t>
      </w:r>
      <w:r>
        <w:rPr>
          <w:color w:val="000000"/>
        </w:rPr>
        <w:t xml:space="preserve">” </w:t>
      </w:r>
      <w:r>
        <w:rPr>
          <w:rFonts w:ascii="Times New Roman;sans-serif" w:hAnsi="Times New Roman;sans-serif"/>
          <w:b w:val="false"/>
          <w:color w:val="000000"/>
          <w:sz w:val="20"/>
        </w:rPr>
        <w:t>is defined in the preamble hereof.</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Anti-Terrorism Law</w:t>
      </w:r>
      <w:r>
        <w:rPr>
          <w:color w:val="000000"/>
        </w:rPr>
        <w:t xml:space="preserve">” </w:t>
      </w:r>
      <w:r>
        <w:rPr>
          <w:rFonts w:ascii="Times New Roman;sans-serif" w:hAnsi="Times New Roman;sans-serif"/>
          <w:b w:val="false"/>
          <w:color w:val="000000"/>
          <w:sz w:val="20"/>
        </w:rPr>
        <w:t>means any law relating to terrorism or money-laundering, including Executive Order No. 13224 and the USA Patriot Act.</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251710"/>
                <wp:effectExtent l="0" t="0" r="0" b="0"/>
                <wp:wrapNone/>
                <wp:docPr id="345" name="Frame165"/>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4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50" descr=""/>
                                          <pic:cNvPicPr>
                                            <a:picLocks noChangeAspect="1" noChangeArrowheads="1"/>
                                          </pic:cNvPicPr>
                                        </pic:nvPicPr>
                                        <pic:blipFill>
                                          <a:blip r:embed="rId15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4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50" descr=""/>
                                    <pic:cNvPicPr>
                                      <a:picLocks noChangeAspect="1" noChangeArrowheads="1"/>
                                    </pic:cNvPicPr>
                                  </pic:nvPicPr>
                                  <pic:blipFill>
                                    <a:blip r:embed="rId15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jc w:val="both"/>
        <w:rPr/>
      </w:pPr>
      <w:r>
        <w:rPr/>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Applicable Law</w:t>
      </w:r>
      <w:r>
        <w:rPr>
          <w:color w:val="000000"/>
        </w:rPr>
        <w:t xml:space="preserve">” </w:t>
      </w:r>
      <w:r>
        <w:rPr>
          <w:rFonts w:ascii="Times New Roman;sans-serif" w:hAnsi="Times New Roman;sans-serif"/>
          <w:b w:val="false"/>
          <w:color w:val="000000"/>
          <w:sz w:val="20"/>
        </w:rPr>
        <w:t>means all applicable provisions of constitutions, laws, statutes, ordinances, rules, treaties, regulations, permits, licenses, approvals, interpretations and orders of courts or Governmental Authorities and all orders and decrees of all courts and arbitrators.</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Authorized Signer</w:t>
      </w:r>
      <w:r>
        <w:rPr>
          <w:color w:val="000000"/>
        </w:rPr>
        <w:t xml:space="preserve">” </w:t>
      </w:r>
      <w:r>
        <w:rPr>
          <w:rFonts w:ascii="Times New Roman;sans-serif" w:hAnsi="Times New Roman;sans-serif"/>
          <w:b w:val="false"/>
          <w:color w:val="000000"/>
          <w:sz w:val="20"/>
        </w:rPr>
        <w:t>means any individual listed in Borrower’s Borrowing Resolution who is authorized to execute the Loan Documents, including making (and executing if applicable) any Credit Extension request, on behalf of Borrower.</w:t>
      </w:r>
    </w:p>
    <w:p>
      <w:pPr>
        <w:pStyle w:val="TextBody"/>
        <w:spacing w:before="0" w:after="0"/>
        <w:rPr/>
      </w:pPr>
      <w:r>
        <w:rPr/>
      </w:r>
    </w:p>
    <w:p>
      <w:pPr>
        <w:pStyle w:val="TextBody"/>
        <w:spacing w:lineRule="auto" w:line="240" w:before="0" w:after="0"/>
        <w:ind w:left="0" w:right="0" w:firstLine="720"/>
        <w:jc w:val="both"/>
        <w:rPr/>
      </w:pPr>
      <w:r>
        <w:rPr/>
        <w:drawing>
          <wp:inline distT="0" distB="63500" distL="0" distR="0">
            <wp:extent cx="5448300" cy="14605"/>
            <wp:effectExtent l="0" t="0" r="0" b="0"/>
            <wp:docPr id="34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51" descr=""/>
                    <pic:cNvPicPr>
                      <a:picLocks noChangeAspect="1" noChangeArrowheads="1"/>
                    </pic:cNvPicPr>
                  </pic:nvPicPr>
                  <pic:blipFill>
                    <a:blip r:embed="rId157"/>
                    <a:stretch>
                      <a:fillRect/>
                    </a:stretch>
                  </pic:blipFill>
                  <pic:spPr bwMode="auto">
                    <a:xfrm>
                      <a:off x="0" y="0"/>
                      <a:ext cx="5448300" cy="14605"/>
                    </a:xfrm>
                    <a:prstGeom prst="rect">
                      <a:avLst/>
                    </a:prstGeom>
                  </pic:spPr>
                </pic:pic>
              </a:graphicData>
            </a:graphic>
          </wp:inline>
        </w:drawing>
      </w:r>
      <w:r>
        <w:rPr/>
        <w:drawing>
          <wp:inline distT="0" distB="63500" distL="0" distR="0">
            <wp:extent cx="14605" cy="285750"/>
            <wp:effectExtent l="0" t="0" r="0" b="0"/>
            <wp:docPr id="34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52" descr=""/>
                    <pic:cNvPicPr>
                      <a:picLocks noChangeAspect="1" noChangeArrowheads="1"/>
                    </pic:cNvPicPr>
                  </pic:nvPicPr>
                  <pic:blipFill>
                    <a:blip r:embed="rId158"/>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Availability Amount</w:t>
      </w:r>
      <w:r>
        <w:rPr>
          <w:color w:val="0000FF"/>
          <w:u w:val="single"/>
        </w:rPr>
        <w:t xml:space="preserve">” </w:t>
      </w:r>
      <w:r>
        <w:rPr>
          <w:rFonts w:ascii="Times New Roman;sans-serif" w:hAnsi="Times New Roman;sans-serif"/>
          <w:b w:val="false"/>
          <w:color w:val="0000FF"/>
          <w:sz w:val="20"/>
          <w:u w:val="single"/>
        </w:rPr>
        <w:t>is the lesser of (a) the Revolving Line or (b) the Borrowing Base, minus the sum of</w:t>
      </w:r>
      <w:r>
        <w:rPr>
          <w:color w:val="0000FF"/>
        </w:rPr>
        <w:t xml:space="preserve"> </w:t>
      </w:r>
      <w:r>
        <w:rPr>
          <w:rFonts w:ascii="Times New Roman;sans-serif" w:hAnsi="Times New Roman;sans-serif"/>
          <w:b w:val="false"/>
          <w:color w:val="0000FF"/>
          <w:sz w:val="20"/>
          <w:u w:val="single"/>
        </w:rPr>
        <w:t>all outstanding principal amounts of any Advances.</w:t>
      </w:r>
    </w:p>
    <w:p>
      <w:pPr>
        <w:pStyle w:val="TextBody"/>
        <w:spacing w:before="0" w:after="0"/>
        <w:rPr/>
      </w:pPr>
      <w:r>
        <w:rPr/>
      </w:r>
    </w:p>
    <w:p>
      <w:pPr>
        <w:pStyle w:val="TextBody"/>
        <w:spacing w:lineRule="auto" w:line="568" w:before="91" w:after="283"/>
        <w:rPr/>
      </w:pPr>
      <w:r>
        <w:rPr>
          <w:color w:val="000000"/>
        </w:rPr>
        <w:t>“</w:t>
      </w:r>
      <w:r>
        <w:rPr>
          <w:rFonts w:ascii="Times New Roman;sans-serif" w:hAnsi="Times New Roman;sans-serif"/>
          <w:b/>
          <w:color w:val="000000"/>
          <w:sz w:val="20"/>
        </w:rPr>
        <w:t>Bank</w:t>
      </w:r>
      <w:r>
        <w:rPr>
          <w:color w:val="000000"/>
        </w:rPr>
        <w:t xml:space="preserve">” </w:t>
      </w:r>
      <w:r>
        <w:rPr>
          <w:rFonts w:ascii="Times New Roman;sans-serif" w:hAnsi="Times New Roman;sans-serif"/>
          <w:b w:val="false"/>
          <w:color w:val="000000"/>
          <w:sz w:val="20"/>
        </w:rPr>
        <w:t>is defined in the preamble hereof. “</w:t>
      </w:r>
      <w:r>
        <w:rPr>
          <w:rFonts w:ascii="Times New Roman;sans-serif" w:hAnsi="Times New Roman;sans-serif"/>
          <w:b/>
          <w:color w:val="000000"/>
          <w:sz w:val="20"/>
        </w:rPr>
        <w:t>Bank Entities</w:t>
      </w:r>
      <w:r>
        <w:rPr>
          <w:color w:val="000000"/>
        </w:rPr>
        <w:t xml:space="preserve">” </w:t>
      </w:r>
      <w:r>
        <w:rPr>
          <w:rFonts w:ascii="Times New Roman;sans-serif" w:hAnsi="Times New Roman;sans-serif"/>
          <w:b w:val="false"/>
          <w:color w:val="000000"/>
          <w:sz w:val="20"/>
        </w:rPr>
        <w:t>is defined in Section 11.8.</w:t>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Bank Expenses</w:t>
      </w:r>
      <w:r>
        <w:rPr>
          <w:color w:val="000000"/>
        </w:rPr>
        <w:t xml:space="preserve">” </w:t>
      </w:r>
      <w:r>
        <w:rPr>
          <w:rFonts w:ascii="Times New Roman;sans-serif" w:hAnsi="Times New Roman;sans-serif"/>
          <w:b w:val="false"/>
          <w:color w:val="000000"/>
          <w:sz w:val="20"/>
        </w:rPr>
        <w:t>are all reasonable audit fees, costs and reasonable expenses (including reasonable,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Bank Services</w:t>
      </w:r>
      <w:r>
        <w:rPr>
          <w:color w:val="000000"/>
        </w:rPr>
        <w:t xml:space="preserve">” </w:t>
      </w:r>
      <w:r>
        <w:rPr>
          <w:rFonts w:ascii="Times New Roman;sans-serif" w:hAnsi="Times New Roman;sans-serif"/>
          <w:b w:val="false"/>
          <w:color w:val="000000"/>
          <w:sz w:val="20"/>
        </w:rPr>
        <w:t>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sans-serif" w:hAnsi="Times New Roman;sans-serif"/>
          <w:b/>
          <w:color w:val="000000"/>
          <w:sz w:val="20"/>
        </w:rPr>
        <w:t>Bank Services Agreement</w:t>
      </w:r>
      <w:r>
        <w:rPr>
          <w:color w:val="000000"/>
        </w:rPr>
        <w:t>”</w:t>
      </w:r>
      <w:r>
        <w:rPr>
          <w:rFonts w:ascii="Times New Roman;sans-serif" w:hAnsi="Times New Roman;sans-serif"/>
          <w:b w:val="false"/>
          <w:color w:val="000000"/>
          <w:sz w:val="20"/>
        </w:rPr>
        <w:t>).</w:t>
      </w:r>
    </w:p>
    <w:p>
      <w:pPr>
        <w:pStyle w:val="TextBody"/>
        <w:spacing w:before="1" w:after="283"/>
        <w:rPr/>
      </w:pPr>
      <w:r>
        <w:rPr/>
      </w:r>
    </w:p>
    <w:p>
      <w:pPr>
        <w:pStyle w:val="TextBody"/>
        <w:spacing w:lineRule="auto" w:line="568" w:before="0" w:after="0"/>
        <w:rPr/>
      </w:pPr>
      <w:r>
        <w:rPr>
          <w:color w:val="000000"/>
        </w:rPr>
        <w:t>“</w:t>
      </w:r>
      <w:r>
        <w:rPr>
          <w:rFonts w:ascii="Times New Roman;sans-serif" w:hAnsi="Times New Roman;sans-serif"/>
          <w:b/>
          <w:color w:val="000000"/>
          <w:sz w:val="20"/>
        </w:rPr>
        <w:t>Bank Services Agreement</w:t>
      </w:r>
      <w:r>
        <w:rPr>
          <w:color w:val="000000"/>
        </w:rPr>
        <w:t xml:space="preserve">” </w:t>
      </w:r>
      <w:r>
        <w:rPr>
          <w:rFonts w:ascii="Times New Roman;sans-serif" w:hAnsi="Times New Roman;sans-serif"/>
          <w:b w:val="false"/>
          <w:color w:val="000000"/>
          <w:sz w:val="20"/>
        </w:rPr>
        <w:t>is defined in the definition of Bank Services. “</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is Borrower’s board of directors or equivalent governing body. “</w:t>
      </w:r>
      <w:r>
        <w:rPr>
          <w:rFonts w:ascii="Times New Roman;sans-serif" w:hAnsi="Times New Roman;sans-serif"/>
          <w:b/>
          <w:color w:val="000000"/>
          <w:sz w:val="20"/>
        </w:rPr>
        <w:t>Borrower</w:t>
      </w:r>
      <w:r>
        <w:rPr>
          <w:color w:val="000000"/>
        </w:rPr>
        <w:t xml:space="preserve">” </w:t>
      </w:r>
      <w:r>
        <w:rPr>
          <w:rFonts w:ascii="Times New Roman;sans-serif" w:hAnsi="Times New Roman;sans-serif"/>
          <w:b w:val="false"/>
          <w:color w:val="000000"/>
          <w:sz w:val="20"/>
        </w:rPr>
        <w:t>is set forth on Schedule I hereto.</w:t>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Borrower’s Books</w:t>
      </w:r>
      <w:r>
        <w:rPr>
          <w:color w:val="000000"/>
        </w:rPr>
        <w:t xml:space="preserve">” </w:t>
      </w:r>
      <w:r>
        <w:rPr>
          <w:rFonts w:ascii="Times New Roman;sans-serif" w:hAnsi="Times New Roman;sans-serif"/>
          <w:b w:val="false"/>
          <w:color w:val="000000"/>
          <w:sz w:val="20"/>
        </w:rPr>
        <w:t>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pStyle w:val="TextBody"/>
        <w:spacing w:before="8" w:after="283"/>
        <w:rPr/>
      </w:pPr>
      <w:r>
        <w:rPr/>
      </w:r>
    </w:p>
    <w:p>
      <w:pPr>
        <w:pStyle w:val="TextBody"/>
        <w:spacing w:lineRule="auto" w:line="240" w:before="0" w:after="0"/>
        <w:ind w:left="0" w:right="0" w:firstLine="717"/>
        <w:jc w:val="both"/>
        <w:rPr/>
      </w:pPr>
      <w:r>
        <w:rPr/>
        <w:drawing>
          <wp:inline distT="0" distB="63500" distL="0" distR="0">
            <wp:extent cx="5438775" cy="14605"/>
            <wp:effectExtent l="0" t="0" r="0" b="0"/>
            <wp:docPr id="35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53" descr=""/>
                    <pic:cNvPicPr>
                      <a:picLocks noChangeAspect="1" noChangeArrowheads="1"/>
                    </pic:cNvPicPr>
                  </pic:nvPicPr>
                  <pic:blipFill>
                    <a:blip r:embed="rId159"/>
                    <a:stretch>
                      <a:fillRect/>
                    </a:stretch>
                  </pic:blipFill>
                  <pic:spPr bwMode="auto">
                    <a:xfrm>
                      <a:off x="0" y="0"/>
                      <a:ext cx="5438775" cy="14605"/>
                    </a:xfrm>
                    <a:prstGeom prst="rect">
                      <a:avLst/>
                    </a:prstGeom>
                  </pic:spPr>
                </pic:pic>
              </a:graphicData>
            </a:graphic>
          </wp:inline>
        </w:drawing>
      </w:r>
      <w:r>
        <w:rPr/>
        <w:drawing>
          <wp:inline distT="0" distB="63500" distL="0" distR="0">
            <wp:extent cx="14605" cy="723900"/>
            <wp:effectExtent l="0" t="0" r="0" b="0"/>
            <wp:docPr id="35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54" descr=""/>
                    <pic:cNvPicPr>
                      <a:picLocks noChangeAspect="1" noChangeArrowheads="1"/>
                    </pic:cNvPicPr>
                  </pic:nvPicPr>
                  <pic:blipFill>
                    <a:blip r:embed="rId160"/>
                    <a:stretch>
                      <a:fillRect/>
                    </a:stretch>
                  </pic:blipFill>
                  <pic:spPr bwMode="auto">
                    <a:xfrm>
                      <a:off x="0" y="0"/>
                      <a:ext cx="14605" cy="723900"/>
                    </a:xfrm>
                    <a:prstGeom prst="rect">
                      <a:avLst/>
                    </a:prstGeom>
                  </pic:spPr>
                </pic:pic>
              </a:graphicData>
            </a:graphic>
          </wp:inline>
        </w:drawing>
      </w:r>
      <w:r>
        <w:rPr/>
        <w:drawing>
          <wp:inline distT="0" distB="63500" distL="0" distR="0">
            <wp:extent cx="5895975" cy="14605"/>
            <wp:effectExtent l="0" t="0" r="0" b="0"/>
            <wp:docPr id="35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55" descr=""/>
                    <pic:cNvPicPr>
                      <a:picLocks noChangeAspect="1" noChangeArrowheads="1"/>
                    </pic:cNvPicPr>
                  </pic:nvPicPr>
                  <pic:blipFill>
                    <a:blip r:embed="rId161"/>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35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56" descr=""/>
                    <pic:cNvPicPr>
                      <a:picLocks noChangeAspect="1" noChangeArrowheads="1"/>
                    </pic:cNvPicPr>
                  </pic:nvPicPr>
                  <pic:blipFill>
                    <a:blip r:embed="rId162"/>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35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57" descr=""/>
                    <pic:cNvPicPr>
                      <a:picLocks noChangeAspect="1" noChangeArrowheads="1"/>
                    </pic:cNvPicPr>
                  </pic:nvPicPr>
                  <pic:blipFill>
                    <a:blip r:embed="rId163"/>
                    <a:stretch>
                      <a:fillRect/>
                    </a:stretch>
                  </pic:blipFill>
                  <pic:spPr bwMode="auto">
                    <a:xfrm>
                      <a:off x="0" y="0"/>
                      <a:ext cx="5895975" cy="14605"/>
                    </a:xfrm>
                    <a:prstGeom prst="rect">
                      <a:avLst/>
                    </a:prstGeom>
                  </pic:spPr>
                </pic:pic>
              </a:graphicData>
            </a:graphic>
          </wp:inline>
        </w:drawing>
      </w:r>
      <w:r>
        <w:rPr>
          <w:color w:val="0000FF"/>
          <w:u w:val="single"/>
        </w:rPr>
        <w:t xml:space="preserve"> “</w:t>
      </w:r>
      <w:r>
        <w:rPr>
          <w:rFonts w:ascii="Times New Roman;sans-serif" w:hAnsi="Times New Roman;sans-serif"/>
          <w:b/>
          <w:color w:val="0000FF"/>
          <w:sz w:val="20"/>
          <w:u w:val="single"/>
        </w:rPr>
        <w:t>Borrowing Base</w:t>
      </w:r>
      <w:r>
        <w:rPr>
          <w:color w:val="0000FF"/>
          <w:u w:val="single"/>
        </w:rPr>
        <w:t xml:space="preserve">” </w:t>
      </w:r>
      <w:r>
        <w:rPr>
          <w:rFonts w:ascii="Times New Roman;sans-serif" w:hAnsi="Times New Roman;sans-serif"/>
          <w:b w:val="false"/>
          <w:color w:val="0000FF"/>
          <w:sz w:val="20"/>
          <w:u w:val="single"/>
        </w:rPr>
        <w:t>is eighty percent (80%) of Eligible Accounts, as determined by Bank from Borrower’s</w:t>
      </w:r>
      <w:r>
        <w:rPr>
          <w:color w:val="0000FF"/>
        </w:rPr>
        <w:t xml:space="preserve"> </w:t>
      </w:r>
      <w:r>
        <w:rPr>
          <w:rFonts w:ascii="Times New Roman;sans-serif" w:hAnsi="Times New Roman;sans-serif"/>
          <w:b w:val="false"/>
          <w:color w:val="0000FF"/>
          <w:sz w:val="20"/>
          <w:u w:val="single"/>
        </w:rPr>
        <w:t>most recent Borrowing Base Statement; provided, however, that Bank has the right to decrease the foregoing</w:t>
      </w:r>
      <w:r>
        <w:rPr>
          <w:color w:val="0000FF"/>
        </w:rPr>
        <w:t xml:space="preserve"> </w:t>
      </w:r>
      <w:r>
        <w:rPr>
          <w:rFonts w:ascii="Times New Roman;sans-serif" w:hAnsi="Times New Roman;sans-serif"/>
          <w:b w:val="false"/>
          <w:color w:val="0000FF"/>
          <w:sz w:val="20"/>
          <w:u w:val="single"/>
        </w:rPr>
        <w:t>percentages in its commercially reasonable discretion to mitigate the impact of events, conditions, contingencies, or</w:t>
      </w:r>
      <w:r>
        <w:rPr>
          <w:color w:val="0000FF"/>
        </w:rPr>
        <w:t xml:space="preserve"> </w:t>
      </w:r>
      <w:r>
        <w:rPr>
          <w:rFonts w:ascii="Times New Roman;sans-serif" w:hAnsi="Times New Roman;sans-serif"/>
          <w:b w:val="false"/>
          <w:color w:val="0000FF"/>
          <w:sz w:val="20"/>
          <w:u w:val="single"/>
        </w:rPr>
        <w:t>risks which would reasonably be expected to adversely affect the Collateral or its value, following thirty (30) days</w:t>
      </w:r>
      <w:r>
        <w:rPr>
          <w:color w:val="0000FF"/>
        </w:rPr>
        <w:t xml:space="preserve"> </w:t>
      </w:r>
      <w:r>
        <w:rPr>
          <w:rFonts w:ascii="Times New Roman;sans-serif" w:hAnsi="Times New Roman;sans-serif"/>
          <w:b w:val="false"/>
          <w:color w:val="0000FF"/>
          <w:sz w:val="20"/>
          <w:u w:val="single"/>
        </w:rPr>
        <w:t>prior written notice to Borrower.</w:t>
      </w:r>
    </w:p>
    <w:p>
      <w:pPr>
        <w:pStyle w:val="TextBody"/>
        <w:spacing w:before="1" w:after="283"/>
        <w:rPr/>
      </w:pPr>
      <w:r>
        <w:rPr/>
      </w:r>
    </w:p>
    <w:p>
      <w:pPr>
        <w:pStyle w:val="TextBody"/>
        <w:spacing w:lineRule="auto" w:line="240" w:before="91" w:after="283"/>
        <w:ind w:left="0" w:right="0" w:firstLine="720"/>
        <w:rPr/>
      </w:pPr>
      <w:r>
        <w:rPr/>
        <w:drawing>
          <wp:inline distT="0" distB="63500" distL="0" distR="0">
            <wp:extent cx="14605" cy="285750"/>
            <wp:effectExtent l="0" t="0" r="0" b="0"/>
            <wp:docPr id="35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58" descr=""/>
                    <pic:cNvPicPr>
                      <a:picLocks noChangeAspect="1" noChangeArrowheads="1"/>
                    </pic:cNvPicPr>
                  </pic:nvPicPr>
                  <pic:blipFill>
                    <a:blip r:embed="rId164"/>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Borrowing Base Statement</w:t>
      </w:r>
      <w:r>
        <w:rPr>
          <w:color w:val="0000FF"/>
          <w:u w:val="single"/>
        </w:rPr>
        <w:t xml:space="preserve">” </w:t>
      </w:r>
      <w:r>
        <w:rPr>
          <w:rFonts w:ascii="Times New Roman;sans-serif" w:hAnsi="Times New Roman;sans-serif"/>
          <w:b w:val="false"/>
          <w:color w:val="0000FF"/>
          <w:sz w:val="20"/>
          <w:u w:val="single"/>
        </w:rPr>
        <w:t>is that certain statement of the value of certain Collateral in the form</w:t>
      </w:r>
      <w:r>
        <w:rPr>
          <w:color w:val="0000FF"/>
        </w:rPr>
        <w:t xml:space="preserve"> </w:t>
      </w:r>
      <w:r>
        <w:rPr>
          <w:rFonts w:ascii="Times New Roman;sans-serif" w:hAnsi="Times New Roman;sans-serif"/>
          <w:b w:val="false"/>
          <w:color w:val="0000FF"/>
          <w:sz w:val="20"/>
          <w:u w:val="single"/>
        </w:rPr>
        <w:t>specified by Bank to Borrower from time to time.</w:t>
      </w:r>
    </w:p>
    <w:p>
      <w:pPr>
        <w:pStyle w:val="TextBody"/>
        <w:spacing w:before="1" w:after="283"/>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Borrowing Resolutions</w:t>
      </w:r>
      <w:r>
        <w:rPr>
          <w:color w:val="000000"/>
        </w:rPr>
        <w:t xml:space="preserve">” </w:t>
      </w:r>
      <w:r>
        <w:rPr>
          <w:rFonts w:ascii="Times New Roman;sans-serif" w:hAnsi="Times New Roman;sans-serif"/>
          <w:b w:val="false"/>
          <w:color w:val="000000"/>
          <w:sz w:val="20"/>
        </w:rPr>
        <w:t xml:space="preserve">are, with respect to any Person, those resolutions adopted by such Person’s board of directors (and, if required under the terms of such Person’s Operating Documents, stockholders) and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51710"/>
                <wp:effectExtent l="0" t="0" r="0" b="0"/>
                <wp:wrapNone/>
                <wp:docPr id="356" name="Frame166"/>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57"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59" descr=""/>
                                          <pic:cNvPicPr>
                                            <a:picLocks noChangeAspect="1" noChangeArrowheads="1"/>
                                          </pic:cNvPicPr>
                                        </pic:nvPicPr>
                                        <pic:blipFill>
                                          <a:blip r:embed="rId16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5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59" descr=""/>
                                    <pic:cNvPicPr>
                                      <a:picLocks noChangeAspect="1" noChangeArrowheads="1"/>
                                    </pic:cNvPicPr>
                                  </pic:nvPicPr>
                                  <pic:blipFill>
                                    <a:blip r:embed="rId16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applicable resolutions then in full force and effect authorizing and ratifying the</w:t>
      </w:r>
    </w:p>
    <w:p>
      <w:pPr>
        <w:pStyle w:val="TextBody"/>
        <w:spacing w:before="0" w:after="0"/>
        <w:jc w:val="both"/>
        <w:rPr/>
      </w:pPr>
      <w:r>
        <w:rPr/>
      </w:r>
    </w:p>
    <w:p>
      <w:pPr>
        <w:pStyle w:val="TextBody"/>
        <w:spacing w:before="6" w:after="283"/>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is a day other than a Saturday, Sunday or other day on which commercial banks in the State of California are authorized or required by law to close, except that if any determination of a “Business Day” shall relate to an FX Contract, the term “Business Day” shall be a FX Business Day.</w:t>
      </w:r>
    </w:p>
    <w:p>
      <w:pPr>
        <w:pStyle w:val="TextBody"/>
        <w:spacing w:before="0" w:after="0"/>
        <w:rPr/>
      </w:pPr>
      <w:r>
        <w:rPr/>
      </w:r>
    </w:p>
    <w:p>
      <w:pPr>
        <w:pStyle w:val="TextBody"/>
        <w:spacing w:lineRule="auto" w:line="240" w:before="0" w:after="0"/>
        <w:rPr/>
      </w:pPr>
      <w:r>
        <w:rPr/>
        <w:drawing>
          <wp:inline distT="0" distB="63500" distL="0" distR="0">
            <wp:extent cx="14605" cy="142875"/>
            <wp:effectExtent l="0" t="0" r="0" b="0"/>
            <wp:docPr id="35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60" descr=""/>
                    <pic:cNvPicPr>
                      <a:picLocks noChangeAspect="1" noChangeArrowheads="1"/>
                    </pic:cNvPicPr>
                  </pic:nvPicPr>
                  <pic:blipFill>
                    <a:blip r:embed="rId166"/>
                    <a:stretch>
                      <a:fillRect/>
                    </a:stretch>
                  </pic:blipFill>
                  <pic:spPr bwMode="auto">
                    <a:xfrm>
                      <a:off x="0" y="0"/>
                      <a:ext cx="14605" cy="14287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Cash Collateral Account</w:t>
      </w:r>
      <w:r>
        <w:rPr>
          <w:color w:val="0000FF"/>
          <w:u w:val="single"/>
        </w:rPr>
        <w:t xml:space="preserve">” </w:t>
      </w:r>
      <w:r>
        <w:rPr>
          <w:rFonts w:ascii="Times New Roman;sans-serif" w:hAnsi="Times New Roman;sans-serif"/>
          <w:b w:val="false"/>
          <w:color w:val="0000FF"/>
          <w:sz w:val="20"/>
          <w:u w:val="single"/>
        </w:rPr>
        <w:t>is defined in Section 5.4(c).</w:t>
      </w:r>
    </w:p>
    <w:p>
      <w:pPr>
        <w:pStyle w:val="TextBody"/>
        <w:spacing w:before="0" w:after="0"/>
        <w:rPr/>
      </w:pPr>
      <w:r>
        <w:rPr/>
      </w:r>
    </w:p>
    <w:p>
      <w:pPr>
        <w:pStyle w:val="TextBody"/>
        <w:spacing w:lineRule="auto" w:line="240" w:before="91" w:after="283"/>
        <w:ind w:left="0" w:right="0" w:firstLine="720"/>
        <w:jc w:val="both"/>
        <w:rPr/>
      </w:pPr>
      <w:r>
        <w:rPr/>
        <w:drawing>
          <wp:inline distT="0" distB="63500" distL="0" distR="0">
            <wp:extent cx="14605" cy="285750"/>
            <wp:effectExtent l="0" t="0" r="0" b="0"/>
            <wp:docPr id="36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61" descr=""/>
                    <pic:cNvPicPr>
                      <a:picLocks noChangeAspect="1" noChangeArrowheads="1"/>
                    </pic:cNvPicPr>
                  </pic:nvPicPr>
                  <pic:blipFill>
                    <a:blip r:embed="rId167"/>
                    <a:stretch>
                      <a:fillRect/>
                    </a:stretch>
                  </pic:blipFill>
                  <pic:spPr bwMode="auto">
                    <a:xfrm>
                      <a:off x="0" y="0"/>
                      <a:ext cx="14605" cy="285750"/>
                    </a:xfrm>
                    <a:prstGeom prst="rect">
                      <a:avLst/>
                    </a:prstGeom>
                  </pic:spPr>
                </pic:pic>
              </a:graphicData>
            </a:graphic>
          </wp:inline>
        </w:drawing>
      </w:r>
      <w:r>
        <w:rPr/>
        <w:drawing>
          <wp:inline distT="0" distB="63500" distL="0" distR="0">
            <wp:extent cx="14605" cy="142875"/>
            <wp:effectExtent l="0" t="0" r="0" b="0"/>
            <wp:docPr id="36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62" descr=""/>
                    <pic:cNvPicPr>
                      <a:picLocks noChangeAspect="1" noChangeArrowheads="1"/>
                    </pic:cNvPicPr>
                  </pic:nvPicPr>
                  <pic:blipFill>
                    <a:blip r:embed="rId168"/>
                    <a:stretch>
                      <a:fillRect/>
                    </a:stretch>
                  </pic:blipFill>
                  <pic:spPr bwMode="auto">
                    <a:xfrm>
                      <a:off x="0" y="0"/>
                      <a:ext cx="14605" cy="142875"/>
                    </a:xfrm>
                    <a:prstGeom prst="rect">
                      <a:avLst/>
                    </a:prstGeom>
                  </pic:spPr>
                </pic:pic>
              </a:graphicData>
            </a:graphic>
          </wp:inline>
        </w:drawing>
      </w:r>
      <w:r>
        <w:rPr>
          <w:color w:val="000000"/>
        </w:rPr>
        <w:t>“</w:t>
      </w:r>
      <w:r>
        <w:rPr>
          <w:rFonts w:ascii="Times New Roman;sans-serif" w:hAnsi="Times New Roman;sans-serif"/>
          <w:b/>
          <w:color w:val="000000"/>
          <w:sz w:val="20"/>
        </w:rPr>
        <w:t>Cash Equivalents</w:t>
      </w:r>
      <w:r>
        <w:rPr>
          <w:color w:val="000000"/>
        </w:rPr>
        <w:t xml:space="preserve">” </w:t>
      </w:r>
      <w:r>
        <w:rPr>
          <w:rFonts w:ascii="Times New Roman;sans-serif" w:hAnsi="Times New Roman;sans-serif"/>
          <w:b w:val="false"/>
          <w:color w:val="000000"/>
          <w:sz w:val="20"/>
        </w:rPr>
        <w:t xml:space="preserve">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w:t>
      </w:r>
      <w:r>
        <w:rPr>
          <w:rFonts w:ascii="Times New Roman;sans-serif" w:hAnsi="Times New Roman;sans-serif"/>
          <w:b w:val="false"/>
          <w:strike/>
          <w:color w:val="FF0000"/>
          <w:sz w:val="20"/>
        </w:rPr>
        <w:t>and</w:t>
      </w:r>
      <w:r>
        <w:rPr>
          <w:color w:val="FF0000"/>
        </w:rPr>
        <w:t xml:space="preserve"> </w:t>
      </w:r>
      <w:r>
        <w:rPr>
          <w:rFonts w:ascii="Times New Roman;sans-serif" w:hAnsi="Times New Roman;sans-serif"/>
          <w:b w:val="false"/>
          <w:color w:val="000000"/>
          <w:sz w:val="20"/>
        </w:rPr>
        <w:t xml:space="preserve">(d) </w:t>
      </w:r>
      <w:r>
        <w:rPr>
          <w:rFonts w:ascii="Times New Roman;sans-serif" w:hAnsi="Times New Roman;sans-serif"/>
          <w:b w:val="false"/>
          <w:color w:val="0000FF"/>
          <w:sz w:val="20"/>
          <w:u w:val="single"/>
        </w:rPr>
        <w:t>long-term securities having a rating minimum of</w:t>
      </w:r>
      <w:r>
        <w:rPr>
          <w:color w:val="0000FF"/>
        </w:rPr>
        <w:t xml:space="preserve"> </w:t>
      </w:r>
      <w:r>
        <w:rPr>
          <w:rFonts w:ascii="Times New Roman;sans-serif" w:hAnsi="Times New Roman;sans-serif"/>
          <w:b w:val="false"/>
          <w:color w:val="0000FF"/>
          <w:sz w:val="20"/>
          <w:u w:val="single"/>
        </w:rPr>
        <w:t>A-/A3 from either Standard &amp; Poor’s Ratings Group or Moody’s Investors Service, Inc.; and (e)</w:t>
      </w:r>
      <w:r>
        <w:rPr>
          <w:color w:val="0000FF"/>
        </w:rPr>
        <w:t xml:space="preserve"> </w:t>
      </w:r>
      <w:r>
        <w:rPr>
          <w:rFonts w:ascii="Times New Roman;sans-serif" w:hAnsi="Times New Roman;sans-serif"/>
          <w:b w:val="false"/>
          <w:color w:val="000000"/>
          <w:sz w:val="20"/>
        </w:rPr>
        <w:t>money market funds at least ninety-five percent (95.0%) of the assets of which constitute Cash Equivalents of the kinds described in clauses (a) through (</w:t>
      </w:r>
      <w:r>
        <w:rPr>
          <w:rFonts w:ascii="Times New Roman;sans-serif" w:hAnsi="Times New Roman;sans-serif"/>
          <w:b w:val="false"/>
          <w:strike/>
          <w:color w:val="FF0000"/>
          <w:sz w:val="20"/>
        </w:rPr>
        <w:t>c</w:t>
      </w:r>
      <w:r>
        <w:rPr>
          <w:rFonts w:ascii="Times New Roman;sans-serif" w:hAnsi="Times New Roman;sans-serif"/>
          <w:b w:val="false"/>
          <w:color w:val="0000FF"/>
          <w:sz w:val="20"/>
          <w:u w:val="single"/>
        </w:rPr>
        <w:t>d</w:t>
      </w:r>
      <w:r>
        <w:rPr>
          <w:rFonts w:ascii="Times New Roman;sans-serif" w:hAnsi="Times New Roman;sans-serif"/>
          <w:b w:val="false"/>
          <w:color w:val="000000"/>
          <w:sz w:val="20"/>
        </w:rPr>
        <w:t>) of this definition.</w:t>
      </w:r>
    </w:p>
    <w:p>
      <w:pPr>
        <w:pStyle w:val="TextBody"/>
        <w:spacing w:before="3" w:after="283"/>
        <w:rPr/>
      </w:pPr>
      <w:r>
        <w:rPr/>
      </w:r>
    </w:p>
    <w:p>
      <w:pPr>
        <w:pStyle w:val="TextBody"/>
        <w:spacing w:lineRule="auto" w:line="240" w:before="91" w:after="283"/>
        <w:ind w:left="0" w:right="0" w:firstLine="777"/>
        <w:jc w:val="both"/>
        <w:rPr/>
      </w:pP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w:t>
      </w:r>
      <w:r>
        <w:rPr>
          <w:rFonts w:ascii="Times New Roman;sans-serif" w:hAnsi="Times New Roman;sans-serif"/>
          <w:b w:val="false"/>
          <w:color w:val="010101"/>
          <w:sz w:val="20"/>
        </w:rPr>
        <w:t xml:space="preserve">12) </w:t>
      </w:r>
      <w:r>
        <w:rPr>
          <w:rFonts w:ascii="Times New Roman;sans-serif" w:hAnsi="Times New Roman;sans-serif"/>
          <w:b w:val="false"/>
          <w:color w:val="000000"/>
          <w:sz w:val="20"/>
        </w:rPr>
        <w:t>consecutive months, a majority of the members of the Board of Borrower cease to be composed of individuals (i) who were members of that board or equivalent governing body on the first (1st)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stock, partnership, membership, or other ownership interest or other equity securities of each Subsidiary of Borrower free and clear of all Liens (except Permitted Liens and except dissolutions or transfers permitted pursuant to Sections 6.2 and 6.3 of this Agreement).</w:t>
      </w:r>
    </w:p>
    <w:p>
      <w:pPr>
        <w:pStyle w:val="TextBody"/>
        <w:spacing w:before="6"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Change in Law</w:t>
      </w:r>
      <w:r>
        <w:rPr>
          <w:color w:val="000000"/>
        </w:rPr>
        <w:t xml:space="preserve">” </w:t>
      </w:r>
      <w:r>
        <w:rPr>
          <w:rFonts w:ascii="Times New Roman;sans-serif" w:hAnsi="Times New Roman;sans-serif"/>
          <w:b w:val="false"/>
          <w:color w:val="000000"/>
          <w:sz w:val="20"/>
        </w:rPr>
        <w:t>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spacing w:before="0" w:after="0"/>
        <w:jc w:val="both"/>
        <w:rPr/>
      </w:pPr>
      <w:r>
        <w:rPr/>
      </w:r>
    </w:p>
    <w:p>
      <w:pPr>
        <w:pStyle w:val="TextBody"/>
        <w:spacing w:before="6" w:after="283"/>
        <w:rPr/>
      </w:pPr>
      <w:r>
        <w:rPr/>
      </w:r>
    </w:p>
    <w:p>
      <w:pPr>
        <w:pStyle w:val="TextBody"/>
        <w:spacing w:lineRule="auto" w:line="240" w:before="0" w:after="0"/>
        <w:rPr/>
      </w:pPr>
      <w:r>
        <w:rPr>
          <w:color w:val="000000"/>
        </w:rPr>
        <w:t>“</w:t>
      </w:r>
      <w:r>
        <w:rPr>
          <w:rFonts w:ascii="Times New Roman;sans-serif" w:hAnsi="Times New Roman;sans-serif"/>
          <w:b/>
          <w:color w:val="000000"/>
          <w:sz w:val="20"/>
        </w:rPr>
        <w:t>Claims</w:t>
      </w:r>
      <w:r>
        <w:rPr>
          <w:color w:val="000000"/>
        </w:rPr>
        <w:t xml:space="preserve">” </w:t>
      </w:r>
      <w:r>
        <w:rPr>
          <w:rFonts w:ascii="Times New Roman;sans-serif" w:hAnsi="Times New Roman;sans-serif"/>
          <w:b w:val="false"/>
          <w:color w:val="000000"/>
          <w:sz w:val="20"/>
        </w:rPr>
        <w:t>is defined in Section 11.3.</w:t>
      </w:r>
    </w:p>
    <w:p>
      <w:pPr>
        <w:pStyle w:val="TextBody"/>
        <w:spacing w:before="10"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51710"/>
                <wp:effectExtent l="0" t="0" r="0" b="0"/>
                <wp:wrapNone/>
                <wp:docPr id="362" name="Frame167"/>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63" descr=""/>
                                          <pic:cNvPicPr>
                                            <a:picLocks noChangeAspect="1" noChangeArrowheads="1"/>
                                          </pic:cNvPicPr>
                                        </pic:nvPicPr>
                                        <pic:blipFill>
                                          <a:blip r:embed="rId169"/>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6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63" descr=""/>
                                    <pic:cNvPicPr>
                                      <a:picLocks noChangeAspect="1" noChangeArrowheads="1"/>
                                    </pic:cNvPicPr>
                                  </pic:nvPicPr>
                                  <pic:blipFill>
                                    <a:blip r:embed="rId169"/>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pStyle w:val="TextBody"/>
        <w:spacing w:before="2" w:after="283"/>
        <w:rPr/>
      </w:pPr>
      <w:r>
        <w:rPr/>
      </w:r>
    </w:p>
    <w:p>
      <w:pPr>
        <w:pStyle w:val="TextBody"/>
        <w:spacing w:lineRule="auto" w:line="240" w:before="0" w:after="0"/>
        <w:rPr/>
      </w:pPr>
      <w:r>
        <w:rPr>
          <w:color w:val="000000"/>
        </w:rPr>
        <w:t>“</w:t>
      </w:r>
      <w:r>
        <w:rPr>
          <w:rFonts w:ascii="Times New Roman;sans-serif" w:hAnsi="Times New Roman;sans-serif"/>
          <w:b/>
          <w:color w:val="000000"/>
          <w:sz w:val="20"/>
        </w:rPr>
        <w:t>Collateral</w:t>
      </w:r>
      <w:r>
        <w:rPr>
          <w:color w:val="000000"/>
        </w:rPr>
        <w:t xml:space="preserve">” </w:t>
      </w:r>
      <w:r>
        <w:rPr>
          <w:rFonts w:ascii="Times New Roman;sans-serif" w:hAnsi="Times New Roman;sans-serif"/>
          <w:b w:val="false"/>
          <w:color w:val="000000"/>
          <w:sz w:val="20"/>
        </w:rPr>
        <w:t>consists of all of Borrower’s right, title and interest in and to the following personal property:</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spacing w:before="2"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(b)Notwithstanding the foregoing, the Collateral does not include any of the following (now existing or hereafter arising, owned or created):</w:t>
      </w:r>
    </w:p>
    <w:p>
      <w:pPr>
        <w:pStyle w:val="TextBody"/>
        <w:spacing w:before="11" w:after="283"/>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and</w:t>
      </w:r>
    </w:p>
    <w:p>
      <w:pPr>
        <w:pStyle w:val="TextBody"/>
        <w:spacing w:before="2" w:after="283"/>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(ii)any interest of Borrower as a lessee or sublessee under a real property lease or an Equipment lease if Borrower is prohibited by the terms of such lease from granting a security interest in such lease or under which such an assignment or Lien would cause a default to occur under such lease (but only to the extent that such prohibition is enforceable under all applicable laws including, without limitation, the Code); provided, however, that upon termination of such prohibition, such interest shall immediately become Collateral without any action by Borrower or Bank.</w:t>
      </w:r>
    </w:p>
    <w:p>
      <w:pPr>
        <w:pStyle w:val="TextBody"/>
        <w:spacing w:before="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(c)Pursuant to the terms of a certain negative pledge arrangement with Bank, Borrower has agreed not to encumber any of its Intellectual Property in contravention of the terms of such pledge agreement without Bank’s prior written consent.</w:t>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0"/>
        </w:rPr>
        <w:t>Collateral Account</w:t>
      </w:r>
      <w:r>
        <w:rPr>
          <w:color w:val="000000"/>
        </w:rPr>
        <w:t xml:space="preserve">” </w:t>
      </w:r>
      <w:r>
        <w:rPr>
          <w:rFonts w:ascii="Times New Roman;sans-serif" w:hAnsi="Times New Roman;sans-serif"/>
          <w:b w:val="false"/>
          <w:color w:val="000000"/>
          <w:sz w:val="20"/>
        </w:rPr>
        <w:t>is any Deposit Account, Securities Account, or Commodity Account.</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Commodity Account</w:t>
      </w:r>
      <w:r>
        <w:rPr>
          <w:color w:val="000000"/>
        </w:rPr>
        <w:t xml:space="preserve">” </w:t>
      </w:r>
      <w:r>
        <w:rPr>
          <w:rFonts w:ascii="Times New Roman;sans-serif" w:hAnsi="Times New Roman;sans-serif"/>
          <w:b w:val="false"/>
          <w:color w:val="000000"/>
          <w:sz w:val="20"/>
        </w:rPr>
        <w:t>is any “commodity account” as defined in the Code with such additions to such term as may hereafter be made.</w:t>
      </w:r>
    </w:p>
    <w:p>
      <w:pPr>
        <w:pStyle w:val="TextBody"/>
        <w:spacing w:before="0" w:after="0"/>
        <w:jc w:val="both"/>
        <w:rPr/>
      </w:pPr>
      <w:r>
        <w:rPr/>
      </w:r>
    </w:p>
    <w:p>
      <w:pPr>
        <w:pStyle w:val="TextBody"/>
        <w:spacing w:lineRule="auto" w:line="240" w:before="0" w:after="0"/>
        <w:rPr/>
      </w:pPr>
      <w:r>
        <w:rPr>
          <w:color w:val="000000"/>
        </w:rPr>
        <w:t>“</w:t>
      </w:r>
      <w:r>
        <w:rPr>
          <w:rFonts w:ascii="Times New Roman;sans-serif" w:hAnsi="Times New Roman;sans-serif"/>
          <w:b/>
          <w:color w:val="000000"/>
          <w:sz w:val="20"/>
        </w:rPr>
        <w:t>Compliance Statement</w:t>
      </w:r>
      <w:r>
        <w:rPr>
          <w:color w:val="000000"/>
        </w:rPr>
        <w:t xml:space="preserve">” </w:t>
      </w:r>
      <w:r>
        <w:rPr>
          <w:rFonts w:ascii="Times New Roman;sans-serif" w:hAnsi="Times New Roman;sans-serif"/>
          <w:b w:val="false"/>
          <w:color w:val="000000"/>
          <w:sz w:val="20"/>
        </w:rPr>
        <w:t>is that certain statement in the form attached hereto as Exhibit A.</w:t>
      </w:r>
    </w:p>
    <w:p>
      <w:pPr>
        <w:pStyle w:val="TextBody"/>
        <w:spacing w:before="10"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Connection Income Taxes</w:t>
      </w:r>
      <w:r>
        <w:rPr>
          <w:color w:val="000000"/>
        </w:rPr>
        <w:t xml:space="preserve">” </w:t>
      </w:r>
      <w:r>
        <w:rPr>
          <w:rFonts w:ascii="Times New Roman;sans-serif" w:hAnsi="Times New Roman;sans-serif"/>
          <w:b w:val="false"/>
          <w:color w:val="000000"/>
          <w:sz w:val="20"/>
        </w:rPr>
        <w:t>means Other Connection Taxes that are imposed on or measured by net income (however denominated) or that are franchise Taxes or branch profits Taxes.</w:t>
      </w:r>
    </w:p>
    <w:p>
      <w:pPr>
        <w:pStyle w:val="TextBody"/>
        <w:spacing w:before="11"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Contingent Obligation</w:t>
      </w:r>
      <w:r>
        <w:rPr>
          <w:color w:val="000000"/>
        </w:rPr>
        <w:t xml:space="preserve">” </w:t>
      </w:r>
      <w:r>
        <w:rPr>
          <w:rFonts w:ascii="Times New Roman;sans-serif" w:hAnsi="Times New Roman;sans-serif"/>
          <w:b w:val="false"/>
          <w:color w:val="000000"/>
          <w:sz w:val="20"/>
        </w:rPr>
        <w:t xml:space="preserve">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or any Permitted Call Spread Agreement(s). The amount of a Contingent Obligation is the stated or determined amount of the primary obligation for which the Contingent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51710"/>
                <wp:effectExtent l="0" t="0" r="0" b="0"/>
                <wp:wrapNone/>
                <wp:docPr id="365" name="Frame168"/>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6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64" descr=""/>
                                          <pic:cNvPicPr>
                                            <a:picLocks noChangeAspect="1" noChangeArrowheads="1"/>
                                          </pic:cNvPicPr>
                                        </pic:nvPicPr>
                                        <pic:blipFill>
                                          <a:blip r:embed="rId170"/>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64" descr=""/>
                                    <pic:cNvPicPr>
                                      <a:picLocks noChangeAspect="1" noChangeArrowheads="1"/>
                                    </pic:cNvPicPr>
                                  </pic:nvPicPr>
                                  <pic:blipFill>
                                    <a:blip r:embed="rId170"/>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Obligation is made or, if not determinable, the maximum reasonably anticipated liability for it determined by the Person in good faith; but the amount may not exceed the maximum of the obligations under any guarantee or other support arrangement.</w:t>
      </w:r>
    </w:p>
    <w:p>
      <w:pPr>
        <w:pStyle w:val="TextBody"/>
        <w:spacing w:before="5"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Control Agreement</w:t>
      </w:r>
      <w:r>
        <w:rPr>
          <w:color w:val="000000"/>
        </w:rPr>
        <w:t xml:space="preserve">” </w:t>
      </w:r>
      <w:r>
        <w:rPr>
          <w:rFonts w:ascii="Times New Roman;sans-serif" w:hAnsi="Times New Roman;sans-serif"/>
          <w:b w:val="false"/>
          <w:color w:val="000000"/>
          <w:sz w:val="20"/>
        </w:rPr>
        <w:t>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pStyle w:val="TextBody"/>
        <w:spacing w:before="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Copyrights</w:t>
      </w:r>
      <w:r>
        <w:rPr>
          <w:color w:val="000000"/>
        </w:rPr>
        <w:t xml:space="preserve">” </w:t>
      </w:r>
      <w:r>
        <w:rPr>
          <w:rFonts w:ascii="Times New Roman;sans-serif" w:hAnsi="Times New Roman;sans-serif"/>
          <w:b w:val="false"/>
          <w:color w:val="000000"/>
          <w:sz w:val="20"/>
        </w:rPr>
        <w:t>are any and all copyright rights, copyright applications, copyright registrations and like protections in each work of authorship and derivative work thereof, whether published or unpublished and whether or not the same also constitutes a trade secret.</w:t>
      </w:r>
    </w:p>
    <w:p>
      <w:pPr>
        <w:pStyle w:val="TextBody"/>
        <w:spacing w:before="11" w:after="283"/>
        <w:rPr/>
      </w:pPr>
      <w:r>
        <w:rPr/>
      </w:r>
    </w:p>
    <w:p>
      <w:pPr>
        <w:pStyle w:val="TextBody"/>
        <w:spacing w:lineRule="auto" w:line="240" w:before="0" w:after="0"/>
        <w:ind w:left="0" w:right="0" w:firstLine="720"/>
        <w:jc w:val="both"/>
        <w:rPr/>
      </w:pPr>
      <w:r>
        <w:rPr/>
        <w:drawing>
          <wp:inline distT="0" distB="63500" distL="0" distR="0">
            <wp:extent cx="14605" cy="142875"/>
            <wp:effectExtent l="0" t="0" r="0" b="0"/>
            <wp:docPr id="3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65" descr=""/>
                    <pic:cNvPicPr>
                      <a:picLocks noChangeAspect="1" noChangeArrowheads="1"/>
                    </pic:cNvPicPr>
                  </pic:nvPicPr>
                  <pic:blipFill>
                    <a:blip r:embed="rId171"/>
                    <a:stretch>
                      <a:fillRect/>
                    </a:stretch>
                  </pic:blipFill>
                  <pic:spPr bwMode="auto">
                    <a:xfrm>
                      <a:off x="0" y="0"/>
                      <a:ext cx="14605" cy="142875"/>
                    </a:xfrm>
                    <a:prstGeom prst="rect">
                      <a:avLst/>
                    </a:prstGeom>
                  </pic:spPr>
                </pic:pic>
              </a:graphicData>
            </a:graphic>
          </wp:inline>
        </w:drawing>
      </w:r>
      <w:r>
        <w:rPr>
          <w:color w:val="000000"/>
        </w:rPr>
        <w:t>“</w:t>
      </w:r>
      <w:r>
        <w:rPr>
          <w:rFonts w:ascii="Times New Roman;sans-serif" w:hAnsi="Times New Roman;sans-serif"/>
          <w:b/>
          <w:color w:val="000000"/>
          <w:sz w:val="20"/>
        </w:rPr>
        <w:t>Credit Extension</w:t>
      </w:r>
      <w:r>
        <w:rPr>
          <w:color w:val="000000"/>
        </w:rPr>
        <w:t xml:space="preserve">” </w:t>
      </w:r>
      <w:r>
        <w:rPr>
          <w:rFonts w:ascii="Times New Roman;sans-serif" w:hAnsi="Times New Roman;sans-serif"/>
          <w:b w:val="false"/>
          <w:color w:val="000000"/>
          <w:sz w:val="20"/>
        </w:rPr>
        <w:t xml:space="preserve">is any </w:t>
      </w:r>
      <w:r>
        <w:rPr>
          <w:rFonts w:ascii="Times New Roman;sans-serif" w:hAnsi="Times New Roman;sans-serif"/>
          <w:b w:val="false"/>
          <w:color w:val="0000FF"/>
          <w:sz w:val="20"/>
          <w:u w:val="single"/>
        </w:rPr>
        <w:t>Advance, Overadvance,</w:t>
      </w:r>
      <w:r>
        <w:rPr>
          <w:color w:val="0000FF"/>
        </w:rPr>
        <w:t xml:space="preserve"> </w:t>
      </w:r>
      <w:r>
        <w:rPr>
          <w:rFonts w:ascii="Times New Roman;sans-serif" w:hAnsi="Times New Roman;sans-serif"/>
          <w:b w:val="false"/>
          <w:color w:val="000000"/>
          <w:sz w:val="20"/>
        </w:rPr>
        <w:t>Letter of Credit, FX Contract, amount utilized for cash management services, Term Loan Advance, or any other extension of credit under the Loan Documents by Bank for Borrower’s benefit.</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Currency</w:t>
      </w:r>
      <w:r>
        <w:rPr>
          <w:color w:val="000000"/>
        </w:rPr>
        <w:t xml:space="preserve">” </w:t>
      </w:r>
      <w:r>
        <w:rPr>
          <w:rFonts w:ascii="Times New Roman;sans-serif" w:hAnsi="Times New Roman;sans-serif"/>
          <w:b w:val="false"/>
          <w:color w:val="000000"/>
          <w:sz w:val="20"/>
        </w:rPr>
        <w:t>is coined money and such other banknotes or other paper money as are authorized by law and circulate as a medium of exchange.</w:t>
      </w:r>
    </w:p>
    <w:p>
      <w:pPr>
        <w:pStyle w:val="TextBody"/>
        <w:spacing w:before="10" w:after="283"/>
        <w:rPr/>
      </w:pPr>
      <w:r>
        <w:rPr/>
      </w:r>
    </w:p>
    <w:p>
      <w:pPr>
        <w:pStyle w:val="TextBody"/>
        <w:spacing w:lineRule="auto" w:line="240" w:before="1" w:after="283"/>
        <w:ind w:left="0" w:right="0" w:firstLine="720"/>
        <w:jc w:val="both"/>
        <w:rPr/>
      </w:pPr>
      <w:r>
        <w:rPr/>
        <w:drawing>
          <wp:inline distT="0" distB="63500" distL="0" distR="0">
            <wp:extent cx="5438775" cy="14605"/>
            <wp:effectExtent l="0" t="0" r="0" b="0"/>
            <wp:docPr id="3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66" descr=""/>
                    <pic:cNvPicPr>
                      <a:picLocks noChangeAspect="1" noChangeArrowheads="1"/>
                    </pic:cNvPicPr>
                  </pic:nvPicPr>
                  <pic:blipFill>
                    <a:blip r:embed="rId172"/>
                    <a:stretch>
                      <a:fillRect/>
                    </a:stretch>
                  </pic:blipFill>
                  <pic:spPr bwMode="auto">
                    <a:xfrm>
                      <a:off x="0" y="0"/>
                      <a:ext cx="5438775" cy="14605"/>
                    </a:xfrm>
                    <a:prstGeom prst="rect">
                      <a:avLst/>
                    </a:prstGeom>
                  </pic:spPr>
                </pic:pic>
              </a:graphicData>
            </a:graphic>
          </wp:inline>
        </w:drawing>
      </w:r>
      <w:r>
        <w:rPr/>
        <w:drawing>
          <wp:inline distT="0" distB="63500" distL="0" distR="0">
            <wp:extent cx="14605" cy="581025"/>
            <wp:effectExtent l="0" t="0" r="0" b="0"/>
            <wp:docPr id="3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67" descr=""/>
                    <pic:cNvPicPr>
                      <a:picLocks noChangeAspect="1" noChangeArrowheads="1"/>
                    </pic:cNvPicPr>
                  </pic:nvPicPr>
                  <pic:blipFill>
                    <a:blip r:embed="rId173"/>
                    <a:stretch>
                      <a:fillRect/>
                    </a:stretch>
                  </pic:blipFill>
                  <pic:spPr bwMode="auto">
                    <a:xfrm>
                      <a:off x="0" y="0"/>
                      <a:ext cx="14605" cy="581025"/>
                    </a:xfrm>
                    <a:prstGeom prst="rect">
                      <a:avLst/>
                    </a:prstGeom>
                  </pic:spPr>
                </pic:pic>
              </a:graphicData>
            </a:graphic>
          </wp:inline>
        </w:drawing>
      </w:r>
      <w:r>
        <w:rPr/>
        <w:drawing>
          <wp:inline distT="0" distB="63500" distL="0" distR="0">
            <wp:extent cx="5895975" cy="14605"/>
            <wp:effectExtent l="0" t="0" r="0" b="0"/>
            <wp:docPr id="3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68" descr=""/>
                    <pic:cNvPicPr>
                      <a:picLocks noChangeAspect="1" noChangeArrowheads="1"/>
                    </pic:cNvPicPr>
                  </pic:nvPicPr>
                  <pic:blipFill>
                    <a:blip r:embed="rId174"/>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3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69" descr=""/>
                    <pic:cNvPicPr>
                      <a:picLocks noChangeAspect="1" noChangeArrowheads="1"/>
                    </pic:cNvPicPr>
                  </pic:nvPicPr>
                  <pic:blipFill>
                    <a:blip r:embed="rId175"/>
                    <a:stretch>
                      <a:fillRect/>
                    </a:stretch>
                  </pic:blipFill>
                  <pic:spPr bwMode="auto">
                    <a:xfrm>
                      <a:off x="0" y="0"/>
                      <a:ext cx="5895975" cy="1460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Current Liabilities</w:t>
      </w:r>
      <w:r>
        <w:rPr>
          <w:color w:val="0000FF"/>
          <w:u w:val="single"/>
        </w:rPr>
        <w:t xml:space="preserve">” </w:t>
      </w:r>
      <w:r>
        <w:rPr>
          <w:rFonts w:ascii="Times New Roman;sans-serif" w:hAnsi="Times New Roman;sans-serif"/>
          <w:b w:val="false"/>
          <w:color w:val="0000FF"/>
          <w:sz w:val="20"/>
          <w:u w:val="single"/>
        </w:rPr>
        <w:t>are (a) all obligations and liabilities of Borrower to Bank, plus (b) without</w:t>
      </w:r>
      <w:r>
        <w:rPr>
          <w:color w:val="0000FF"/>
        </w:rPr>
        <w:t xml:space="preserve"> </w:t>
      </w:r>
      <w:r>
        <w:rPr>
          <w:rFonts w:ascii="Times New Roman;sans-serif" w:hAnsi="Times New Roman;sans-serif"/>
          <w:b w:val="false"/>
          <w:color w:val="0000FF"/>
          <w:sz w:val="20"/>
          <w:u w:val="single"/>
        </w:rPr>
        <w:t>duplication of (a) the aggregate amount of Borrower’s Total Liabilities that mature within one (1) year (including,</w:t>
      </w:r>
      <w:r>
        <w:rPr>
          <w:color w:val="0000FF"/>
        </w:rPr>
        <w:t xml:space="preserve"> </w:t>
      </w:r>
      <w:r>
        <w:rPr>
          <w:rFonts w:ascii="Times New Roman;sans-serif" w:hAnsi="Times New Roman;sans-serif"/>
          <w:b w:val="false"/>
          <w:color w:val="0000FF"/>
          <w:sz w:val="20"/>
          <w:u w:val="single"/>
        </w:rPr>
        <w:t>for the avoidance of doubt, all Obligations of Borrower to Bank under the Term Loan Advances that mature within</w:t>
      </w:r>
      <w:r>
        <w:rPr>
          <w:color w:val="0000FF"/>
        </w:rPr>
        <w:t xml:space="preserve"> </w:t>
      </w:r>
      <w:r>
        <w:rPr>
          <w:rFonts w:ascii="Times New Roman;sans-serif" w:hAnsi="Times New Roman;sans-serif"/>
          <w:b w:val="false"/>
          <w:color w:val="0000FF"/>
          <w:sz w:val="20"/>
          <w:u w:val="single"/>
        </w:rPr>
        <w:t>one year and Revolving Advances that mature within one year).</w:t>
      </w:r>
    </w:p>
    <w:p>
      <w:pPr>
        <w:pStyle w:val="TextBody"/>
        <w:spacing w:before="1" w:after="283"/>
        <w:rPr/>
      </w:pPr>
      <w:r>
        <w:rPr/>
      </w:r>
    </w:p>
    <w:p>
      <w:pPr>
        <w:pStyle w:val="TextBody"/>
        <w:spacing w:lineRule="auto" w:line="240" w:before="91" w:after="283"/>
        <w:rPr/>
      </w:pPr>
      <w:r>
        <w:rPr>
          <w:color w:val="000000"/>
        </w:rPr>
        <w:t>“</w:t>
      </w:r>
      <w:r>
        <w:rPr>
          <w:rFonts w:ascii="Times New Roman;sans-serif" w:hAnsi="Times New Roman;sans-serif"/>
          <w:b/>
          <w:color w:val="000000"/>
          <w:sz w:val="20"/>
        </w:rPr>
        <w:t>Default</w:t>
      </w:r>
      <w:r>
        <w:rPr>
          <w:color w:val="000000"/>
        </w:rPr>
        <w:t xml:space="preserve">” </w:t>
      </w:r>
      <w:r>
        <w:rPr>
          <w:rFonts w:ascii="Times New Roman;sans-serif" w:hAnsi="Times New Roman;sans-serif"/>
          <w:b w:val="false"/>
          <w:color w:val="000000"/>
          <w:sz w:val="20"/>
        </w:rPr>
        <w:t>means any event which with notice or passage of time or both, would constitute an Event of</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Default.</w:t>
      </w:r>
    </w:p>
    <w:p>
      <w:pPr>
        <w:pStyle w:val="TextBody"/>
        <w:spacing w:before="0" w:after="0"/>
        <w:rPr/>
      </w:pPr>
      <w:r>
        <w:rPr/>
      </w:r>
    </w:p>
    <w:p>
      <w:pPr>
        <w:pStyle w:val="TextBody"/>
        <w:spacing w:lineRule="auto" w:line="240" w:before="91" w:after="283"/>
        <w:rPr/>
      </w:pPr>
      <w:r>
        <w:rPr>
          <w:color w:val="000000"/>
        </w:rPr>
        <w:t>“</w:t>
      </w:r>
      <w:r>
        <w:rPr>
          <w:rFonts w:ascii="Times New Roman;sans-serif" w:hAnsi="Times New Roman;sans-serif"/>
          <w:b/>
          <w:color w:val="000000"/>
          <w:sz w:val="20"/>
        </w:rPr>
        <w:t>Default Rate</w:t>
      </w:r>
      <w:r>
        <w:rPr>
          <w:color w:val="000000"/>
        </w:rPr>
        <w:t xml:space="preserve">” </w:t>
      </w:r>
      <w:r>
        <w:rPr>
          <w:rFonts w:ascii="Times New Roman;sans-serif" w:hAnsi="Times New Roman;sans-serif"/>
          <w:b w:val="false"/>
          <w:color w:val="000000"/>
          <w:sz w:val="20"/>
        </w:rPr>
        <w:t>is defined in Section 1.2(c).</w:t>
      </w:r>
    </w:p>
    <w:p>
      <w:pPr>
        <w:pStyle w:val="TextBody"/>
        <w:spacing w:before="10" w:after="283"/>
        <w:rPr/>
      </w:pPr>
      <w:r>
        <w:rPr/>
      </w:r>
    </w:p>
    <w:p>
      <w:pPr>
        <w:pStyle w:val="TextBody"/>
        <w:spacing w:lineRule="auto" w:line="240" w:before="1" w:after="283"/>
        <w:ind w:left="0" w:right="0" w:firstLine="720"/>
        <w:rPr/>
      </w:pPr>
      <w:r>
        <w:rPr/>
        <w:drawing>
          <wp:inline distT="0" distB="63500" distL="0" distR="0">
            <wp:extent cx="5438775" cy="14605"/>
            <wp:effectExtent l="0" t="0" r="0" b="0"/>
            <wp:docPr id="3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70" descr=""/>
                    <pic:cNvPicPr>
                      <a:picLocks noChangeAspect="1" noChangeArrowheads="1"/>
                    </pic:cNvPicPr>
                  </pic:nvPicPr>
                  <pic:blipFill>
                    <a:blip r:embed="rId176"/>
                    <a:stretch>
                      <a:fillRect/>
                    </a:stretch>
                  </pic:blipFill>
                  <pic:spPr bwMode="auto">
                    <a:xfrm>
                      <a:off x="0" y="0"/>
                      <a:ext cx="5438775" cy="14605"/>
                    </a:xfrm>
                    <a:prstGeom prst="rect">
                      <a:avLst/>
                    </a:prstGeom>
                  </pic:spPr>
                </pic:pic>
              </a:graphicData>
            </a:graphic>
          </wp:inline>
        </w:drawing>
      </w:r>
      <w:r>
        <w:rPr/>
        <w:drawing>
          <wp:inline distT="0" distB="63500" distL="0" distR="0">
            <wp:extent cx="14605" cy="285750"/>
            <wp:effectExtent l="0" t="0" r="0" b="0"/>
            <wp:docPr id="3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71" descr=""/>
                    <pic:cNvPicPr>
                      <a:picLocks noChangeAspect="1" noChangeArrowheads="1"/>
                    </pic:cNvPicPr>
                  </pic:nvPicPr>
                  <pic:blipFill>
                    <a:blip r:embed="rId177"/>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Deferred Revenue</w:t>
      </w:r>
      <w:r>
        <w:rPr>
          <w:color w:val="0000FF"/>
          <w:u w:val="single"/>
        </w:rPr>
        <w:t xml:space="preserve">” </w:t>
      </w:r>
      <w:r>
        <w:rPr>
          <w:rFonts w:ascii="Times New Roman;sans-serif" w:hAnsi="Times New Roman;sans-serif"/>
          <w:b w:val="false"/>
          <w:color w:val="0000FF"/>
          <w:sz w:val="20"/>
          <w:u w:val="single"/>
        </w:rPr>
        <w:t>is all amounts received or invoiced in advance of performance under contracts and</w:t>
      </w:r>
      <w:r>
        <w:rPr>
          <w:color w:val="0000FF"/>
        </w:rPr>
        <w:t xml:space="preserve"> </w:t>
      </w:r>
      <w:r>
        <w:rPr>
          <w:rFonts w:ascii="Times New Roman;sans-serif" w:hAnsi="Times New Roman;sans-serif"/>
          <w:b w:val="false"/>
          <w:color w:val="0000FF"/>
          <w:sz w:val="20"/>
          <w:u w:val="single"/>
        </w:rPr>
        <w:t>not yet recognized as revenue.</w:t>
      </w:r>
    </w:p>
    <w:p>
      <w:pPr>
        <w:pStyle w:val="TextBody"/>
        <w:spacing w:before="0" w:after="0"/>
        <w:rPr/>
      </w:pPr>
      <w:r>
        <w:rPr/>
      </w:r>
    </w:p>
    <w:p>
      <w:pPr>
        <w:pStyle w:val="TextBody"/>
        <w:spacing w:lineRule="auto" w:line="240" w:before="91" w:after="283"/>
        <w:ind w:left="0" w:right="0" w:firstLine="720"/>
        <w:rPr/>
      </w:pPr>
      <w:r>
        <w:rPr>
          <w:color w:val="000000"/>
        </w:rPr>
        <w:t>“</w:t>
      </w:r>
      <w:r>
        <w:rPr>
          <w:rFonts w:ascii="Times New Roman;sans-serif" w:hAnsi="Times New Roman;sans-serif"/>
          <w:b/>
          <w:color w:val="000000"/>
          <w:sz w:val="20"/>
        </w:rPr>
        <w:t>Deposit Account</w:t>
      </w:r>
      <w:r>
        <w:rPr>
          <w:color w:val="000000"/>
        </w:rPr>
        <w:t xml:space="preserve">” </w:t>
      </w:r>
      <w:r>
        <w:rPr>
          <w:rFonts w:ascii="Times New Roman;sans-serif" w:hAnsi="Times New Roman;sans-serif"/>
          <w:b w:val="false"/>
          <w:color w:val="000000"/>
          <w:sz w:val="20"/>
        </w:rPr>
        <w:t>is any “</w:t>
      </w:r>
      <w:r>
        <w:rPr>
          <w:rFonts w:ascii="Times New Roman;sans-serif" w:hAnsi="Times New Roman;sans-serif"/>
          <w:b/>
          <w:color w:val="000000"/>
          <w:sz w:val="20"/>
        </w:rPr>
        <w:t>deposit account</w:t>
      </w:r>
      <w:r>
        <w:rPr>
          <w:color w:val="000000"/>
        </w:rPr>
        <w:t xml:space="preserve">” </w:t>
      </w:r>
      <w:r>
        <w:rPr>
          <w:rFonts w:ascii="Times New Roman;sans-serif" w:hAnsi="Times New Roman;sans-serif"/>
          <w:b w:val="false"/>
          <w:color w:val="000000"/>
          <w:sz w:val="20"/>
        </w:rPr>
        <w:t>as defined in the Code with such additions to such term as may hereafter be made.</w:t>
      </w:r>
    </w:p>
    <w:p>
      <w:pPr>
        <w:pStyle w:val="TextBody"/>
        <w:spacing w:before="11"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Designated Deposit Account</w:t>
      </w:r>
      <w:r>
        <w:rPr>
          <w:color w:val="000000"/>
        </w:rPr>
        <w:t xml:space="preserve">” </w:t>
      </w:r>
      <w:r>
        <w:rPr>
          <w:rFonts w:ascii="Times New Roman;sans-serif" w:hAnsi="Times New Roman;sans-serif"/>
          <w:b w:val="false"/>
          <w:color w:val="000000"/>
          <w:sz w:val="20"/>
        </w:rPr>
        <w:t>is the deposit account with account number xxx-xxxx-9905, established by Borrower with Bank for purposes of receiving Credit Extensions.</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Division</w:t>
      </w:r>
      <w:r>
        <w:rPr>
          <w:color w:val="000000"/>
        </w:rPr>
        <w:t xml:space="preserve">” </w:t>
      </w:r>
      <w:r>
        <w:rPr>
          <w:rFonts w:ascii="Times New Roman;sans-serif" w:hAnsi="Times New Roman;sans-serif"/>
          <w:b w:val="false"/>
          <w:color w:val="000000"/>
          <w:sz w:val="20"/>
        </w:rPr>
        <w:t>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w:t>
      </w:r>
    </w:p>
    <w:p>
      <w:pPr>
        <w:pStyle w:val="TextBody"/>
        <w:spacing w:before="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Dollar Equivalent</w:t>
      </w:r>
      <w:r>
        <w:rPr>
          <w:color w:val="000000"/>
        </w:rPr>
        <w:t xml:space="preserve">” </w:t>
      </w:r>
      <w:r>
        <w:rPr>
          <w:rFonts w:ascii="Times New Roman;sans-serif" w:hAnsi="Times New Roman;sans-serif"/>
          <w:b w:val="false"/>
          <w:color w:val="000000"/>
          <w:sz w:val="20"/>
        </w:rPr>
        <w:t>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51710"/>
                <wp:effectExtent l="0" t="0" r="0" b="0"/>
                <wp:wrapNone/>
                <wp:docPr id="375" name="Frame169"/>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72" descr=""/>
                                          <pic:cNvPicPr>
                                            <a:picLocks noChangeAspect="1" noChangeArrowheads="1"/>
                                          </pic:cNvPicPr>
                                        </pic:nvPicPr>
                                        <pic:blipFill>
                                          <a:blip r:embed="rId17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77"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72" descr=""/>
                                    <pic:cNvPicPr>
                                      <a:picLocks noChangeAspect="1" noChangeArrowheads="1"/>
                                    </pic:cNvPicPr>
                                  </pic:nvPicPr>
                                  <pic:blipFill>
                                    <a:blip r:embed="rId17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Dollars</w:t>
      </w:r>
      <w:r>
        <w:rPr>
          <w:rFonts w:ascii="Times New Roman;sans-serif" w:hAnsi="Times New Roman;sans-serif"/>
          <w:b w:val="false"/>
          <w:color w:val="000000"/>
          <w:sz w:val="20"/>
        </w:rPr>
        <w:t>,” “</w:t>
      </w:r>
      <w:r>
        <w:rPr>
          <w:rFonts w:ascii="Times New Roman;sans-serif" w:hAnsi="Times New Roman;sans-serif"/>
          <w:b/>
          <w:color w:val="000000"/>
          <w:sz w:val="20"/>
        </w:rPr>
        <w:t>dollars</w:t>
      </w:r>
      <w:r>
        <w:rPr>
          <w:color w:val="000000"/>
        </w:rPr>
        <w:t xml:space="preserve">” </w:t>
      </w:r>
      <w:r>
        <w:rPr>
          <w:rFonts w:ascii="Times New Roman;sans-serif" w:hAnsi="Times New Roman;sans-serif"/>
          <w:b w:val="false"/>
          <w:color w:val="000000"/>
          <w:sz w:val="20"/>
        </w:rPr>
        <w:t>or use of the sign “$” means only lawful money of the United States and not any other currency, regardless of whether that currency uses the “$” sign to denote its currency or may be readily converted into lawful money of the United States.</w:t>
      </w:r>
    </w:p>
    <w:p>
      <w:pPr>
        <w:pStyle w:val="TextBody"/>
        <w:spacing w:before="0" w:after="0"/>
        <w:rPr/>
      </w:pPr>
      <w:r>
        <w:rPr/>
      </w:r>
    </w:p>
    <w:p>
      <w:pPr>
        <w:pStyle w:val="TextBody"/>
        <w:spacing w:lineRule="auto" w:line="240" w:before="0" w:after="0"/>
        <w:ind w:left="0" w:right="0" w:firstLine="720"/>
        <w:jc w:val="both"/>
        <w:rPr/>
      </w:pPr>
      <w:r>
        <w:rPr/>
        <w:drawing>
          <wp:inline distT="0" distB="63500" distL="0" distR="0">
            <wp:extent cx="14605" cy="438150"/>
            <wp:effectExtent l="0" t="0" r="0" b="0"/>
            <wp:docPr id="37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73" descr=""/>
                    <pic:cNvPicPr>
                      <a:picLocks noChangeAspect="1" noChangeArrowheads="1"/>
                    </pic:cNvPicPr>
                  </pic:nvPicPr>
                  <pic:blipFill>
                    <a:blip r:embed="rId179"/>
                    <a:stretch>
                      <a:fillRect/>
                    </a:stretch>
                  </pic:blipFill>
                  <pic:spPr bwMode="auto">
                    <a:xfrm>
                      <a:off x="0" y="0"/>
                      <a:ext cx="14605" cy="438150"/>
                    </a:xfrm>
                    <a:prstGeom prst="rect">
                      <a:avLst/>
                    </a:prstGeom>
                  </pic:spPr>
                </pic:pic>
              </a:graphicData>
            </a:graphic>
          </wp:inline>
        </w:drawing>
      </w:r>
      <w:r>
        <w:rPr>
          <w:strike/>
          <w:color w:val="FF0000"/>
        </w:rPr>
        <w:t>“</w:t>
      </w:r>
      <w:r>
        <w:rPr>
          <w:rFonts w:ascii="Times New Roman;sans-serif" w:hAnsi="Times New Roman;sans-serif"/>
          <w:b/>
          <w:strike/>
          <w:color w:val="FF0000"/>
          <w:sz w:val="20"/>
        </w:rPr>
        <w:t>EBITDA</w:t>
      </w:r>
      <w:r>
        <w:rPr>
          <w:strike/>
          <w:color w:val="FF0000"/>
        </w:rPr>
        <w:t xml:space="preserve">” </w:t>
      </w:r>
      <w:r>
        <w:rPr>
          <w:rFonts w:ascii="Times New Roman;sans-serif" w:hAnsi="Times New Roman;sans-serif"/>
          <w:b w:val="false"/>
          <w:strike/>
          <w:color w:val="FF0000"/>
          <w:sz w:val="20"/>
        </w:rPr>
        <w:t>shall mean</w:t>
      </w:r>
      <w:r>
        <w:rPr>
          <w:color w:val="FF0000"/>
        </w:rPr>
        <w:t xml:space="preserve"> </w:t>
      </w:r>
      <w:r>
        <w:rPr>
          <w:rFonts w:ascii="Times New Roman;sans-serif" w:hAnsi="Times New Roman;sans-serif"/>
          <w:b w:val="false"/>
          <w:strike/>
          <w:color w:val="007F00"/>
          <w:sz w:val="20"/>
        </w:rPr>
        <w:t>(a) Net Income, plus (b) to the extent deducted</w:t>
      </w:r>
      <w:r>
        <w:rPr>
          <w:color w:val="007F00"/>
        </w:rPr>
        <w:t xml:space="preserve"> </w:t>
      </w:r>
      <w:r>
        <w:rPr>
          <w:rFonts w:ascii="Times New Roman;sans-serif" w:hAnsi="Times New Roman;sans-serif"/>
          <w:b w:val="false"/>
          <w:strike/>
          <w:color w:val="FF0000"/>
          <w:sz w:val="20"/>
        </w:rPr>
        <w:t>in</w:t>
      </w:r>
      <w:r>
        <w:rPr>
          <w:color w:val="FF0000"/>
        </w:rPr>
        <w:t xml:space="preserve"> </w:t>
      </w:r>
      <w:r>
        <w:rPr>
          <w:rFonts w:ascii="Times New Roman;sans-serif" w:hAnsi="Times New Roman;sans-serif"/>
          <w:b w:val="false"/>
          <w:strike/>
          <w:color w:val="007F00"/>
          <w:sz w:val="20"/>
        </w:rPr>
        <w:t>the calculation of Net Income</w:t>
      </w:r>
      <w:r>
        <w:rPr>
          <w:color w:val="007F00"/>
        </w:rPr>
        <w:t xml:space="preserve"> </w:t>
      </w:r>
      <w:r>
        <w:rPr>
          <w:rFonts w:ascii="Times New Roman;sans-serif" w:hAnsi="Times New Roman;sans-serif"/>
          <w:b w:val="false"/>
          <w:strike/>
          <w:color w:val="FF0000"/>
          <w:sz w:val="20"/>
        </w:rPr>
        <w:t>(i)</w:t>
      </w:r>
      <w:r>
        <w:rPr>
          <w:color w:val="FF0000"/>
        </w:rPr>
        <w:t xml:space="preserve"> </w:t>
      </w:r>
      <w:r>
        <w:rPr>
          <w:rFonts w:ascii="Times New Roman;sans-serif" w:hAnsi="Times New Roman;sans-serif"/>
          <w:b w:val="false"/>
          <w:strike/>
          <w:color w:val="FF0000"/>
          <w:sz w:val="20"/>
        </w:rPr>
        <w:t>Interest Expense</w:t>
      </w:r>
      <w:r>
        <w:rPr>
          <w:rFonts w:ascii="Times New Roman;sans-serif" w:hAnsi="Times New Roman;sans-serif"/>
          <w:b w:val="false"/>
          <w:strike/>
          <w:color w:val="007F00"/>
          <w:sz w:val="20"/>
        </w:rPr>
        <w:t>, (ii) depreciation expense and amortization expense, (iii) income tax expense,</w:t>
      </w:r>
      <w:r>
        <w:rPr>
          <w:color w:val="007F00"/>
        </w:rPr>
        <w:t xml:space="preserve"> </w:t>
      </w:r>
      <w:r>
        <w:rPr>
          <w:rFonts w:ascii="Times New Roman;sans-serif" w:hAnsi="Times New Roman;sans-serif"/>
          <w:b w:val="false"/>
          <w:strike/>
          <w:color w:val="FF0000"/>
          <w:sz w:val="20"/>
        </w:rPr>
        <w:t>and (iv) stock based</w:t>
      </w:r>
      <w:r>
        <w:rPr>
          <w:color w:val="FF0000"/>
        </w:rPr>
        <w:t xml:space="preserve"> </w:t>
      </w:r>
      <w:r>
        <w:rPr>
          <w:rFonts w:ascii="Times New Roman;sans-serif" w:hAnsi="Times New Roman;sans-serif"/>
          <w:b w:val="false"/>
          <w:strike/>
          <w:color w:val="FF0000"/>
          <w:sz w:val="20"/>
        </w:rPr>
        <w:t>compensation.</w:t>
      </w:r>
    </w:p>
    <w:p>
      <w:pPr>
        <w:pStyle w:val="TextBody"/>
        <w:spacing w:before="1" w:after="283"/>
        <w:rPr/>
      </w:pPr>
      <w:r>
        <w:rPr/>
      </w:r>
    </w:p>
    <w:p>
      <w:pPr>
        <w:pStyle w:val="TextBody"/>
        <w:spacing w:lineRule="auto" w:line="240" w:before="91" w:after="283"/>
        <w:rPr/>
      </w:pP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is set forth on Schedule I hereto.</w:t>
      </w:r>
    </w:p>
    <w:p>
      <w:pPr>
        <w:pStyle w:val="TextBody"/>
        <w:spacing w:before="10" w:after="283"/>
        <w:rPr/>
      </w:pPr>
      <w:r>
        <w:rPr/>
      </w:r>
    </w:p>
    <w:p>
      <w:pPr>
        <w:pStyle w:val="TextBody"/>
        <w:spacing w:lineRule="auto" w:line="240" w:before="0" w:after="0"/>
        <w:ind w:left="0" w:right="0" w:firstLine="717"/>
        <w:rPr/>
      </w:pPr>
      <w:r>
        <w:rPr/>
        <w:drawing>
          <wp:inline distT="0" distB="63500" distL="0" distR="0">
            <wp:extent cx="5438775" cy="14605"/>
            <wp:effectExtent l="0" t="0" r="0" b="0"/>
            <wp:docPr id="37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74" descr=""/>
                    <pic:cNvPicPr>
                      <a:picLocks noChangeAspect="1" noChangeArrowheads="1"/>
                    </pic:cNvPicPr>
                  </pic:nvPicPr>
                  <pic:blipFill>
                    <a:blip r:embed="rId180"/>
                    <a:stretch>
                      <a:fillRect/>
                    </a:stretch>
                  </pic:blipFill>
                  <pic:spPr bwMode="auto">
                    <a:xfrm>
                      <a:off x="0" y="0"/>
                      <a:ext cx="5438775" cy="14605"/>
                    </a:xfrm>
                    <a:prstGeom prst="rect">
                      <a:avLst/>
                    </a:prstGeom>
                  </pic:spPr>
                </pic:pic>
              </a:graphicData>
            </a:graphic>
          </wp:inline>
        </w:drawing>
      </w:r>
      <w:r>
        <w:rPr/>
        <w:drawing>
          <wp:inline distT="0" distB="63500" distL="0" distR="0">
            <wp:extent cx="14605" cy="1019175"/>
            <wp:effectExtent l="0" t="0" r="0" b="0"/>
            <wp:docPr id="38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75" descr=""/>
                    <pic:cNvPicPr>
                      <a:picLocks noChangeAspect="1" noChangeArrowheads="1"/>
                    </pic:cNvPicPr>
                  </pic:nvPicPr>
                  <pic:blipFill>
                    <a:blip r:embed="rId181"/>
                    <a:stretch>
                      <a:fillRect/>
                    </a:stretch>
                  </pic:blipFill>
                  <pic:spPr bwMode="auto">
                    <a:xfrm>
                      <a:off x="0" y="0"/>
                      <a:ext cx="14605" cy="1019175"/>
                    </a:xfrm>
                    <a:prstGeom prst="rect">
                      <a:avLst/>
                    </a:prstGeom>
                  </pic:spPr>
                </pic:pic>
              </a:graphicData>
            </a:graphic>
          </wp:inline>
        </w:drawing>
      </w:r>
      <w:r>
        <w:rPr/>
        <w:drawing>
          <wp:inline distT="0" distB="63500" distL="0" distR="0">
            <wp:extent cx="5895975" cy="14605"/>
            <wp:effectExtent l="0" t="0" r="0" b="0"/>
            <wp:docPr id="38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76" descr=""/>
                    <pic:cNvPicPr>
                      <a:picLocks noChangeAspect="1" noChangeArrowheads="1"/>
                    </pic:cNvPicPr>
                  </pic:nvPicPr>
                  <pic:blipFill>
                    <a:blip r:embed="rId182"/>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382"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77" descr=""/>
                    <pic:cNvPicPr>
                      <a:picLocks noChangeAspect="1" noChangeArrowheads="1"/>
                    </pic:cNvPicPr>
                  </pic:nvPicPr>
                  <pic:blipFill>
                    <a:blip r:embed="rId183"/>
                    <a:stretch>
                      <a:fillRect/>
                    </a:stretch>
                  </pic:blipFill>
                  <pic:spPr bwMode="auto">
                    <a:xfrm>
                      <a:off x="0" y="0"/>
                      <a:ext cx="5895975" cy="14605"/>
                    </a:xfrm>
                    <a:prstGeom prst="rect">
                      <a:avLst/>
                    </a:prstGeom>
                  </pic:spPr>
                </pic:pic>
              </a:graphicData>
            </a:graphic>
          </wp:inline>
        </w:drawing>
      </w:r>
      <w:r>
        <w:rPr/>
        <w:drawing>
          <wp:inline distT="0" distB="63500" distL="0" distR="0">
            <wp:extent cx="5848350" cy="14605"/>
            <wp:effectExtent l="0" t="0" r="0" b="0"/>
            <wp:docPr id="383"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78" descr=""/>
                    <pic:cNvPicPr>
                      <a:picLocks noChangeAspect="1" noChangeArrowheads="1"/>
                    </pic:cNvPicPr>
                  </pic:nvPicPr>
                  <pic:blipFill>
                    <a:blip r:embed="rId184"/>
                    <a:stretch>
                      <a:fillRect/>
                    </a:stretch>
                  </pic:blipFill>
                  <pic:spPr bwMode="auto">
                    <a:xfrm>
                      <a:off x="0" y="0"/>
                      <a:ext cx="5848350" cy="14605"/>
                    </a:xfrm>
                    <a:prstGeom prst="rect">
                      <a:avLst/>
                    </a:prstGeom>
                  </pic:spPr>
                </pic:pic>
              </a:graphicData>
            </a:graphic>
          </wp:inline>
        </w:drawing>
      </w:r>
      <w:r>
        <w:rPr>
          <w:color w:val="0000FF"/>
          <w:u w:val="single"/>
        </w:rPr>
        <w:t xml:space="preserve"> “</w:t>
      </w:r>
      <w:r>
        <w:rPr>
          <w:rFonts w:ascii="Times New Roman;sans-serif" w:hAnsi="Times New Roman;sans-serif"/>
          <w:b/>
          <w:color w:val="0000FF"/>
          <w:sz w:val="20"/>
          <w:u w:val="single"/>
        </w:rPr>
        <w:t>Eligible Accounts</w:t>
      </w:r>
      <w:r>
        <w:rPr>
          <w:color w:val="0000FF"/>
          <w:u w:val="single"/>
        </w:rPr>
        <w:t xml:space="preserve">” </w:t>
      </w:r>
      <w:r>
        <w:rPr>
          <w:rFonts w:ascii="Times New Roman;sans-serif" w:hAnsi="Times New Roman;sans-serif"/>
          <w:b w:val="false"/>
          <w:color w:val="0000FF"/>
          <w:sz w:val="20"/>
          <w:u w:val="single"/>
        </w:rPr>
        <w:t>means Accounts owing to Borrower which arise in the ordinary course of Borrower’s</w:t>
      </w:r>
      <w:r>
        <w:rPr>
          <w:color w:val="0000FF"/>
        </w:rPr>
        <w:t xml:space="preserve"> </w:t>
      </w:r>
      <w:r>
        <w:rPr>
          <w:rFonts w:ascii="Times New Roman;sans-serif" w:hAnsi="Times New Roman;sans-serif"/>
          <w:b w:val="false"/>
          <w:color w:val="0000FF"/>
          <w:sz w:val="20"/>
          <w:u w:val="single"/>
        </w:rPr>
        <w:t>business that meet all Borrower’s representations and warranties in Section 4.3, that have been, at the option of</w:t>
      </w:r>
      <w:r>
        <w:rPr>
          <w:color w:val="0000FF"/>
        </w:rPr>
        <w:t xml:space="preserve"> </w:t>
      </w:r>
      <w:r>
        <w:rPr>
          <w:rFonts w:ascii="Times New Roman;sans-serif" w:hAnsi="Times New Roman;sans-serif"/>
          <w:b w:val="false"/>
          <w:color w:val="0000FF"/>
          <w:sz w:val="20"/>
          <w:u w:val="single"/>
        </w:rPr>
        <w:t>Bank, confirmed in accordance with Section 5.4(f) of this Agreement, and are due and owing from Account Debtors</w:t>
      </w:r>
      <w:r>
        <w:rPr>
          <w:color w:val="0000FF"/>
        </w:rPr>
        <w:t xml:space="preserve"> </w:t>
      </w:r>
      <w:r>
        <w:rPr>
          <w:rFonts w:ascii="Times New Roman;sans-serif" w:hAnsi="Times New Roman;sans-serif"/>
          <w:b w:val="false"/>
          <w:color w:val="0000FF"/>
          <w:sz w:val="20"/>
          <w:u w:val="single"/>
        </w:rPr>
        <w:t>deemed creditworthy by Bank in its commercially reasonable discretion. Bank reserves the right,</w:t>
      </w:r>
      <w:r>
        <w:rPr>
          <w:color w:val="0000FF"/>
        </w:rPr>
        <w:t xml:space="preserve"> </w:t>
      </w:r>
      <w:r>
        <w:rPr>
          <w:rFonts w:ascii="Times New Roman;sans-serif" w:hAnsi="Times New Roman;sans-serif"/>
          <w:b w:val="false"/>
          <w:color w:val="007F00"/>
          <w:sz w:val="20"/>
          <w:u w:val="single"/>
        </w:rPr>
        <w:t>at any time after</w:t>
      </w:r>
      <w:r>
        <w:rPr>
          <w:color w:val="007F00"/>
        </w:rPr>
        <w:t xml:space="preserve"> </w:t>
      </w:r>
      <w:r>
        <w:rPr>
          <w:rFonts w:ascii="Times New Roman;sans-serif" w:hAnsi="Times New Roman;sans-serif"/>
          <w:b w:val="false"/>
          <w:color w:val="007F00"/>
          <w:sz w:val="20"/>
          <w:u w:val="single"/>
        </w:rPr>
        <w:t>the</w:t>
      </w:r>
      <w:r>
        <w:rPr>
          <w:color w:val="007F00"/>
        </w:rPr>
        <w:t xml:space="preserve"> </w:t>
      </w:r>
      <w:r>
        <w:rPr>
          <w:rFonts w:ascii="Times New Roman;sans-serif" w:hAnsi="Times New Roman;sans-serif"/>
          <w:b w:val="false"/>
          <w:color w:val="0000FF"/>
          <w:sz w:val="20"/>
          <w:u w:val="single"/>
        </w:rPr>
        <w:t>First Amendment Effective Date, in its commercially reasonable discretion in each instance, to adjust any of the</w:t>
      </w:r>
      <w:r>
        <w:rPr>
          <w:color w:val="0000FF"/>
        </w:rPr>
        <w:t xml:space="preserve"> </w:t>
      </w:r>
      <w:r>
        <w:rPr>
          <w:rFonts w:ascii="Times New Roman;sans-serif" w:hAnsi="Times New Roman;sans-serif"/>
          <w:b w:val="false"/>
          <w:color w:val="0000FF"/>
          <w:sz w:val="20"/>
          <w:u w:val="single"/>
        </w:rPr>
        <w:t>criteria set forth below and to establish new criteria, following thirty (30) days prior written notice to Borrower.</w:t>
      </w:r>
      <w:r>
        <w:rPr>
          <w:color w:val="0000FF"/>
        </w:rPr>
        <w:t xml:space="preserve"> </w:t>
      </w:r>
      <w:r>
        <w:rPr>
          <w:rFonts w:ascii="Times New Roman;sans-serif" w:hAnsi="Times New Roman;sans-serif"/>
          <w:b w:val="false"/>
          <w:color w:val="0000FF"/>
          <w:sz w:val="20"/>
          <w:u w:val="single"/>
        </w:rPr>
        <w:t>Unless Bank otherwise agrees in writing, Eligible Accounts shall not include:</w:t>
      </w:r>
    </w:p>
    <w:p>
      <w:pPr>
        <w:pStyle w:val="TextBody"/>
        <w:spacing w:before="3" w:after="283"/>
        <w:rPr/>
      </w:pPr>
      <w:r>
        <w:rPr/>
      </w:r>
    </w:p>
    <w:p>
      <w:pPr>
        <w:pStyle w:val="TextBody"/>
        <w:spacing w:lineRule="auto" w:line="240" w:before="91" w:after="283"/>
        <w:ind w:left="0" w:right="0" w:firstLine="1440"/>
        <w:rPr/>
      </w:pPr>
      <w:r>
        <w:rPr>
          <w:rFonts w:ascii="Times New Roman;sans-serif" w:hAnsi="Times New Roman;sans-serif"/>
          <w:b w:val="false"/>
          <w:color w:val="0000FF"/>
          <w:sz w:val="20"/>
        </w:rPr>
        <w:t>(a)</w:t>
      </w:r>
      <w:r>
        <w:rPr/>
        <w:drawing>
          <wp:inline distT="0" distB="63500" distL="0" distR="0">
            <wp:extent cx="14605" cy="285750"/>
            <wp:effectExtent l="0" t="0" r="0" b="0"/>
            <wp:docPr id="38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79" descr=""/>
                    <pic:cNvPicPr>
                      <a:picLocks noChangeAspect="1" noChangeArrowheads="1"/>
                    </pic:cNvPicPr>
                  </pic:nvPicPr>
                  <pic:blipFill>
                    <a:blip r:embed="rId185"/>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(i) for which the Account Debtor is Borrower’s Affiliate, officer, employee,</w:t>
      </w:r>
      <w:r>
        <w:rPr>
          <w:color w:val="0000FF"/>
        </w:rPr>
        <w:t xml:space="preserve"> </w:t>
      </w:r>
      <w:r>
        <w:rPr>
          <w:rFonts w:ascii="Times New Roman;sans-serif" w:hAnsi="Times New Roman;sans-serif"/>
          <w:b w:val="false"/>
          <w:color w:val="0000FF"/>
          <w:sz w:val="20"/>
          <w:u w:val="single"/>
        </w:rPr>
        <w:t>investor, or agent, or (ii) that are intercompany Accounts;</w:t>
      </w:r>
    </w:p>
    <w:p>
      <w:pPr>
        <w:pStyle w:val="TextBody"/>
        <w:spacing w:before="0" w:after="0"/>
        <w:rPr/>
      </w:pPr>
      <w:r>
        <w:rPr/>
      </w:r>
    </w:p>
    <w:p>
      <w:pPr>
        <w:pStyle w:val="TextBody"/>
        <w:spacing w:lineRule="auto" w:line="240" w:before="91" w:after="283"/>
        <w:ind w:left="0" w:right="0" w:firstLine="1440"/>
        <w:rPr/>
      </w:pPr>
      <w:r>
        <w:rPr>
          <w:rFonts w:ascii="Times New Roman;sans-serif" w:hAnsi="Times New Roman;sans-serif"/>
          <w:b w:val="false"/>
          <w:color w:val="0000FF"/>
          <w:sz w:val="20"/>
        </w:rPr>
        <w:t>(b)</w:t>
      </w:r>
      <w:r>
        <w:rPr/>
        <w:drawing>
          <wp:inline distT="0" distB="63500" distL="0" distR="0">
            <wp:extent cx="14605" cy="285750"/>
            <wp:effectExtent l="0" t="0" r="0" b="0"/>
            <wp:docPr id="38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80" descr=""/>
                    <pic:cNvPicPr>
                      <a:picLocks noChangeAspect="1" noChangeArrowheads="1"/>
                    </pic:cNvPicPr>
                  </pic:nvPicPr>
                  <pic:blipFill>
                    <a:blip r:embed="rId186"/>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that the Account Debtor has not paid within ninety (90) days of invoice date</w:t>
      </w:r>
      <w:r>
        <w:rPr>
          <w:color w:val="0000FF"/>
        </w:rPr>
        <w:t xml:space="preserve"> </w:t>
      </w:r>
      <w:r>
        <w:rPr>
          <w:rFonts w:ascii="Times New Roman;sans-serif" w:hAnsi="Times New Roman;sans-serif"/>
          <w:b w:val="false"/>
          <w:color w:val="0000FF"/>
          <w:sz w:val="20"/>
          <w:u w:val="single"/>
        </w:rPr>
        <w:t>regardless of invoice payment period terms;</w:t>
      </w:r>
    </w:p>
    <w:p>
      <w:pPr>
        <w:pStyle w:val="TextBody"/>
        <w:spacing w:before="1" w:after="283"/>
        <w:rPr/>
      </w:pPr>
      <w:r>
        <w:rPr/>
      </w:r>
    </w:p>
    <w:p>
      <w:pPr>
        <w:pStyle w:val="TextBody"/>
        <w:spacing w:lineRule="auto" w:line="240" w:before="91" w:after="283"/>
        <w:ind w:left="0" w:right="0" w:firstLine="1440"/>
        <w:rPr/>
      </w:pPr>
      <w:r>
        <w:rPr>
          <w:rFonts w:ascii="Times New Roman;sans-serif" w:hAnsi="Times New Roman;sans-serif"/>
          <w:b w:val="false"/>
          <w:color w:val="0000FF"/>
          <w:sz w:val="20"/>
        </w:rPr>
        <w:t>(c)</w:t>
      </w:r>
      <w:r>
        <w:rPr/>
        <w:drawing>
          <wp:inline distT="0" distB="63500" distL="0" distR="0">
            <wp:extent cx="14605" cy="285750"/>
            <wp:effectExtent l="0" t="0" r="0" b="0"/>
            <wp:docPr id="386"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81" descr=""/>
                    <pic:cNvPicPr>
                      <a:picLocks noChangeAspect="1" noChangeArrowheads="1"/>
                    </pic:cNvPicPr>
                  </pic:nvPicPr>
                  <pic:blipFill>
                    <a:blip r:embed="rId187"/>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with credit balances over ninety (90) days from invoice date, to the extent of</w:t>
      </w:r>
      <w:r>
        <w:rPr>
          <w:color w:val="0000FF"/>
        </w:rPr>
        <w:t xml:space="preserve"> </w:t>
      </w:r>
      <w:r>
        <w:rPr>
          <w:rFonts w:ascii="Times New Roman;sans-serif" w:hAnsi="Times New Roman;sans-serif"/>
          <w:b w:val="false"/>
          <w:color w:val="0000FF"/>
          <w:sz w:val="20"/>
          <w:u w:val="single"/>
        </w:rPr>
        <w:t>such credit balances;</w:t>
      </w:r>
    </w:p>
    <w:p>
      <w:pPr>
        <w:pStyle w:val="TextBody"/>
        <w:spacing w:before="0" w:after="0"/>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(d)</w:t>
      </w:r>
      <w:r>
        <w:rPr/>
        <w:drawing>
          <wp:inline distT="0" distB="63500" distL="0" distR="0">
            <wp:extent cx="14605" cy="438150"/>
            <wp:effectExtent l="0" t="0" r="0" b="0"/>
            <wp:docPr id="387"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82" descr=""/>
                    <pic:cNvPicPr>
                      <a:picLocks noChangeAspect="1" noChangeArrowheads="1"/>
                    </pic:cNvPicPr>
                  </pic:nvPicPr>
                  <pic:blipFill>
                    <a:blip r:embed="rId188"/>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Accounts owing from an Account Debtor that exceed Two Hundred Fifty Thousand</w:t>
      </w:r>
      <w:r>
        <w:rPr>
          <w:color w:val="0000FF"/>
        </w:rPr>
        <w:t xml:space="preserve"> </w:t>
      </w:r>
      <w:r>
        <w:rPr>
          <w:rFonts w:ascii="Times New Roman;sans-serif" w:hAnsi="Times New Roman;sans-serif"/>
          <w:b w:val="false"/>
          <w:color w:val="0000FF"/>
          <w:sz w:val="20"/>
          <w:u w:val="single"/>
        </w:rPr>
        <w:t>Dollars ($250,000) if fifty percent (50.0%) or more of the Accounts owing from such Account Debtor have not been</w:t>
      </w:r>
      <w:r>
        <w:rPr>
          <w:color w:val="0000FF"/>
        </w:rPr>
        <w:t xml:space="preserve"> </w:t>
      </w:r>
      <w:r>
        <w:rPr>
          <w:rFonts w:ascii="Times New Roman;sans-serif" w:hAnsi="Times New Roman;sans-serif"/>
          <w:b w:val="false"/>
          <w:color w:val="0000FF"/>
          <w:sz w:val="20"/>
          <w:u w:val="single"/>
        </w:rPr>
        <w:t>paid within ninety (90) days of invoice date;</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(e)</w:t>
      </w:r>
      <w:r>
        <w:rPr/>
        <w:drawing>
          <wp:inline distT="0" distB="63500" distL="0" distR="0">
            <wp:extent cx="14605" cy="723900"/>
            <wp:effectExtent l="0" t="0" r="0" b="0"/>
            <wp:docPr id="388"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83" descr=""/>
                    <pic:cNvPicPr>
                      <a:picLocks noChangeAspect="1" noChangeArrowheads="1"/>
                    </pic:cNvPicPr>
                  </pic:nvPicPr>
                  <pic:blipFill>
                    <a:blip r:embed="rId189"/>
                    <a:stretch>
                      <a:fillRect/>
                    </a:stretch>
                  </pic:blipFill>
                  <pic:spPr bwMode="auto">
                    <a:xfrm>
                      <a:off x="0" y="0"/>
                      <a:ext cx="14605" cy="723900"/>
                    </a:xfrm>
                    <a:prstGeom prst="rect">
                      <a:avLst/>
                    </a:prstGeom>
                  </pic:spPr>
                </pic:pic>
              </a:graphicData>
            </a:graphic>
          </wp:inline>
        </w:drawing>
      </w:r>
      <w:r>
        <w:rPr>
          <w:rFonts w:ascii="Times New Roman;sans-serif" w:hAnsi="Times New Roman;sans-serif"/>
          <w:b w:val="false"/>
          <w:color w:val="0000FF"/>
          <w:sz w:val="20"/>
          <w:u w:val="single"/>
        </w:rPr>
        <w:t>Accounts owing from an Account Debtor (i) which does not have its principal place of</w:t>
      </w:r>
      <w:r>
        <w:rPr>
          <w:color w:val="0000FF"/>
        </w:rPr>
        <w:t xml:space="preserve"> </w:t>
      </w:r>
      <w:r>
        <w:rPr>
          <w:rFonts w:ascii="Times New Roman;sans-serif" w:hAnsi="Times New Roman;sans-serif"/>
          <w:b w:val="false"/>
          <w:color w:val="0000FF"/>
          <w:sz w:val="20"/>
          <w:u w:val="single"/>
        </w:rPr>
        <w:t>business in the United States or (ii) whose billing address (as set forth in the applicable invoice for such Account) is</w:t>
      </w:r>
      <w:r>
        <w:rPr>
          <w:color w:val="0000FF"/>
        </w:rPr>
        <w:t xml:space="preserve"> </w:t>
      </w:r>
      <w:r>
        <w:rPr>
          <w:rFonts w:ascii="Times New Roman;sans-serif" w:hAnsi="Times New Roman;sans-serif"/>
          <w:b w:val="false"/>
          <w:color w:val="0000FF"/>
          <w:sz w:val="20"/>
          <w:u w:val="single"/>
        </w:rPr>
        <w:t>not in the United States, unless in the case of both (i) and (ii) such Accounts are otherwise approved by Bank in</w:t>
      </w:r>
      <w:r>
        <w:rPr>
          <w:color w:val="0000FF"/>
        </w:rPr>
        <w:t xml:space="preserve"> </w:t>
      </w:r>
      <w:r>
        <w:rPr>
          <w:rFonts w:ascii="Times New Roman;sans-serif" w:hAnsi="Times New Roman;sans-serif"/>
          <w:b w:val="false"/>
          <w:color w:val="0000FF"/>
          <w:sz w:val="20"/>
          <w:u w:val="single"/>
        </w:rPr>
        <w:t>writing, provided, however, that Bank hereby approves the Accounts relating to Device Technologies Belrose which</w:t>
      </w:r>
      <w:r>
        <w:rPr>
          <w:color w:val="0000FF"/>
        </w:rPr>
        <w:t xml:space="preserve"> </w:t>
      </w:r>
      <w:r>
        <w:rPr>
          <w:rFonts w:ascii="Times New Roman;sans-serif" w:hAnsi="Times New Roman;sans-serif"/>
          <w:b w:val="false"/>
          <w:color w:val="0000FF"/>
          <w:sz w:val="20"/>
          <w:u w:val="single"/>
        </w:rPr>
        <w:t>is located in Australia;</w:t>
      </w:r>
    </w:p>
    <w:p>
      <w:pPr>
        <w:pStyle w:val="TextBody"/>
        <w:spacing w:before="1"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2251710"/>
                <wp:effectExtent l="0" t="0" r="0" b="0"/>
                <wp:wrapNone/>
                <wp:docPr id="389" name="Frame170"/>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390"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84" descr=""/>
                                          <pic:cNvPicPr>
                                            <a:picLocks noChangeAspect="1" noChangeArrowheads="1"/>
                                          </pic:cNvPicPr>
                                        </pic:nvPicPr>
                                        <pic:blipFill>
                                          <a:blip r:embed="rId190"/>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39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84" descr=""/>
                                    <pic:cNvPicPr>
                                      <a:picLocks noChangeAspect="1" noChangeArrowheads="1"/>
                                    </pic:cNvPicPr>
                                  </pic:nvPicPr>
                                  <pic:blipFill>
                                    <a:blip r:embed="rId190"/>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ind w:left="0" w:right="0" w:firstLine="1440"/>
        <w:rPr/>
      </w:pPr>
      <w:r>
        <w:rPr>
          <w:rFonts w:ascii="Times New Roman;sans-serif" w:hAnsi="Times New Roman;sans-serif"/>
          <w:b w:val="false"/>
          <w:color w:val="0000FF"/>
          <w:sz w:val="20"/>
        </w:rPr>
        <w:t>(f)</w:t>
      </w:r>
      <w:r>
        <w:rPr/>
        <w:drawing>
          <wp:inline distT="0" distB="63500" distL="0" distR="0">
            <wp:extent cx="14605" cy="285750"/>
            <wp:effectExtent l="0" t="0" r="0" b="0"/>
            <wp:docPr id="39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85" descr=""/>
                    <pic:cNvPicPr>
                      <a:picLocks noChangeAspect="1" noChangeArrowheads="1"/>
                    </pic:cNvPicPr>
                  </pic:nvPicPr>
                  <pic:blipFill>
                    <a:blip r:embed="rId191"/>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billed from and/or payable to Borrower outside of the United States (sometimes</w:t>
      </w:r>
      <w:r>
        <w:rPr>
          <w:color w:val="0000FF"/>
        </w:rPr>
        <w:t xml:space="preserve"> </w:t>
      </w:r>
      <w:r>
        <w:rPr>
          <w:rFonts w:ascii="Times New Roman;sans-serif" w:hAnsi="Times New Roman;sans-serif"/>
          <w:b w:val="false"/>
          <w:color w:val="0000FF"/>
          <w:sz w:val="20"/>
          <w:u w:val="single"/>
        </w:rPr>
        <w:t>called foreign invoiced accounts);</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FF"/>
          <w:sz w:val="20"/>
        </w:rPr>
        <w:t>(g)</w:t>
      </w:r>
      <w:r>
        <w:rPr/>
        <w:drawing>
          <wp:inline distT="0" distB="63500" distL="0" distR="0">
            <wp:extent cx="4543425" cy="14605"/>
            <wp:effectExtent l="0" t="0" r="0" b="0"/>
            <wp:docPr id="39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86" descr=""/>
                    <pic:cNvPicPr>
                      <a:picLocks noChangeAspect="1" noChangeArrowheads="1"/>
                    </pic:cNvPicPr>
                  </pic:nvPicPr>
                  <pic:blipFill>
                    <a:blip r:embed="rId192"/>
                    <a:stretch>
                      <a:fillRect/>
                    </a:stretch>
                  </pic:blipFill>
                  <pic:spPr bwMode="auto">
                    <a:xfrm>
                      <a:off x="0" y="0"/>
                      <a:ext cx="4543425" cy="14605"/>
                    </a:xfrm>
                    <a:prstGeom prst="rect">
                      <a:avLst/>
                    </a:prstGeom>
                  </pic:spPr>
                </pic:pic>
              </a:graphicData>
            </a:graphic>
          </wp:inline>
        </w:drawing>
      </w:r>
      <w:r>
        <w:rPr/>
        <w:drawing>
          <wp:inline distT="0" distB="63500" distL="0" distR="0">
            <wp:extent cx="14605" cy="438150"/>
            <wp:effectExtent l="0" t="0" r="0" b="0"/>
            <wp:docPr id="39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87" descr=""/>
                    <pic:cNvPicPr>
                      <a:picLocks noChangeAspect="1" noChangeArrowheads="1"/>
                    </pic:cNvPicPr>
                  </pic:nvPicPr>
                  <pic:blipFill>
                    <a:blip r:embed="rId193"/>
                    <a:stretch>
                      <a:fillRect/>
                    </a:stretch>
                  </pic:blipFill>
                  <pic:spPr bwMode="auto">
                    <a:xfrm>
                      <a:off x="0" y="0"/>
                      <a:ext cx="14605" cy="438150"/>
                    </a:xfrm>
                    <a:prstGeom prst="rect">
                      <a:avLst/>
                    </a:prstGeom>
                  </pic:spPr>
                </pic:pic>
              </a:graphicData>
            </a:graphic>
          </wp:inline>
        </w:drawing>
      </w:r>
      <w:r>
        <w:rPr/>
        <w:drawing>
          <wp:inline distT="0" distB="63500" distL="0" distR="0">
            <wp:extent cx="5895975" cy="14605"/>
            <wp:effectExtent l="0" t="0" r="0" b="0"/>
            <wp:docPr id="39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88" descr=""/>
                    <pic:cNvPicPr>
                      <a:picLocks noChangeAspect="1" noChangeArrowheads="1"/>
                    </pic:cNvPicPr>
                  </pic:nvPicPr>
                  <pic:blipFill>
                    <a:blip r:embed="rId194"/>
                    <a:stretch>
                      <a:fillRect/>
                    </a:stretch>
                  </pic:blipFill>
                  <pic:spPr bwMode="auto">
                    <a:xfrm>
                      <a:off x="0" y="0"/>
                      <a:ext cx="5895975" cy="14605"/>
                    </a:xfrm>
                    <a:prstGeom prst="rect">
                      <a:avLst/>
                    </a:prstGeom>
                  </pic:spPr>
                </pic:pic>
              </a:graphicData>
            </a:graphic>
          </wp:inline>
        </w:drawing>
      </w:r>
      <w:r>
        <w:rPr>
          <w:rFonts w:ascii="Times New Roman;sans-serif" w:hAnsi="Times New Roman;sans-serif"/>
          <w:b w:val="false"/>
          <w:color w:val="0000FF"/>
          <w:sz w:val="20"/>
          <w:u w:val="single"/>
        </w:rPr>
        <w:t>Accounts in which Bank does not have a first priority, perfected security interest under all</w:t>
      </w:r>
      <w:r>
        <w:rPr>
          <w:color w:val="0000FF"/>
        </w:rPr>
        <w:t xml:space="preserve"> </w:t>
      </w:r>
      <w:r>
        <w:rPr>
          <w:rFonts w:ascii="Times New Roman;sans-serif" w:hAnsi="Times New Roman;sans-serif"/>
          <w:b w:val="false"/>
          <w:color w:val="0000FF"/>
          <w:sz w:val="20"/>
          <w:u w:val="single"/>
        </w:rPr>
        <w:t>Applicable Law, other than Device Technologies Belrose which is located in Australia (solely relative to any failure</w:t>
      </w:r>
      <w:r>
        <w:rPr>
          <w:color w:val="0000FF"/>
        </w:rPr>
        <w:t xml:space="preserve"> </w:t>
      </w:r>
      <w:r>
        <w:rPr>
          <w:rFonts w:ascii="Times New Roman;sans-serif" w:hAnsi="Times New Roman;sans-serif"/>
          <w:b w:val="false"/>
          <w:color w:val="0000FF"/>
          <w:sz w:val="20"/>
          <w:u w:val="single"/>
        </w:rPr>
        <w:t>to obtain a first priority, perfected security interest in any foreign jurisdiction, including Australia);</w:t>
      </w:r>
    </w:p>
    <w:p>
      <w:pPr>
        <w:pStyle w:val="TextBody"/>
        <w:spacing w:before="1" w:after="283"/>
        <w:rPr/>
      </w:pPr>
      <w:r>
        <w:rPr/>
      </w:r>
    </w:p>
    <w:p>
      <w:pPr>
        <w:pStyle w:val="TextBody"/>
        <w:spacing w:lineRule="auto" w:line="240" w:before="91" w:after="283"/>
        <w:ind w:left="0" w:right="0" w:hanging="720"/>
        <w:rPr/>
      </w:pPr>
      <w:r>
        <w:rPr>
          <w:rFonts w:ascii="Times New Roman;sans-serif" w:hAnsi="Times New Roman;sans-serif"/>
          <w:b w:val="false"/>
          <w:color w:val="0000FF"/>
          <w:sz w:val="20"/>
        </w:rPr>
        <w:t>(h)</w:t>
      </w:r>
      <w:r>
        <w:rPr/>
        <w:drawing>
          <wp:inline distT="0" distB="63500" distL="0" distR="0">
            <wp:extent cx="3276600" cy="14605"/>
            <wp:effectExtent l="0" t="0" r="0" b="0"/>
            <wp:docPr id="39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89" descr=""/>
                    <pic:cNvPicPr>
                      <a:picLocks noChangeAspect="1" noChangeArrowheads="1"/>
                    </pic:cNvPicPr>
                  </pic:nvPicPr>
                  <pic:blipFill>
                    <a:blip r:embed="rId195"/>
                    <a:stretch>
                      <a:fillRect/>
                    </a:stretch>
                  </pic:blipFill>
                  <pic:spPr bwMode="auto">
                    <a:xfrm>
                      <a:off x="0" y="0"/>
                      <a:ext cx="3276600" cy="14605"/>
                    </a:xfrm>
                    <a:prstGeom prst="rect">
                      <a:avLst/>
                    </a:prstGeom>
                  </pic:spPr>
                </pic:pic>
              </a:graphicData>
            </a:graphic>
          </wp:inline>
        </w:drawing>
      </w:r>
      <w:r>
        <w:rPr/>
        <w:drawing>
          <wp:inline distT="0" distB="63500" distL="0" distR="0">
            <wp:extent cx="14605" cy="142875"/>
            <wp:effectExtent l="0" t="0" r="0" b="0"/>
            <wp:docPr id="39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90" descr=""/>
                    <pic:cNvPicPr>
                      <a:picLocks noChangeAspect="1" noChangeArrowheads="1"/>
                    </pic:cNvPicPr>
                  </pic:nvPicPr>
                  <pic:blipFill>
                    <a:blip r:embed="rId196"/>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Accounts billed and/or payable in a Currency other than Dollars;</w:t>
      </w:r>
    </w:p>
    <w:p>
      <w:pPr>
        <w:pStyle w:val="TextBody"/>
        <w:spacing w:before="0" w:after="0"/>
        <w:rPr/>
      </w:pPr>
      <w:r>
        <w:rPr/>
        <w:drawing>
          <wp:inline distT="0" distB="63500" distL="0" distR="0">
            <wp:extent cx="142875" cy="19050"/>
            <wp:effectExtent l="0" t="0" r="0" b="0"/>
            <wp:docPr id="39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91" descr=""/>
                    <pic:cNvPicPr>
                      <a:picLocks noChangeAspect="1" noChangeArrowheads="1"/>
                    </pic:cNvPicPr>
                  </pic:nvPicPr>
                  <pic:blipFill>
                    <a:blip r:embed="rId197"/>
                    <a:stretch>
                      <a:fillRect/>
                    </a:stretch>
                  </pic:blipFill>
                  <pic:spPr bwMode="auto">
                    <a:xfrm>
                      <a:off x="0" y="0"/>
                      <a:ext cx="142875" cy="19050"/>
                    </a:xfrm>
                    <a:prstGeom prst="rect">
                      <a:avLst/>
                    </a:prstGeom>
                  </pic:spPr>
                </pic:pic>
              </a:graphicData>
            </a:graphic>
          </wp:inline>
        </w:drawing>
      </w:r>
    </w:p>
    <w:p>
      <w:pPr>
        <w:pStyle w:val="TextBody"/>
        <w:spacing w:before="2"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(i)</w:t>
      </w:r>
      <w:r>
        <w:rPr/>
        <w:drawing>
          <wp:inline distT="0" distB="63500" distL="0" distR="0">
            <wp:extent cx="14605" cy="581025"/>
            <wp:effectExtent l="0" t="0" r="0" b="0"/>
            <wp:docPr id="39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92" descr=""/>
                    <pic:cNvPicPr>
                      <a:picLocks noChangeAspect="1" noChangeArrowheads="1"/>
                    </pic:cNvPicPr>
                  </pic:nvPicPr>
                  <pic:blipFill>
                    <a:blip r:embed="rId198"/>
                    <a:stretch>
                      <a:fillRect/>
                    </a:stretch>
                  </pic:blipFill>
                  <pic:spPr bwMode="auto">
                    <a:xfrm>
                      <a:off x="0" y="0"/>
                      <a:ext cx="14605" cy="581025"/>
                    </a:xfrm>
                    <a:prstGeom prst="rect">
                      <a:avLst/>
                    </a:prstGeom>
                  </pic:spPr>
                </pic:pic>
              </a:graphicData>
            </a:graphic>
          </wp:inline>
        </w:drawing>
      </w:r>
      <w:r>
        <w:rPr>
          <w:rFonts w:ascii="Times New Roman;sans-serif" w:hAnsi="Times New Roman;sans-serif"/>
          <w:b w:val="false"/>
          <w:color w:val="0000FF"/>
          <w:sz w:val="20"/>
          <w:u w:val="single"/>
        </w:rPr>
        <w:t>Accounts owing from an Account Debtor to the extent that Borrower is indebted or</w:t>
      </w:r>
      <w:r>
        <w:rPr>
          <w:color w:val="0000FF"/>
        </w:rPr>
        <w:t xml:space="preserve"> </w:t>
      </w:r>
      <w:r>
        <w:rPr>
          <w:rFonts w:ascii="Times New Roman;sans-serif" w:hAnsi="Times New Roman;sans-serif"/>
          <w:b w:val="false"/>
          <w:color w:val="0000FF"/>
          <w:sz w:val="20"/>
          <w:u w:val="single"/>
        </w:rPr>
        <w:t>obligated in any manner to the Account Debtor (as creditor, lessor, supplier or otherwise - sometimes called “contra”</w:t>
      </w:r>
      <w:r>
        <w:rPr>
          <w:color w:val="0000FF"/>
        </w:rPr>
        <w:t xml:space="preserve"> </w:t>
      </w:r>
      <w:r>
        <w:rPr>
          <w:rFonts w:ascii="Times New Roman;sans-serif" w:hAnsi="Times New Roman;sans-serif"/>
          <w:b w:val="false"/>
          <w:color w:val="0000FF"/>
          <w:sz w:val="20"/>
          <w:u w:val="single"/>
        </w:rPr>
        <w:t>accounts, accounts payable, customer deposits or credit accounts), but only to the extent of such Indebtedness or</w:t>
      </w:r>
      <w:r>
        <w:rPr>
          <w:color w:val="0000FF"/>
        </w:rPr>
        <w:t xml:space="preserve"> </w:t>
      </w:r>
      <w:r>
        <w:rPr>
          <w:rFonts w:ascii="Times New Roman;sans-serif" w:hAnsi="Times New Roman;sans-serif"/>
          <w:b w:val="false"/>
          <w:color w:val="0000FF"/>
          <w:sz w:val="20"/>
          <w:u w:val="single"/>
        </w:rPr>
        <w:t>obligations;</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(j)</w:t>
      </w:r>
      <w:r>
        <w:rPr/>
        <w:drawing>
          <wp:inline distT="0" distB="63500" distL="0" distR="0">
            <wp:extent cx="14605" cy="438150"/>
            <wp:effectExtent l="0" t="0" r="0" b="0"/>
            <wp:docPr id="40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93" descr=""/>
                    <pic:cNvPicPr>
                      <a:picLocks noChangeAspect="1" noChangeArrowheads="1"/>
                    </pic:cNvPicPr>
                  </pic:nvPicPr>
                  <pic:blipFill>
                    <a:blip r:embed="rId199"/>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Accounts with or in respect of accruals for marketing allowances, incentive rebates, price</w:t>
      </w:r>
      <w:r>
        <w:rPr>
          <w:color w:val="0000FF"/>
        </w:rPr>
        <w:t xml:space="preserve"> </w:t>
      </w:r>
      <w:r>
        <w:rPr>
          <w:rFonts w:ascii="Times New Roman;sans-serif" w:hAnsi="Times New Roman;sans-serif"/>
          <w:b w:val="false"/>
          <w:color w:val="0000FF"/>
          <w:sz w:val="20"/>
          <w:u w:val="single"/>
        </w:rPr>
        <w:t>protection, cooperative advertising and other similar marketing credits, unless otherwise approved by Bank in</w:t>
      </w:r>
      <w:r>
        <w:rPr>
          <w:color w:val="0000FF"/>
        </w:rPr>
        <w:t xml:space="preserve"> </w:t>
      </w:r>
      <w:r>
        <w:rPr>
          <w:rFonts w:ascii="Times New Roman;sans-serif" w:hAnsi="Times New Roman;sans-serif"/>
          <w:b w:val="false"/>
          <w:color w:val="0000FF"/>
          <w:sz w:val="20"/>
          <w:u w:val="single"/>
        </w:rPr>
        <w:t>writing, but only to the extent of such credits;</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(k)</w:t>
      </w:r>
      <w:r>
        <w:rPr/>
        <w:drawing>
          <wp:inline distT="0" distB="63500" distL="0" distR="0">
            <wp:extent cx="14605" cy="438150"/>
            <wp:effectExtent l="0" t="0" r="0" b="0"/>
            <wp:docPr id="40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94" descr=""/>
                    <pic:cNvPicPr>
                      <a:picLocks noChangeAspect="1" noChangeArrowheads="1"/>
                    </pic:cNvPicPr>
                  </pic:nvPicPr>
                  <pic:blipFill>
                    <a:blip r:embed="rId200"/>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Accounts owing from an Account Debtor which is a United States government entity or</w:t>
      </w:r>
      <w:r>
        <w:rPr>
          <w:color w:val="0000FF"/>
        </w:rPr>
        <w:t xml:space="preserve"> </w:t>
      </w:r>
      <w:r>
        <w:rPr>
          <w:rFonts w:ascii="Times New Roman;sans-serif" w:hAnsi="Times New Roman;sans-serif"/>
          <w:b w:val="false"/>
          <w:color w:val="0000FF"/>
          <w:sz w:val="20"/>
          <w:u w:val="single"/>
        </w:rPr>
        <w:t>any department, agency, or instrumentality thereof unless Borrower has assigned its payment rights to Bank and the</w:t>
      </w:r>
      <w:r>
        <w:rPr>
          <w:color w:val="0000FF"/>
        </w:rPr>
        <w:t xml:space="preserve"> </w:t>
      </w:r>
      <w:r>
        <w:rPr>
          <w:rFonts w:ascii="Times New Roman;sans-serif" w:hAnsi="Times New Roman;sans-serif"/>
          <w:b w:val="false"/>
          <w:color w:val="0000FF"/>
          <w:sz w:val="20"/>
          <w:u w:val="single"/>
        </w:rPr>
        <w:t>assignment has been acknowledged under the Federal Assignment of Claims Act of 1940, as amended;</w:t>
      </w:r>
    </w:p>
    <w:p>
      <w:pPr>
        <w:pStyle w:val="TextBody"/>
        <w:spacing w:before="0" w:after="0"/>
        <w:rPr/>
      </w:pPr>
      <w:r>
        <w:rPr/>
      </w:r>
    </w:p>
    <w:p>
      <w:pPr>
        <w:pStyle w:val="TextBody"/>
        <w:spacing w:lineRule="auto" w:line="240" w:before="91" w:after="283"/>
        <w:ind w:left="0" w:right="0" w:firstLine="1440"/>
        <w:rPr/>
      </w:pPr>
      <w:r>
        <w:rPr>
          <w:rFonts w:ascii="Times New Roman;sans-serif" w:hAnsi="Times New Roman;sans-serif"/>
          <w:b w:val="false"/>
          <w:color w:val="0000FF"/>
          <w:sz w:val="20"/>
        </w:rPr>
        <w:t>(l)</w:t>
      </w:r>
      <w:r>
        <w:rPr/>
        <w:drawing>
          <wp:inline distT="0" distB="63500" distL="0" distR="0">
            <wp:extent cx="14605" cy="285750"/>
            <wp:effectExtent l="0" t="0" r="0" b="0"/>
            <wp:docPr id="40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95" descr=""/>
                    <pic:cNvPicPr>
                      <a:picLocks noChangeAspect="1" noChangeArrowheads="1"/>
                    </pic:cNvPicPr>
                  </pic:nvPicPr>
                  <pic:blipFill>
                    <a:blip r:embed="rId201"/>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with customer deposits and/or with respect to which Borrower has received an</w:t>
      </w:r>
      <w:r>
        <w:rPr>
          <w:color w:val="0000FF"/>
        </w:rPr>
        <w:t xml:space="preserve"> </w:t>
      </w:r>
      <w:r>
        <w:rPr>
          <w:rFonts w:ascii="Times New Roman;sans-serif" w:hAnsi="Times New Roman;sans-serif"/>
          <w:b w:val="false"/>
          <w:color w:val="0000FF"/>
          <w:sz w:val="20"/>
          <w:u w:val="single"/>
        </w:rPr>
        <w:t>upfront payment, to the extent of such customer deposit and/or upfront payment;</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(m)</w:t>
      </w:r>
      <w:r>
        <w:rPr/>
        <w:drawing>
          <wp:inline distT="0" distB="63500" distL="0" distR="0">
            <wp:extent cx="14605" cy="438150"/>
            <wp:effectExtent l="0" t="0" r="0" b="0"/>
            <wp:docPr id="40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96" descr=""/>
                    <pic:cNvPicPr>
                      <a:picLocks noChangeAspect="1" noChangeArrowheads="1"/>
                    </pic:cNvPicPr>
                  </pic:nvPicPr>
                  <pic:blipFill>
                    <a:blip r:embed="rId202"/>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Accounts for demonstration or promotional equipment, or in which goods are consigned,</w:t>
      </w:r>
      <w:r>
        <w:rPr>
          <w:color w:val="0000FF"/>
        </w:rPr>
        <w:t xml:space="preserve"> </w:t>
      </w:r>
      <w:r>
        <w:rPr>
          <w:rFonts w:ascii="Times New Roman;sans-serif" w:hAnsi="Times New Roman;sans-serif"/>
          <w:b w:val="false"/>
          <w:color w:val="0000FF"/>
          <w:sz w:val="20"/>
          <w:u w:val="single"/>
        </w:rPr>
        <w:t>or sold on a “sale guaranteed”, “sale or return”, “sale on approval”, or other terms if Account Debtor’s payment may</w:t>
      </w:r>
      <w:r>
        <w:rPr>
          <w:color w:val="0000FF"/>
        </w:rPr>
        <w:t xml:space="preserve"> </w:t>
      </w:r>
      <w:r>
        <w:rPr>
          <w:rFonts w:ascii="Times New Roman;sans-serif" w:hAnsi="Times New Roman;sans-serif"/>
          <w:b w:val="false"/>
          <w:color w:val="0000FF"/>
          <w:sz w:val="20"/>
          <w:u w:val="single"/>
        </w:rPr>
        <w:t>be conditional;</w:t>
      </w:r>
    </w:p>
    <w:p>
      <w:pPr>
        <w:pStyle w:val="TextBody"/>
        <w:spacing w:before="1" w:after="283"/>
        <w:rPr/>
      </w:pPr>
      <w:r>
        <w:rPr/>
      </w:r>
    </w:p>
    <w:p>
      <w:pPr>
        <w:pStyle w:val="TextBody"/>
        <w:spacing w:lineRule="auto" w:line="240" w:before="91" w:after="283"/>
        <w:ind w:left="0" w:right="0" w:firstLine="1440"/>
        <w:rPr/>
      </w:pPr>
      <w:r>
        <w:rPr>
          <w:rFonts w:ascii="Times New Roman;sans-serif" w:hAnsi="Times New Roman;sans-serif"/>
          <w:b w:val="false"/>
          <w:color w:val="0000FF"/>
          <w:sz w:val="20"/>
        </w:rPr>
        <w:t>(n)</w:t>
      </w:r>
      <w:r>
        <w:rPr/>
        <w:drawing>
          <wp:inline distT="0" distB="63500" distL="0" distR="0">
            <wp:extent cx="14605" cy="285750"/>
            <wp:effectExtent l="0" t="0" r="0" b="0"/>
            <wp:docPr id="40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97" descr=""/>
                    <pic:cNvPicPr>
                      <a:picLocks noChangeAspect="1" noChangeArrowheads="1"/>
                    </pic:cNvPicPr>
                  </pic:nvPicPr>
                  <pic:blipFill>
                    <a:blip r:embed="rId203"/>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owing from an Account Debtor where goods or services have not yet been</w:t>
      </w:r>
      <w:r>
        <w:rPr>
          <w:color w:val="0000FF"/>
        </w:rPr>
        <w:t xml:space="preserve"> </w:t>
      </w:r>
      <w:r>
        <w:rPr>
          <w:rFonts w:ascii="Times New Roman;sans-serif" w:hAnsi="Times New Roman;sans-serif"/>
          <w:b w:val="false"/>
          <w:color w:val="0000FF"/>
          <w:sz w:val="20"/>
          <w:u w:val="single"/>
        </w:rPr>
        <w:t>rendered to the Account Debtor (sometimes called memo billings or pre-billings);</w:t>
      </w:r>
    </w:p>
    <w:p>
      <w:pPr>
        <w:pStyle w:val="TextBody"/>
        <w:spacing w:before="0" w:after="0"/>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(o)</w:t>
      </w:r>
      <w:r>
        <w:rPr/>
        <w:drawing>
          <wp:inline distT="0" distB="63500" distL="0" distR="0">
            <wp:extent cx="14605" cy="438150"/>
            <wp:effectExtent l="0" t="0" r="0" b="0"/>
            <wp:docPr id="40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98" descr=""/>
                    <pic:cNvPicPr>
                      <a:picLocks noChangeAspect="1" noChangeArrowheads="1"/>
                    </pic:cNvPicPr>
                  </pic:nvPicPr>
                  <pic:blipFill>
                    <a:blip r:embed="rId204"/>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Accounts subject to contractual arrangements between Borrower and an Account Debtor</w:t>
      </w:r>
      <w:r>
        <w:rPr>
          <w:color w:val="0000FF"/>
        </w:rPr>
        <w:t xml:space="preserve"> </w:t>
      </w:r>
      <w:r>
        <w:rPr>
          <w:rFonts w:ascii="Times New Roman;sans-serif" w:hAnsi="Times New Roman;sans-serif"/>
          <w:b w:val="false"/>
          <w:color w:val="0000FF"/>
          <w:sz w:val="20"/>
          <w:u w:val="single"/>
        </w:rPr>
        <w:t>where payments shall be scheduled or due according to completion or fulfillment requirements (sometimes called</w:t>
      </w:r>
      <w:r>
        <w:rPr>
          <w:color w:val="0000FF"/>
        </w:rPr>
        <w:t xml:space="preserve"> </w:t>
      </w:r>
      <w:r>
        <w:rPr>
          <w:rFonts w:ascii="Times New Roman;sans-serif" w:hAnsi="Times New Roman;sans-serif"/>
          <w:b w:val="false"/>
          <w:color w:val="0000FF"/>
          <w:sz w:val="20"/>
          <w:u w:val="single"/>
        </w:rPr>
        <w:t>contracts accounts receivable, progress billings, milestone billings, or fulfillment contracts);</w:t>
      </w:r>
    </w:p>
    <w:p>
      <w:pPr>
        <w:pStyle w:val="TextBody"/>
        <w:spacing w:before="1"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2251710"/>
                <wp:effectExtent l="0" t="0" r="0" b="0"/>
                <wp:wrapNone/>
                <wp:docPr id="406" name="Frame171"/>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0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99" descr=""/>
                                          <pic:cNvPicPr>
                                            <a:picLocks noChangeAspect="1" noChangeArrowheads="1"/>
                                          </pic:cNvPicPr>
                                        </pic:nvPicPr>
                                        <pic:blipFill>
                                          <a:blip r:embed="rId20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0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99" descr=""/>
                                    <pic:cNvPicPr>
                                      <a:picLocks noChangeAspect="1" noChangeArrowheads="1"/>
                                    </pic:cNvPicPr>
                                  </pic:nvPicPr>
                                  <pic:blipFill>
                                    <a:blip r:embed="rId20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ind w:left="0" w:right="0" w:firstLine="1440"/>
        <w:jc w:val="both"/>
        <w:rPr/>
      </w:pPr>
      <w:r>
        <w:rPr>
          <w:rFonts w:ascii="Times New Roman;sans-serif" w:hAnsi="Times New Roman;sans-serif"/>
          <w:b w:val="false"/>
          <w:color w:val="0000FF"/>
          <w:sz w:val="20"/>
        </w:rPr>
        <w:t>(p)</w:t>
      </w:r>
      <w:r>
        <w:rPr/>
        <w:drawing>
          <wp:inline distT="0" distB="63500" distL="0" distR="0">
            <wp:extent cx="14605" cy="438150"/>
            <wp:effectExtent l="0" t="0" r="0" b="0"/>
            <wp:docPr id="40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00" descr=""/>
                    <pic:cNvPicPr>
                      <a:picLocks noChangeAspect="1" noChangeArrowheads="1"/>
                    </pic:cNvPicPr>
                  </pic:nvPicPr>
                  <pic:blipFill>
                    <a:blip r:embed="rId206"/>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Accounts owing from an Account Debtor the amount of which may be subject to</w:t>
      </w:r>
      <w:r>
        <w:rPr>
          <w:color w:val="0000FF"/>
        </w:rPr>
        <w:t xml:space="preserve"> </w:t>
      </w:r>
      <w:r>
        <w:rPr>
          <w:rFonts w:ascii="Times New Roman;sans-serif" w:hAnsi="Times New Roman;sans-serif"/>
          <w:b w:val="false"/>
          <w:color w:val="0000FF"/>
          <w:sz w:val="20"/>
          <w:u w:val="single"/>
        </w:rPr>
        <w:t>withholding based on the Account Debtor’s satisfaction of Borrower’s complete performance (but only to the extent</w:t>
      </w:r>
      <w:r>
        <w:rPr>
          <w:color w:val="0000FF"/>
        </w:rPr>
        <w:t xml:space="preserve"> </w:t>
      </w:r>
      <w:r>
        <w:rPr>
          <w:rFonts w:ascii="Times New Roman;sans-serif" w:hAnsi="Times New Roman;sans-serif"/>
          <w:b w:val="false"/>
          <w:color w:val="0000FF"/>
          <w:sz w:val="20"/>
          <w:u w:val="single"/>
        </w:rPr>
        <w:t>of the amount withheld; sometimes called retainage billings);</w:t>
      </w:r>
    </w:p>
    <w:p>
      <w:pPr>
        <w:pStyle w:val="TextBody"/>
        <w:spacing w:before="0" w:after="0"/>
        <w:rPr/>
      </w:pPr>
      <w:r>
        <w:rPr/>
      </w:r>
    </w:p>
    <w:p>
      <w:pPr>
        <w:pStyle w:val="TextBody"/>
        <w:spacing w:lineRule="auto" w:line="240" w:before="91" w:after="283"/>
        <w:ind w:left="0" w:right="0" w:hanging="720"/>
        <w:rPr/>
      </w:pPr>
      <w:r>
        <w:rPr>
          <w:rFonts w:ascii="Times New Roman;sans-serif" w:hAnsi="Times New Roman;sans-serif"/>
          <w:b w:val="false"/>
          <w:color w:val="0000FF"/>
          <w:sz w:val="20"/>
        </w:rPr>
        <w:t>(q)</w:t>
      </w:r>
      <w:r>
        <w:rPr/>
        <w:drawing>
          <wp:inline distT="0" distB="63500" distL="0" distR="0">
            <wp:extent cx="14605" cy="285750"/>
            <wp:effectExtent l="0" t="0" r="0" b="0"/>
            <wp:docPr id="41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01" descr=""/>
                    <pic:cNvPicPr>
                      <a:picLocks noChangeAspect="1" noChangeArrowheads="1"/>
                    </pic:cNvPicPr>
                  </pic:nvPicPr>
                  <pic:blipFill>
                    <a:blip r:embed="rId207"/>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subject to trust provisions, subrogation rights of a bonding company, or a</w:t>
      </w:r>
    </w:p>
    <w:p>
      <w:pPr>
        <w:pStyle w:val="TextBody"/>
        <w:spacing w:lineRule="auto" w:line="240" w:before="1" w:after="283"/>
        <w:rPr/>
      </w:pPr>
      <w:r>
        <w:rPr/>
        <w:drawing>
          <wp:inline distT="0" distB="63500" distL="0" distR="0">
            <wp:extent cx="142875" cy="14605"/>
            <wp:effectExtent l="0" t="0" r="0" b="0"/>
            <wp:docPr id="41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02" descr=""/>
                    <pic:cNvPicPr>
                      <a:picLocks noChangeAspect="1" noChangeArrowheads="1"/>
                    </pic:cNvPicPr>
                  </pic:nvPicPr>
                  <pic:blipFill>
                    <a:blip r:embed="rId208"/>
                    <a:stretch>
                      <a:fillRect/>
                    </a:stretch>
                  </pic:blipFill>
                  <pic:spPr bwMode="auto">
                    <a:xfrm>
                      <a:off x="0" y="0"/>
                      <a:ext cx="142875" cy="14605"/>
                    </a:xfrm>
                    <a:prstGeom prst="rect">
                      <a:avLst/>
                    </a:prstGeom>
                  </pic:spPr>
                </pic:pic>
              </a:graphicData>
            </a:graphic>
          </wp:inline>
        </w:drawing>
      </w:r>
      <w:r>
        <w:rPr>
          <w:rFonts w:ascii="Times New Roman;sans-serif" w:hAnsi="Times New Roman;sans-serif"/>
          <w:b w:val="false"/>
          <w:color w:val="0000FF"/>
          <w:sz w:val="20"/>
          <w:u w:val="single"/>
        </w:rPr>
        <w:t>statutory trust;</w:t>
      </w:r>
    </w:p>
    <w:p>
      <w:pPr>
        <w:pStyle w:val="TextBody"/>
        <w:spacing w:before="0" w:after="0"/>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(r)</w:t>
      </w:r>
      <w:r>
        <w:rPr/>
        <w:drawing>
          <wp:inline distT="0" distB="63500" distL="0" distR="0">
            <wp:extent cx="14605" cy="723900"/>
            <wp:effectExtent l="0" t="0" r="0" b="0"/>
            <wp:docPr id="41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03" descr=""/>
                    <pic:cNvPicPr>
                      <a:picLocks noChangeAspect="1" noChangeArrowheads="1"/>
                    </pic:cNvPicPr>
                  </pic:nvPicPr>
                  <pic:blipFill>
                    <a:blip r:embed="rId209"/>
                    <a:stretch>
                      <a:fillRect/>
                    </a:stretch>
                  </pic:blipFill>
                  <pic:spPr bwMode="auto">
                    <a:xfrm>
                      <a:off x="0" y="0"/>
                      <a:ext cx="14605" cy="723900"/>
                    </a:xfrm>
                    <a:prstGeom prst="rect">
                      <a:avLst/>
                    </a:prstGeom>
                  </pic:spPr>
                </pic:pic>
              </a:graphicData>
            </a:graphic>
          </wp:inline>
        </w:drawing>
      </w:r>
      <w:r>
        <w:rPr>
          <w:rFonts w:ascii="Times New Roman;sans-serif" w:hAnsi="Times New Roman;sans-serif"/>
          <w:b w:val="false"/>
          <w:color w:val="0000FF"/>
          <w:sz w:val="20"/>
          <w:u w:val="single"/>
        </w:rPr>
        <w:t>Accounts owing from an Account Debtor that has been invoiced for goods that have not</w:t>
      </w:r>
      <w:r>
        <w:rPr>
          <w:color w:val="0000FF"/>
        </w:rPr>
        <w:t xml:space="preserve"> </w:t>
      </w:r>
      <w:r>
        <w:rPr>
          <w:rFonts w:ascii="Times New Roman;sans-serif" w:hAnsi="Times New Roman;sans-serif"/>
          <w:b w:val="false"/>
          <w:color w:val="0000FF"/>
          <w:sz w:val="20"/>
          <w:u w:val="single"/>
        </w:rPr>
        <w:t>been shipped to the Account Debtor unless Bank, Borrower, and the Account Debtor have entered into an agreement</w:t>
      </w:r>
      <w:r>
        <w:rPr>
          <w:color w:val="0000FF"/>
        </w:rPr>
        <w:t xml:space="preserve"> </w:t>
      </w:r>
      <w:r>
        <w:rPr>
          <w:rFonts w:ascii="Times New Roman;sans-serif" w:hAnsi="Times New Roman;sans-serif"/>
          <w:b w:val="false"/>
          <w:color w:val="0000FF"/>
          <w:sz w:val="20"/>
          <w:u w:val="single"/>
        </w:rPr>
        <w:t>acceptable to Bank wherein the Account Debtor acknowledges that (i) it has title to and has ownership of the goods</w:t>
      </w:r>
      <w:r>
        <w:rPr>
          <w:color w:val="0000FF"/>
        </w:rPr>
        <w:t xml:space="preserve"> </w:t>
      </w:r>
      <w:r>
        <w:rPr>
          <w:rFonts w:ascii="Times New Roman;sans-serif" w:hAnsi="Times New Roman;sans-serif"/>
          <w:b w:val="false"/>
          <w:color w:val="0000FF"/>
          <w:sz w:val="20"/>
          <w:u w:val="single"/>
        </w:rPr>
        <w:t>wherever located, (ii) a bona fide sale of the goods has occurred, and (iii) it owes payment for such goods in</w:t>
      </w:r>
      <w:r>
        <w:rPr>
          <w:color w:val="0000FF"/>
        </w:rPr>
        <w:t xml:space="preserve"> </w:t>
      </w:r>
      <w:r>
        <w:rPr>
          <w:rFonts w:ascii="Times New Roman;sans-serif" w:hAnsi="Times New Roman;sans-serif"/>
          <w:b w:val="false"/>
          <w:color w:val="0000FF"/>
          <w:sz w:val="20"/>
          <w:u w:val="single"/>
        </w:rPr>
        <w:t>accordance with invoices from Borrower (sometimes called “bill and hold” accounts);</w:t>
      </w:r>
    </w:p>
    <w:p>
      <w:pPr>
        <w:pStyle w:val="TextBody"/>
        <w:spacing w:before="1" w:after="283"/>
        <w:rPr/>
      </w:pPr>
      <w:r>
        <w:rPr/>
      </w:r>
    </w:p>
    <w:p>
      <w:pPr>
        <w:pStyle w:val="TextBody"/>
        <w:spacing w:lineRule="auto" w:line="240" w:before="91" w:after="283"/>
        <w:ind w:left="0" w:right="0" w:hanging="720"/>
        <w:rPr/>
      </w:pPr>
      <w:r>
        <w:rPr>
          <w:rFonts w:ascii="Times New Roman;sans-serif" w:hAnsi="Times New Roman;sans-serif"/>
          <w:b w:val="false"/>
          <w:color w:val="0000FF"/>
          <w:sz w:val="20"/>
        </w:rPr>
        <w:t>(s)</w:t>
      </w:r>
      <w:r>
        <w:rPr/>
        <w:drawing>
          <wp:inline distT="0" distB="63500" distL="0" distR="0">
            <wp:extent cx="3181350" cy="14605"/>
            <wp:effectExtent l="0" t="0" r="0" b="0"/>
            <wp:docPr id="413"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04" descr=""/>
                    <pic:cNvPicPr>
                      <a:picLocks noChangeAspect="1" noChangeArrowheads="1"/>
                    </pic:cNvPicPr>
                  </pic:nvPicPr>
                  <pic:blipFill>
                    <a:blip r:embed="rId210"/>
                    <a:stretch>
                      <a:fillRect/>
                    </a:stretch>
                  </pic:blipFill>
                  <pic:spPr bwMode="auto">
                    <a:xfrm>
                      <a:off x="0" y="0"/>
                      <a:ext cx="3181350" cy="14605"/>
                    </a:xfrm>
                    <a:prstGeom prst="rect">
                      <a:avLst/>
                    </a:prstGeom>
                  </pic:spPr>
                </pic:pic>
              </a:graphicData>
            </a:graphic>
          </wp:inline>
        </w:drawing>
      </w:r>
      <w:r>
        <w:rPr/>
        <w:drawing>
          <wp:inline distT="0" distB="63500" distL="0" distR="0">
            <wp:extent cx="133350" cy="14605"/>
            <wp:effectExtent l="0" t="0" r="0" b="0"/>
            <wp:docPr id="414"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05" descr=""/>
                    <pic:cNvPicPr>
                      <a:picLocks noChangeAspect="1" noChangeArrowheads="1"/>
                    </pic:cNvPicPr>
                  </pic:nvPicPr>
                  <pic:blipFill>
                    <a:blip r:embed="rId211"/>
                    <a:stretch>
                      <a:fillRect/>
                    </a:stretch>
                  </pic:blipFill>
                  <pic:spPr bwMode="auto">
                    <a:xfrm>
                      <a:off x="0" y="0"/>
                      <a:ext cx="133350" cy="14605"/>
                    </a:xfrm>
                    <a:prstGeom prst="rect">
                      <a:avLst/>
                    </a:prstGeom>
                  </pic:spPr>
                </pic:pic>
              </a:graphicData>
            </a:graphic>
          </wp:inline>
        </w:drawing>
      </w:r>
      <w:r>
        <w:rPr/>
        <w:drawing>
          <wp:inline distT="0" distB="63500" distL="0" distR="0">
            <wp:extent cx="14605" cy="142875"/>
            <wp:effectExtent l="0" t="0" r="0" b="0"/>
            <wp:docPr id="415"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06" descr=""/>
                    <pic:cNvPicPr>
                      <a:picLocks noChangeAspect="1" noChangeArrowheads="1"/>
                    </pic:cNvPicPr>
                  </pic:nvPicPr>
                  <pic:blipFill>
                    <a:blip r:embed="rId212"/>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Accounts for which the Account Debtor has not been invoiced;</w:t>
      </w:r>
    </w:p>
    <w:p>
      <w:pPr>
        <w:pStyle w:val="TextBody"/>
        <w:spacing w:before="2" w:after="283"/>
        <w:rPr/>
      </w:pPr>
      <w:r>
        <w:rPr/>
      </w:r>
    </w:p>
    <w:p>
      <w:pPr>
        <w:pStyle w:val="TextBody"/>
        <w:spacing w:lineRule="auto" w:line="240" w:before="91" w:after="283"/>
        <w:ind w:left="0" w:right="0" w:firstLine="1440"/>
        <w:rPr/>
      </w:pPr>
      <w:r>
        <w:rPr>
          <w:rFonts w:ascii="Times New Roman;sans-serif" w:hAnsi="Times New Roman;sans-serif"/>
          <w:b w:val="false"/>
          <w:color w:val="0000FF"/>
          <w:sz w:val="20"/>
        </w:rPr>
        <w:t>(t)</w:t>
      </w:r>
      <w:r>
        <w:rPr/>
        <w:drawing>
          <wp:inline distT="0" distB="63500" distL="0" distR="0">
            <wp:extent cx="14605" cy="285750"/>
            <wp:effectExtent l="0" t="0" r="0" b="0"/>
            <wp:docPr id="416"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07" descr=""/>
                    <pic:cNvPicPr>
                      <a:picLocks noChangeAspect="1" noChangeArrowheads="1"/>
                    </pic:cNvPicPr>
                  </pic:nvPicPr>
                  <pic:blipFill>
                    <a:blip r:embed="rId213"/>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that represent non-trade receivables or that are derived by means other than in</w:t>
      </w:r>
      <w:r>
        <w:rPr>
          <w:color w:val="0000FF"/>
        </w:rPr>
        <w:t xml:space="preserve"> </w:t>
      </w:r>
      <w:r>
        <w:rPr>
          <w:rFonts w:ascii="Times New Roman;sans-serif" w:hAnsi="Times New Roman;sans-serif"/>
          <w:b w:val="false"/>
          <w:color w:val="0000FF"/>
          <w:sz w:val="20"/>
          <w:u w:val="single"/>
        </w:rPr>
        <w:t>the ordinary course of Borrower’s business;</w:t>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rPr/>
      </w:pPr>
      <w:r>
        <w:rPr>
          <w:rFonts w:ascii="Times New Roman;sans-serif" w:hAnsi="Times New Roman;sans-serif"/>
          <w:b w:val="false"/>
          <w:color w:val="0000FF"/>
          <w:sz w:val="20"/>
        </w:rPr>
        <w:t>(u)</w:t>
      </w:r>
      <w:r>
        <w:rPr/>
        <w:drawing>
          <wp:inline distT="0" distB="63500" distL="0" distR="0">
            <wp:extent cx="4524375" cy="14605"/>
            <wp:effectExtent l="0" t="0" r="0" b="0"/>
            <wp:docPr id="417"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08" descr=""/>
                    <pic:cNvPicPr>
                      <a:picLocks noChangeAspect="1" noChangeArrowheads="1"/>
                    </pic:cNvPicPr>
                  </pic:nvPicPr>
                  <pic:blipFill>
                    <a:blip r:embed="rId214"/>
                    <a:stretch>
                      <a:fillRect/>
                    </a:stretch>
                  </pic:blipFill>
                  <pic:spPr bwMode="auto">
                    <a:xfrm>
                      <a:off x="0" y="0"/>
                      <a:ext cx="4524375" cy="14605"/>
                    </a:xfrm>
                    <a:prstGeom prst="rect">
                      <a:avLst/>
                    </a:prstGeom>
                  </pic:spPr>
                </pic:pic>
              </a:graphicData>
            </a:graphic>
          </wp:inline>
        </w:drawing>
      </w:r>
      <w:r>
        <w:rPr/>
        <w:drawing>
          <wp:inline distT="0" distB="63500" distL="0" distR="0">
            <wp:extent cx="14605" cy="285750"/>
            <wp:effectExtent l="0" t="0" r="0" b="0"/>
            <wp:docPr id="418"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09" descr=""/>
                    <pic:cNvPicPr>
                      <a:picLocks noChangeAspect="1" noChangeArrowheads="1"/>
                    </pic:cNvPicPr>
                  </pic:nvPicPr>
                  <pic:blipFill>
                    <a:blip r:embed="rId215"/>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for which Borrower has permitted Account Debtor’s payment to extend beyond</w:t>
      </w:r>
      <w:r>
        <w:rPr>
          <w:color w:val="0000FF"/>
        </w:rPr>
        <w:t xml:space="preserve"> </w:t>
      </w:r>
      <w:r>
        <w:rPr>
          <w:rFonts w:ascii="Times New Roman;sans-serif" w:hAnsi="Times New Roman;sans-serif"/>
          <w:b w:val="false"/>
          <w:color w:val="0000FF"/>
          <w:sz w:val="20"/>
          <w:u w:val="single"/>
        </w:rPr>
        <w:t>ninety (90) days (including Accounts with a due date that is more than ninety (90) days from invoice date);</w:t>
      </w:r>
    </w:p>
    <w:p>
      <w:pPr>
        <w:pStyle w:val="TextBody"/>
        <w:spacing w:before="0" w:after="0"/>
        <w:rPr/>
      </w:pPr>
      <w:r>
        <w:rPr/>
      </w:r>
    </w:p>
    <w:p>
      <w:pPr>
        <w:pStyle w:val="TextBody"/>
        <w:spacing w:lineRule="auto" w:line="240" w:before="91" w:after="283"/>
        <w:ind w:left="0" w:right="0" w:firstLine="1440"/>
        <w:rPr/>
      </w:pPr>
      <w:r>
        <w:rPr>
          <w:rFonts w:ascii="Times New Roman;sans-serif" w:hAnsi="Times New Roman;sans-serif"/>
          <w:b w:val="false"/>
          <w:color w:val="0000FF"/>
          <w:sz w:val="20"/>
        </w:rPr>
        <w:t>(v)</w:t>
      </w:r>
      <w:r>
        <w:rPr/>
        <w:drawing>
          <wp:inline distT="0" distB="63500" distL="0" distR="0">
            <wp:extent cx="14605" cy="285750"/>
            <wp:effectExtent l="0" t="0" r="0" b="0"/>
            <wp:docPr id="419"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10" descr=""/>
                    <pic:cNvPicPr>
                      <a:picLocks noChangeAspect="1" noChangeArrowheads="1"/>
                    </pic:cNvPicPr>
                  </pic:nvPicPr>
                  <pic:blipFill>
                    <a:blip r:embed="rId216"/>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arising from chargebacks, debit memos or other payment deductions taken by</w:t>
      </w:r>
      <w:r>
        <w:rPr>
          <w:color w:val="0000FF"/>
        </w:rPr>
        <w:t xml:space="preserve"> </w:t>
      </w:r>
      <w:r>
        <w:rPr>
          <w:rFonts w:ascii="Times New Roman;sans-serif" w:hAnsi="Times New Roman;sans-serif"/>
          <w:b w:val="false"/>
          <w:color w:val="0000FF"/>
          <w:sz w:val="20"/>
          <w:u w:val="single"/>
        </w:rPr>
        <w:t>an Account Debtor;</w:t>
      </w:r>
    </w:p>
    <w:p>
      <w:pPr>
        <w:pStyle w:val="TextBody"/>
        <w:spacing w:before="0" w:after="0"/>
        <w:rPr/>
      </w:pPr>
      <w:r>
        <w:rPr/>
      </w:r>
    </w:p>
    <w:p>
      <w:pPr>
        <w:pStyle w:val="TextBody"/>
        <w:spacing w:lineRule="auto" w:line="240" w:before="91" w:after="283"/>
        <w:ind w:left="0" w:right="0" w:firstLine="1440"/>
        <w:rPr/>
      </w:pPr>
      <w:r>
        <w:rPr>
          <w:rFonts w:ascii="Times New Roman;sans-serif" w:hAnsi="Times New Roman;sans-serif"/>
          <w:b w:val="false"/>
          <w:color w:val="0000FF"/>
          <w:sz w:val="20"/>
        </w:rPr>
        <w:t>(w)</w:t>
      </w:r>
      <w:r>
        <w:rPr/>
        <w:drawing>
          <wp:inline distT="0" distB="63500" distL="0" distR="0">
            <wp:extent cx="14605" cy="285750"/>
            <wp:effectExtent l="0" t="0" r="0" b="0"/>
            <wp:docPr id="420"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11" descr=""/>
                    <pic:cNvPicPr>
                      <a:picLocks noChangeAspect="1" noChangeArrowheads="1"/>
                    </pic:cNvPicPr>
                  </pic:nvPicPr>
                  <pic:blipFill>
                    <a:blip r:embed="rId217"/>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arising from product returns and/or exchanges (sometimes called “warranty” or</w:t>
      </w:r>
      <w:r>
        <w:rPr>
          <w:color w:val="0000FF"/>
        </w:rPr>
        <w:t xml:space="preserve"> </w:t>
      </w:r>
      <w:r>
        <w:rPr>
          <w:color w:val="0000FF"/>
          <w:u w:val="single"/>
        </w:rPr>
        <w:t>“</w:t>
      </w:r>
      <w:r>
        <w:rPr>
          <w:rFonts w:ascii="Times New Roman;sans-serif" w:hAnsi="Times New Roman;sans-serif"/>
          <w:b w:val="false"/>
          <w:color w:val="0000FF"/>
          <w:sz w:val="20"/>
          <w:u w:val="single"/>
        </w:rPr>
        <w:t>RMA” accounts);</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(x)</w:t>
      </w:r>
      <w:r>
        <w:rPr/>
        <w:drawing>
          <wp:inline distT="0" distB="63500" distL="0" distR="0">
            <wp:extent cx="14605" cy="438150"/>
            <wp:effectExtent l="0" t="0" r="0" b="0"/>
            <wp:docPr id="421"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12" descr=""/>
                    <pic:cNvPicPr>
                      <a:picLocks noChangeAspect="1" noChangeArrowheads="1"/>
                    </pic:cNvPicPr>
                  </pic:nvPicPr>
                  <pic:blipFill>
                    <a:blip r:embed="rId218"/>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Accounts in which the Account Debtor disputes liability or makes any claim (but only up</w:t>
      </w:r>
      <w:r>
        <w:rPr>
          <w:color w:val="0000FF"/>
        </w:rPr>
        <w:t xml:space="preserve"> </w:t>
      </w:r>
      <w:r>
        <w:rPr>
          <w:rFonts w:ascii="Times New Roman;sans-serif" w:hAnsi="Times New Roman;sans-serif"/>
          <w:b w:val="false"/>
          <w:color w:val="0000FF"/>
          <w:sz w:val="20"/>
          <w:u w:val="single"/>
        </w:rPr>
        <w:t>to the disputed or claimed amount), or if the Account Debtor is subject to an Insolvency Proceeding (whether</w:t>
      </w:r>
      <w:r>
        <w:rPr>
          <w:color w:val="0000FF"/>
        </w:rPr>
        <w:t xml:space="preserve"> </w:t>
      </w:r>
      <w:r>
        <w:rPr>
          <w:rFonts w:ascii="Times New Roman;sans-serif" w:hAnsi="Times New Roman;sans-serif"/>
          <w:b w:val="false"/>
          <w:color w:val="0000FF"/>
          <w:sz w:val="20"/>
          <w:u w:val="single"/>
        </w:rPr>
        <w:t>voluntary or involuntary), or becomes insolvent, or goes out of business;</w:t>
      </w:r>
    </w:p>
    <w:p>
      <w:pPr>
        <w:pStyle w:val="TextBody"/>
        <w:spacing w:before="1" w:after="283"/>
        <w:rPr/>
      </w:pPr>
      <w:r>
        <w:rPr/>
      </w:r>
    </w:p>
    <w:p>
      <w:pPr>
        <w:pStyle w:val="TextBody"/>
        <w:spacing w:lineRule="auto" w:line="240" w:before="91" w:after="283"/>
        <w:ind w:left="0" w:right="0" w:firstLine="1440"/>
        <w:jc w:val="both"/>
        <w:rPr/>
      </w:pPr>
      <w:r>
        <w:rPr>
          <w:rFonts w:ascii="Times New Roman;sans-serif" w:hAnsi="Times New Roman;sans-serif"/>
          <w:b w:val="false"/>
          <w:color w:val="0000FF"/>
          <w:sz w:val="20"/>
        </w:rPr>
        <w:t>(y)</w:t>
      </w:r>
      <w:r>
        <w:rPr/>
        <w:drawing>
          <wp:inline distT="0" distB="63500" distL="0" distR="0">
            <wp:extent cx="14605" cy="438150"/>
            <wp:effectExtent l="0" t="0" r="0" b="0"/>
            <wp:docPr id="422"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13" descr=""/>
                    <pic:cNvPicPr>
                      <a:picLocks noChangeAspect="1" noChangeArrowheads="1"/>
                    </pic:cNvPicPr>
                  </pic:nvPicPr>
                  <pic:blipFill>
                    <a:blip r:embed="rId219"/>
                    <a:stretch>
                      <a:fillRect/>
                    </a:stretch>
                  </pic:blipFill>
                  <pic:spPr bwMode="auto">
                    <a:xfrm>
                      <a:off x="0" y="0"/>
                      <a:ext cx="14605" cy="438150"/>
                    </a:xfrm>
                    <a:prstGeom prst="rect">
                      <a:avLst/>
                    </a:prstGeom>
                  </pic:spPr>
                </pic:pic>
              </a:graphicData>
            </a:graphic>
          </wp:inline>
        </w:drawing>
      </w:r>
      <w:r>
        <w:rPr>
          <w:rFonts w:ascii="Times New Roman;sans-serif" w:hAnsi="Times New Roman;sans-serif"/>
          <w:b w:val="false"/>
          <w:color w:val="0000FF"/>
          <w:sz w:val="20"/>
          <w:u w:val="single"/>
        </w:rPr>
        <w:t>Accounts owing from an Account Debtor, whose total obligations to Borrower exceed</w:t>
      </w:r>
      <w:r>
        <w:rPr>
          <w:color w:val="0000FF"/>
        </w:rPr>
        <w:t xml:space="preserve"> </w:t>
      </w:r>
      <w:r>
        <w:rPr>
          <w:rFonts w:ascii="Times New Roman;sans-serif" w:hAnsi="Times New Roman;sans-serif"/>
          <w:b w:val="false"/>
          <w:color w:val="0000FF"/>
          <w:sz w:val="20"/>
          <w:u w:val="single"/>
        </w:rPr>
        <w:t>twenty-five percent (25.0%) of all Accounts, only for the amounts that exceed that percentage, unless Bank approves</w:t>
      </w:r>
      <w:r>
        <w:rPr>
          <w:color w:val="0000FF"/>
        </w:rPr>
        <w:t xml:space="preserve"> </w:t>
      </w:r>
      <w:r>
        <w:rPr>
          <w:rFonts w:ascii="Times New Roman;sans-serif" w:hAnsi="Times New Roman;sans-serif"/>
          <w:b w:val="false"/>
          <w:color w:val="0000FF"/>
          <w:sz w:val="20"/>
          <w:u w:val="single"/>
        </w:rPr>
        <w:t>in writing; and</w:t>
      </w:r>
    </w:p>
    <w:p>
      <w:pPr>
        <w:pStyle w:val="TextBody"/>
        <w:spacing w:before="0" w:after="0"/>
        <w:rPr/>
      </w:pPr>
      <w:r>
        <w:rPr/>
      </w:r>
    </w:p>
    <w:p>
      <w:pPr>
        <w:pStyle w:val="TextBody"/>
        <w:spacing w:lineRule="auto" w:line="240" w:before="91" w:after="283"/>
        <w:ind w:left="0" w:right="0" w:firstLine="1440"/>
        <w:rPr/>
      </w:pPr>
      <w:r>
        <w:rPr>
          <w:rFonts w:ascii="Times New Roman;sans-serif" w:hAnsi="Times New Roman;sans-serif"/>
          <w:b w:val="false"/>
          <w:color w:val="0000FF"/>
          <w:sz w:val="20"/>
        </w:rPr>
        <w:t>(z)</w:t>
      </w:r>
      <w:r>
        <w:rPr/>
        <w:drawing>
          <wp:inline distT="0" distB="63500" distL="0" distR="0">
            <wp:extent cx="14605" cy="285750"/>
            <wp:effectExtent l="0" t="0" r="0" b="0"/>
            <wp:docPr id="423"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14" descr=""/>
                    <pic:cNvPicPr>
                      <a:picLocks noChangeAspect="1" noChangeArrowheads="1"/>
                    </pic:cNvPicPr>
                  </pic:nvPicPr>
                  <pic:blipFill>
                    <a:blip r:embed="rId220"/>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val="false"/>
          <w:color w:val="0000FF"/>
          <w:sz w:val="20"/>
          <w:u w:val="single"/>
        </w:rPr>
        <w:t>Accounts for which Bank in its sole discretion determines collection to be doubtful,</w:t>
      </w:r>
      <w:r>
        <w:rPr>
          <w:color w:val="0000FF"/>
        </w:rPr>
        <w:t xml:space="preserve"> </w:t>
      </w:r>
      <w:r>
        <w:rPr>
          <w:rFonts w:ascii="Times New Roman;sans-serif" w:hAnsi="Times New Roman;sans-serif"/>
          <w:b w:val="false"/>
          <w:color w:val="0000FF"/>
          <w:sz w:val="20"/>
          <w:u w:val="single"/>
        </w:rPr>
        <w:t>including, without limitation, accounts represented by “refreshed” or “recycled” invoices.</w:t>
      </w:r>
    </w:p>
    <w:p>
      <w:pPr>
        <w:pStyle w:val="TextBody"/>
        <w:spacing w:before="1"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2251710"/>
                <wp:effectExtent l="0" t="0" r="0" b="0"/>
                <wp:wrapNone/>
                <wp:docPr id="424" name="Frame172"/>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2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15" descr=""/>
                                          <pic:cNvPicPr>
                                            <a:picLocks noChangeAspect="1" noChangeArrowheads="1"/>
                                          </pic:cNvPicPr>
                                        </pic:nvPicPr>
                                        <pic:blipFill>
                                          <a:blip r:embed="rId22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26"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15" descr=""/>
                                    <pic:cNvPicPr>
                                      <a:picLocks noChangeAspect="1" noChangeArrowheads="1"/>
                                    </pic:cNvPicPr>
                                  </pic:nvPicPr>
                                  <pic:blipFill>
                                    <a:blip r:embed="rId22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Environmental Laws</w:t>
      </w:r>
      <w:r>
        <w:rPr>
          <w:color w:val="000000"/>
        </w:rPr>
        <w:t xml:space="preserve">” </w:t>
      </w:r>
      <w:r>
        <w:rPr>
          <w:rFonts w:ascii="Times New Roman;sans-serif" w:hAnsi="Times New Roman;sans-serif"/>
          <w:b w:val="false"/>
          <w:color w:val="000000"/>
          <w:sz w:val="20"/>
        </w:rPr>
        <w:t>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Equipment</w:t>
      </w:r>
      <w:r>
        <w:rPr>
          <w:color w:val="000000"/>
        </w:rPr>
        <w:t xml:space="preserve">” </w:t>
      </w:r>
      <w:r>
        <w:rPr>
          <w:rFonts w:ascii="Times New Roman;sans-serif" w:hAnsi="Times New Roman;sans-serif"/>
          <w:b w:val="false"/>
          <w:color w:val="000000"/>
          <w:sz w:val="20"/>
        </w:rPr>
        <w:t>is all “equipment” as defined in the Code with such additions to such term as may hereafter be made, and includes without limitation all machinery, fixtures, goods, vehicles (including motor vehicles and trailers), and any interest in any of the foregoing.</w:t>
      </w:r>
    </w:p>
    <w:p>
      <w:pPr>
        <w:pStyle w:val="TextBody"/>
        <w:spacing w:before="11" w:after="283"/>
        <w:rPr/>
      </w:pPr>
      <w:r>
        <w:rPr/>
      </w:r>
    </w:p>
    <w:p>
      <w:pPr>
        <w:pStyle w:val="TextBody"/>
        <w:spacing w:lineRule="auto" w:line="568" w:before="0" w:after="0"/>
        <w:rPr/>
      </w:pPr>
      <w:r>
        <w:rPr>
          <w:color w:val="000000"/>
        </w:rPr>
        <w:t>“</w:t>
      </w:r>
      <w:r>
        <w:rPr>
          <w:rFonts w:ascii="Times New Roman;sans-serif" w:hAnsi="Times New Roman;sans-serif"/>
          <w:b/>
          <w:color w:val="000000"/>
          <w:sz w:val="20"/>
        </w:rPr>
        <w:t>ERISA</w:t>
      </w:r>
      <w:r>
        <w:rPr>
          <w:color w:val="000000"/>
        </w:rPr>
        <w:t xml:space="preserve">” </w:t>
      </w:r>
      <w:r>
        <w:rPr>
          <w:rFonts w:ascii="Times New Roman;sans-serif" w:hAnsi="Times New Roman;sans-serif"/>
          <w:b w:val="false"/>
          <w:color w:val="000000"/>
          <w:sz w:val="20"/>
        </w:rPr>
        <w:t>is the Employee Retirement Income Security Act of 1974, as amended, and its regulations. “</w:t>
      </w:r>
      <w:r>
        <w:rPr>
          <w:rFonts w:ascii="Times New Roman;sans-serif" w:hAnsi="Times New Roman;sans-serif"/>
          <w:b/>
          <w:color w:val="000000"/>
          <w:sz w:val="20"/>
        </w:rPr>
        <w:t>Event of Default</w:t>
      </w:r>
      <w:r>
        <w:rPr>
          <w:color w:val="000000"/>
        </w:rPr>
        <w:t xml:space="preserve">” </w:t>
      </w:r>
      <w:r>
        <w:rPr>
          <w:rFonts w:ascii="Times New Roman;sans-serif" w:hAnsi="Times New Roman;sans-serif"/>
          <w:b w:val="false"/>
          <w:color w:val="000000"/>
          <w:sz w:val="20"/>
        </w:rPr>
        <w:t>is defined in Section 7.</w:t>
      </w:r>
    </w:p>
    <w:p>
      <w:pPr>
        <w:pStyle w:val="TextBody"/>
        <w:spacing w:lineRule="auto" w:line="273" w:before="0" w:after="0"/>
        <w:rPr/>
      </w:pPr>
      <w:r>
        <w:rPr>
          <w:color w:val="000000"/>
        </w:rPr>
        <w:t>“</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is the Securities Exchange Act of 1934, as amended.</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Excluded Taxes</w:t>
      </w:r>
      <w:r>
        <w:rPr>
          <w:color w:val="000000"/>
        </w:rPr>
        <w:t xml:space="preserve">” </w:t>
      </w:r>
      <w:r>
        <w:rPr>
          <w:rFonts w:ascii="Times New Roman;sans-serif" w:hAnsi="Times New Roman;sans-serif"/>
          <w:b w:val="false"/>
          <w:color w:val="000000"/>
          <w:sz w:val="20"/>
        </w:rPr>
        <w:t>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Section 1.6, amounts with respect to such Taxes were payable either to Bank’s assignor immediately before Bank became a party hereto or to Bank immediately before it changed its lending office, (c) Taxes attributable to Bank’s failure to comply with Section 1.6(e) and/or any reporting and delivery requirements, and (d) any withholding Taxes imposed under FATCA.</w:t>
      </w:r>
    </w:p>
    <w:p>
      <w:pPr>
        <w:pStyle w:val="TextBody"/>
        <w:spacing w:before="3" w:after="283"/>
        <w:rPr/>
      </w:pPr>
      <w:r>
        <w:rPr/>
      </w:r>
    </w:p>
    <w:p>
      <w:pPr>
        <w:pStyle w:val="TextBody"/>
        <w:spacing w:lineRule="auto" w:line="240" w:before="0" w:after="0"/>
        <w:ind w:left="0" w:right="0" w:firstLine="813"/>
        <w:jc w:val="both"/>
        <w:rPr/>
      </w:pPr>
      <w:r>
        <w:rPr>
          <w:color w:val="000000"/>
        </w:rPr>
        <w:t>“</w:t>
      </w:r>
      <w:r>
        <w:rPr>
          <w:rFonts w:ascii="Times New Roman;sans-serif" w:hAnsi="Times New Roman;sans-serif"/>
          <w:b/>
          <w:color w:val="000000"/>
          <w:sz w:val="20"/>
        </w:rPr>
        <w:t>FATCA</w:t>
      </w:r>
      <w:r>
        <w:rPr>
          <w:color w:val="000000"/>
        </w:rPr>
        <w:t xml:space="preserve">” </w:t>
      </w:r>
      <w:r>
        <w:rPr>
          <w:rFonts w:ascii="Times New Roman;sans-serif" w:hAnsi="Times New Roman;sans-serif"/>
          <w:b w:val="false"/>
          <w:color w:val="000000"/>
          <w:sz w:val="20"/>
        </w:rPr>
        <w:t>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w:t>
      </w:r>
    </w:p>
    <w:p>
      <w:pPr>
        <w:pStyle w:val="TextBody"/>
        <w:spacing w:before="0" w:after="0"/>
        <w:jc w:val="both"/>
        <w:rPr/>
      </w:pPr>
      <w:r>
        <w:rPr/>
      </w:r>
    </w:p>
    <w:p>
      <w:pPr>
        <w:pStyle w:val="TextBody"/>
        <w:spacing w:before="6" w:after="283"/>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practices adopted pursuant to any intergovernmental agreement, treaty or convention among Governmental Authorities and implementing such Sections of the Internal Revenue Code.</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Final Payment</w:t>
      </w:r>
      <w:r>
        <w:rPr>
          <w:color w:val="000000"/>
        </w:rPr>
        <w:t xml:space="preserve">” </w:t>
      </w:r>
      <w:r>
        <w:rPr>
          <w:rFonts w:ascii="Times New Roman;sans-serif" w:hAnsi="Times New Roman;sans-serif"/>
          <w:b w:val="false"/>
          <w:color w:val="000000"/>
          <w:sz w:val="20"/>
        </w:rPr>
        <w:t>is a payment (in addition to and not a substitution for the regular monthly payments of principal plus accrued interest) due on the earliest to occur of (a) the Term Loan Maturity Date, (b) the repayment of the Term Loan Advance in full, (c) as required pursuant to Section 1.1(c) or 1.1(d), or (d) the termination of this Agreement, in an amount equal to the original aggregate principle amount of the Term Loan Advance extended by Bank to Borrower multiplied by two percent (2.0%).</w:t>
      </w:r>
    </w:p>
    <w:p>
      <w:pPr>
        <w:pStyle w:val="TextBody"/>
        <w:spacing w:before="0" w:after="0"/>
        <w:rPr/>
      </w:pPr>
      <w:r>
        <w:rPr/>
      </w:r>
    </w:p>
    <w:p>
      <w:pPr>
        <w:pStyle w:val="TextBody"/>
        <w:spacing w:lineRule="auto" w:line="240" w:before="0" w:after="7"/>
        <w:jc w:val="both"/>
        <w:rPr/>
      </w:pPr>
      <w:r>
        <w:rPr/>
        <w:drawing>
          <wp:inline distT="0" distB="63500" distL="0" distR="0">
            <wp:extent cx="14605" cy="1609725"/>
            <wp:effectExtent l="0" t="0" r="0" b="0"/>
            <wp:docPr id="427"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16" descr=""/>
                    <pic:cNvPicPr>
                      <a:picLocks noChangeAspect="1" noChangeArrowheads="1"/>
                    </pic:cNvPicPr>
                  </pic:nvPicPr>
                  <pic:blipFill>
                    <a:blip r:embed="rId222"/>
                    <a:stretch>
                      <a:fillRect/>
                    </a:stretch>
                  </pic:blipFill>
                  <pic:spPr bwMode="auto">
                    <a:xfrm>
                      <a:off x="0" y="0"/>
                      <a:ext cx="14605" cy="1609725"/>
                    </a:xfrm>
                    <a:prstGeom prst="rect">
                      <a:avLst/>
                    </a:prstGeom>
                  </pic:spPr>
                </pic:pic>
              </a:graphicData>
            </a:graphic>
          </wp:inline>
        </w:drawing>
      </w:r>
      <w:r>
        <w:rPr/>
        <w:drawing>
          <wp:inline distT="0" distB="63500" distL="0" distR="0">
            <wp:extent cx="5895975" cy="14605"/>
            <wp:effectExtent l="0" t="0" r="0" b="0"/>
            <wp:docPr id="428"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17" descr=""/>
                    <pic:cNvPicPr>
                      <a:picLocks noChangeAspect="1" noChangeArrowheads="1"/>
                    </pic:cNvPicPr>
                  </pic:nvPicPr>
                  <pic:blipFill>
                    <a:blip r:embed="rId223"/>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429"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18" descr=""/>
                    <pic:cNvPicPr>
                      <a:picLocks noChangeAspect="1" noChangeArrowheads="1"/>
                    </pic:cNvPicPr>
                  </pic:nvPicPr>
                  <pic:blipFill>
                    <a:blip r:embed="rId224"/>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430"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19" descr=""/>
                    <pic:cNvPicPr>
                      <a:picLocks noChangeAspect="1" noChangeArrowheads="1"/>
                    </pic:cNvPicPr>
                  </pic:nvPicPr>
                  <pic:blipFill>
                    <a:blip r:embed="rId225"/>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431"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20" descr=""/>
                    <pic:cNvPicPr>
                      <a:picLocks noChangeAspect="1" noChangeArrowheads="1"/>
                    </pic:cNvPicPr>
                  </pic:nvPicPr>
                  <pic:blipFill>
                    <a:blip r:embed="rId226"/>
                    <a:stretch>
                      <a:fillRect/>
                    </a:stretch>
                  </pic:blipFill>
                  <pic:spPr bwMode="auto">
                    <a:xfrm>
                      <a:off x="0" y="0"/>
                      <a:ext cx="5895975" cy="14605"/>
                    </a:xfrm>
                    <a:prstGeom prst="rect">
                      <a:avLst/>
                    </a:prstGeom>
                  </pic:spPr>
                </pic:pic>
              </a:graphicData>
            </a:graphic>
          </wp:inline>
        </w:drawing>
      </w:r>
      <w:r>
        <w:rPr/>
        <w:drawing>
          <wp:inline distT="0" distB="63500" distL="0" distR="0">
            <wp:extent cx="5915025" cy="14605"/>
            <wp:effectExtent l="0" t="0" r="0" b="0"/>
            <wp:docPr id="432"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21" descr=""/>
                    <pic:cNvPicPr>
                      <a:picLocks noChangeAspect="1" noChangeArrowheads="1"/>
                    </pic:cNvPicPr>
                  </pic:nvPicPr>
                  <pic:blipFill>
                    <a:blip r:embed="rId227"/>
                    <a:stretch>
                      <a:fillRect/>
                    </a:stretch>
                  </pic:blipFill>
                  <pic:spPr bwMode="auto">
                    <a:xfrm>
                      <a:off x="0" y="0"/>
                      <a:ext cx="5915025" cy="14605"/>
                    </a:xfrm>
                    <a:prstGeom prst="rect">
                      <a:avLst/>
                    </a:prstGeom>
                  </pic:spPr>
                </pic:pic>
              </a:graphicData>
            </a:graphic>
          </wp:inline>
        </w:drawing>
      </w:r>
      <w:r>
        <w:rPr/>
        <w:drawing>
          <wp:inline distT="0" distB="63500" distL="0" distR="0">
            <wp:extent cx="5895975" cy="14605"/>
            <wp:effectExtent l="0" t="0" r="0" b="0"/>
            <wp:docPr id="433"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22" descr=""/>
                    <pic:cNvPicPr>
                      <a:picLocks noChangeAspect="1" noChangeArrowheads="1"/>
                    </pic:cNvPicPr>
                  </pic:nvPicPr>
                  <pic:blipFill>
                    <a:blip r:embed="rId228"/>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434"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23" descr=""/>
                    <pic:cNvPicPr>
                      <a:picLocks noChangeAspect="1" noChangeArrowheads="1"/>
                    </pic:cNvPicPr>
                  </pic:nvPicPr>
                  <pic:blipFill>
                    <a:blip r:embed="rId229"/>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435"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24" descr=""/>
                    <pic:cNvPicPr>
                      <a:picLocks noChangeAspect="1" noChangeArrowheads="1"/>
                    </pic:cNvPicPr>
                  </pic:nvPicPr>
                  <pic:blipFill>
                    <a:blip r:embed="rId230"/>
                    <a:stretch>
                      <a:fillRect/>
                    </a:stretch>
                  </pic:blipFill>
                  <pic:spPr bwMode="auto">
                    <a:xfrm>
                      <a:off x="0" y="0"/>
                      <a:ext cx="5895975" cy="14605"/>
                    </a:xfrm>
                    <a:prstGeom prst="rect">
                      <a:avLst/>
                    </a:prstGeom>
                  </pic:spPr>
                </pic:pic>
              </a:graphicData>
            </a:graphic>
          </wp:inline>
        </w:drawing>
      </w:r>
      <w:r>
        <w:rPr/>
        <w:drawing>
          <wp:inline distT="0" distB="63500" distL="0" distR="0">
            <wp:extent cx="5895975" cy="14605"/>
            <wp:effectExtent l="0" t="0" r="0" b="0"/>
            <wp:docPr id="436"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25" descr=""/>
                    <pic:cNvPicPr>
                      <a:picLocks noChangeAspect="1" noChangeArrowheads="1"/>
                    </pic:cNvPicPr>
                  </pic:nvPicPr>
                  <pic:blipFill>
                    <a:blip r:embed="rId231"/>
                    <a:stretch>
                      <a:fillRect/>
                    </a:stretch>
                  </pic:blipFill>
                  <pic:spPr bwMode="auto">
                    <a:xfrm>
                      <a:off x="0" y="0"/>
                      <a:ext cx="5895975" cy="14605"/>
                    </a:xfrm>
                    <a:prstGeom prst="rect">
                      <a:avLst/>
                    </a:prstGeom>
                  </pic:spPr>
                </pic:pic>
              </a:graphicData>
            </a:graphic>
          </wp:inline>
        </w:drawing>
      </w:r>
      <w:r>
        <w:rPr/>
        <w:drawing>
          <wp:inline distT="0" distB="63500" distL="0" distR="0">
            <wp:extent cx="438150" cy="14605"/>
            <wp:effectExtent l="0" t="0" r="0" b="0"/>
            <wp:docPr id="437"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26" descr=""/>
                    <pic:cNvPicPr>
                      <a:picLocks noChangeAspect="1" noChangeArrowheads="1"/>
                    </pic:cNvPicPr>
                  </pic:nvPicPr>
                  <pic:blipFill>
                    <a:blip r:embed="rId232"/>
                    <a:stretch>
                      <a:fillRect/>
                    </a:stretch>
                  </pic:blipFill>
                  <pic:spPr bwMode="auto">
                    <a:xfrm>
                      <a:off x="0" y="0"/>
                      <a:ext cx="438150" cy="1460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Financial Covenant Measuring Period</w:t>
      </w:r>
      <w:r>
        <w:rPr>
          <w:color w:val="0000FF"/>
          <w:u w:val="single"/>
        </w:rPr>
        <w:t xml:space="preserve">” </w:t>
      </w:r>
      <w:r>
        <w:rPr>
          <w:rFonts w:ascii="Times New Roman;sans-serif" w:hAnsi="Times New Roman;sans-serif"/>
          <w:b w:val="false"/>
          <w:color w:val="0000FF"/>
          <w:sz w:val="20"/>
          <w:u w:val="single"/>
        </w:rPr>
        <w:t>is any period of time (a) commencing on the later to occur of</w:t>
      </w:r>
    </w:p>
    <w:p>
      <w:pPr>
        <w:pStyle w:val="TextBody"/>
        <w:spacing w:before="0" w:after="0"/>
        <w:rPr/>
      </w:pPr>
      <w:r>
        <w:rPr/>
        <w:drawing>
          <wp:inline distT="0" distB="63500" distL="0" distR="0">
            <wp:extent cx="5438775" cy="14605"/>
            <wp:effectExtent l="0" t="0" r="0" b="0"/>
            <wp:docPr id="438"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27" descr=""/>
                    <pic:cNvPicPr>
                      <a:picLocks noChangeAspect="1" noChangeArrowheads="1"/>
                    </pic:cNvPicPr>
                  </pic:nvPicPr>
                  <pic:blipFill>
                    <a:blip r:embed="rId233"/>
                    <a:stretch>
                      <a:fillRect/>
                    </a:stretch>
                  </pic:blipFill>
                  <pic:spPr bwMode="auto">
                    <a:xfrm>
                      <a:off x="0" y="0"/>
                      <a:ext cx="5438775" cy="14605"/>
                    </a:xfrm>
                    <a:prstGeom prst="rect">
                      <a:avLst/>
                    </a:prstGeom>
                  </pic:spPr>
                </pic:pic>
              </a:graphicData>
            </a:graphic>
          </wp:inline>
        </w:drawing>
      </w:r>
    </w:p>
    <w:p>
      <w:pPr>
        <w:pStyle w:val="TextBody"/>
        <w:spacing w:lineRule="auto" w:line="240" w:before="0" w:after="0"/>
        <w:jc w:val="both"/>
        <w:rPr/>
      </w:pPr>
      <w:r>
        <w:rPr>
          <w:rFonts w:ascii="Times New Roman;sans-serif" w:hAnsi="Times New Roman;sans-serif"/>
          <w:b w:val="false"/>
          <w:color w:val="0000FF"/>
          <w:sz w:val="20"/>
          <w:u w:val="single"/>
        </w:rPr>
        <w:t>(i) the date on which the aggregate value of the Borrower’s unrestricted and unencumbered (except for Liens in</w:t>
      </w:r>
      <w:r>
        <w:rPr>
          <w:color w:val="0000FF"/>
        </w:rPr>
        <w:t xml:space="preserve"> </w:t>
      </w:r>
      <w:r>
        <w:rPr>
          <w:rFonts w:ascii="Times New Roman;sans-serif" w:hAnsi="Times New Roman;sans-serif"/>
          <w:b w:val="false"/>
          <w:color w:val="0000FF"/>
          <w:sz w:val="20"/>
          <w:u w:val="single"/>
        </w:rPr>
        <w:t xml:space="preserve">favor of Bank) cash and Cash Equivalents held at SVB and SVB’s Affiliates falls below </w:t>
      </w:r>
      <w:r>
        <w:rPr>
          <w:rFonts w:ascii="Times New Roman;sans-serif" w:hAnsi="Times New Roman;sans-serif"/>
          <w:b w:val="false"/>
          <w:color w:val="000000"/>
          <w:sz w:val="20"/>
        </w:rPr>
        <w:t xml:space="preserve">[***] </w:t>
      </w:r>
      <w:r>
        <w:rPr>
          <w:rFonts w:ascii="Times New Roman;sans-serif" w:hAnsi="Times New Roman;sans-serif"/>
          <w:b w:val="false"/>
          <w:color w:val="0000FF"/>
          <w:sz w:val="20"/>
          <w:u w:val="single"/>
        </w:rPr>
        <w:t xml:space="preserve">Dollars, and (ii)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2251710"/>
                <wp:effectExtent l="0" t="0" r="0" b="0"/>
                <wp:wrapNone/>
                <wp:docPr id="439" name="Frame173"/>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40"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28" descr=""/>
                                          <pic:cNvPicPr>
                                            <a:picLocks noChangeAspect="1" noChangeArrowheads="1"/>
                                          </pic:cNvPicPr>
                                        </pic:nvPicPr>
                                        <pic:blipFill>
                                          <a:blip r:embed="rId23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4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28" descr=""/>
                                    <pic:cNvPicPr>
                                      <a:picLocks noChangeAspect="1" noChangeArrowheads="1"/>
                                    </pic:cNvPicPr>
                                  </pic:nvPicPr>
                                  <pic:blipFill>
                                    <a:blip r:embed="rId23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jc w:val="both"/>
        <w:rPr/>
      </w:pPr>
      <w:r>
        <w:rPr>
          <w:rFonts w:ascii="Times New Roman;sans-serif" w:hAnsi="Times New Roman;sans-serif"/>
          <w:b w:val="false"/>
          <w:color w:val="0000FF"/>
          <w:sz w:val="20"/>
          <w:u w:val="single"/>
        </w:rPr>
        <w:t>January 1, 2024 and (b) terminating on the date on which Borrower has achieved two (2)</w:t>
      </w:r>
      <w:r>
        <w:rPr>
          <w:color w:val="0000FF"/>
        </w:rPr>
        <w:t xml:space="preserve"> </w:t>
      </w:r>
      <w:r>
        <w:rPr>
          <w:rFonts w:ascii="Times New Roman;sans-serif" w:hAnsi="Times New Roman;sans-serif"/>
          <w:b w:val="false"/>
          <w:color w:val="0000FF"/>
          <w:sz w:val="20"/>
          <w:u w:val="single"/>
        </w:rPr>
        <w:t xml:space="preserve">consecutive quarters of Adjusted EBITDA greater than </w:t>
      </w:r>
      <w:r>
        <w:rPr>
          <w:rFonts w:ascii="Times New Roman;sans-serif" w:hAnsi="Times New Roman;sans-serif"/>
          <w:b w:val="false"/>
          <w:color w:val="000000"/>
          <w:sz w:val="20"/>
        </w:rPr>
        <w:t>[***]</w:t>
      </w:r>
      <w:r>
        <w:rPr>
          <w:color w:val="0000FF"/>
          <w:u w:val="single"/>
        </w:rPr>
        <w:t xml:space="preserve"> </w:t>
      </w:r>
      <w:r>
        <w:rPr>
          <w:rFonts w:ascii="Times New Roman;sans-serif" w:hAnsi="Times New Roman;sans-serif"/>
          <w:b w:val="false"/>
          <w:color w:val="0000FF"/>
          <w:sz w:val="20"/>
          <w:u w:val="single"/>
        </w:rPr>
        <w:t>Dollars. After the termination of a Financial</w:t>
      </w:r>
      <w:r>
        <w:rPr>
          <w:color w:val="0000FF"/>
        </w:rPr>
        <w:t xml:space="preserve"> </w:t>
      </w:r>
      <w:r>
        <w:rPr>
          <w:rFonts w:ascii="Times New Roman;sans-serif" w:hAnsi="Times New Roman;sans-serif"/>
          <w:b w:val="false"/>
          <w:color w:val="0000FF"/>
          <w:sz w:val="20"/>
          <w:u w:val="single"/>
        </w:rPr>
        <w:t xml:space="preserve">Covenant Measuring Period, if both (X) Borrower’s Adjusted EBITDA is equal to or less than </w:t>
      </w:r>
      <w:r>
        <w:rPr>
          <w:rFonts w:ascii="Times New Roman;sans-serif" w:hAnsi="Times New Roman;sans-serif"/>
          <w:b w:val="false"/>
          <w:color w:val="000000"/>
          <w:sz w:val="20"/>
        </w:rPr>
        <w:t>[***]</w:t>
      </w:r>
      <w:r>
        <w:rPr>
          <w:color w:val="0000FF"/>
          <w:u w:val="single"/>
        </w:rPr>
        <w:t xml:space="preserve"> </w:t>
      </w:r>
      <w:r>
        <w:rPr>
          <w:rFonts w:ascii="Times New Roman;sans-serif" w:hAnsi="Times New Roman;sans-serif"/>
          <w:b w:val="false"/>
          <w:color w:val="0000FF"/>
          <w:sz w:val="20"/>
          <w:u w:val="single"/>
        </w:rPr>
        <w:t>Dollars any</w:t>
      </w:r>
      <w:r>
        <w:rPr>
          <w:color w:val="0000FF"/>
        </w:rPr>
        <w:t xml:space="preserve"> </w:t>
      </w:r>
      <w:r>
        <w:rPr>
          <w:rFonts w:ascii="Times New Roman;sans-serif" w:hAnsi="Times New Roman;sans-serif"/>
          <w:b w:val="false"/>
          <w:color w:val="0000FF"/>
          <w:sz w:val="20"/>
          <w:u w:val="single"/>
        </w:rPr>
        <w:t>such fiscal quarter and (Y) the aggregate value of the Borrower’s unrestricted and unencumbered (except for Liens</w:t>
      </w:r>
      <w:r>
        <w:rPr>
          <w:color w:val="0000FF"/>
        </w:rPr>
        <w:t xml:space="preserve"> </w:t>
      </w:r>
      <w:r>
        <w:rPr>
          <w:rFonts w:ascii="Times New Roman;sans-serif" w:hAnsi="Times New Roman;sans-serif"/>
          <w:b w:val="false"/>
          <w:color w:val="0000FF"/>
          <w:sz w:val="20"/>
          <w:u w:val="single"/>
        </w:rPr>
        <w:t xml:space="preserve">in favor of Bank) cash and Cash Equivalents held at SVB and SVB’s Affiliates is less than </w:t>
      </w:r>
      <w:r>
        <w:rPr>
          <w:rFonts w:ascii="Times New Roman;sans-serif" w:hAnsi="Times New Roman;sans-serif"/>
          <w:b w:val="false"/>
          <w:color w:val="000000"/>
          <w:sz w:val="20"/>
        </w:rPr>
        <w:t xml:space="preserve">[***] </w:t>
      </w:r>
      <w:r>
        <w:rPr>
          <w:rFonts w:ascii="Times New Roman;sans-serif" w:hAnsi="Times New Roman;sans-serif"/>
          <w:b w:val="false"/>
          <w:color w:val="0000FF"/>
          <w:sz w:val="20"/>
          <w:u w:val="single"/>
        </w:rPr>
        <w:t>Dollars, then a new Financial Covenant Measuring Period shall start and shall not terminate until</w:t>
      </w:r>
      <w:r>
        <w:rPr>
          <w:color w:val="0000FF"/>
        </w:rPr>
        <w:t xml:space="preserve"> </w:t>
      </w:r>
      <w:r>
        <w:rPr>
          <w:rFonts w:ascii="Times New Roman;sans-serif" w:hAnsi="Times New Roman;sans-serif"/>
          <w:b w:val="false"/>
          <w:color w:val="0000FF"/>
          <w:sz w:val="20"/>
          <w:u w:val="single"/>
        </w:rPr>
        <w:t xml:space="preserve">Borrower again achieves Adjusted EBITDA Balance greater than </w:t>
      </w:r>
      <w:r>
        <w:rPr>
          <w:rFonts w:ascii="Times New Roman;sans-serif" w:hAnsi="Times New Roman;sans-serif"/>
          <w:b w:val="false"/>
          <w:color w:val="000000"/>
          <w:sz w:val="20"/>
        </w:rPr>
        <w:t>[***]</w:t>
      </w:r>
      <w:r>
        <w:rPr>
          <w:color w:val="0000FF"/>
          <w:u w:val="single"/>
        </w:rPr>
        <w:t xml:space="preserve"> </w:t>
      </w:r>
      <w:r>
        <w:rPr>
          <w:rFonts w:ascii="Times New Roman;sans-serif" w:hAnsi="Times New Roman;sans-serif"/>
          <w:b w:val="false"/>
          <w:color w:val="0000FF"/>
          <w:sz w:val="20"/>
          <w:u w:val="single"/>
        </w:rPr>
        <w:t>Dollars for two (2) new consecutive</w:t>
      </w:r>
      <w:r>
        <w:rPr>
          <w:color w:val="0000FF"/>
        </w:rPr>
        <w:t xml:space="preserve"> </w:t>
      </w:r>
      <w:r>
        <w:rPr>
          <w:rFonts w:ascii="Times New Roman;sans-serif" w:hAnsi="Times New Roman;sans-serif"/>
          <w:b w:val="false"/>
          <w:color w:val="0000FF"/>
          <w:sz w:val="20"/>
        </w:rPr>
        <w:t>quarters.</w:t>
      </w:r>
    </w:p>
    <w:p>
      <w:pPr>
        <w:pStyle w:val="TextBody"/>
        <w:spacing w:before="0" w:after="0"/>
        <w:rPr/>
      </w:pPr>
      <w:r>
        <w:rPr/>
      </w:r>
    </w:p>
    <w:p>
      <w:pPr>
        <w:pStyle w:val="TextBody"/>
        <w:spacing w:lineRule="auto" w:line="240" w:before="91" w:after="283"/>
        <w:ind w:left="0" w:right="0" w:firstLine="720"/>
        <w:rPr/>
      </w:pPr>
      <w:r>
        <w:rPr>
          <w:color w:val="000000"/>
        </w:rPr>
        <w:t>“</w:t>
      </w:r>
      <w:r>
        <w:rPr>
          <w:rFonts w:ascii="Times New Roman;sans-serif" w:hAnsi="Times New Roman;sans-serif"/>
          <w:b/>
          <w:color w:val="000000"/>
          <w:sz w:val="20"/>
        </w:rPr>
        <w:t>Financial Statement Repository</w:t>
      </w:r>
      <w:r>
        <w:rPr>
          <w:color w:val="000000"/>
        </w:rPr>
        <w:t xml:space="preserve">” </w:t>
      </w:r>
      <w:r>
        <w:rPr>
          <w:rFonts w:ascii="Times New Roman;sans-serif" w:hAnsi="Times New Roman;sans-serif"/>
          <w:b w:val="false"/>
          <w:color w:val="000000"/>
          <w:sz w:val="20"/>
        </w:rPr>
        <w:t>is L43f1c@svb.com or such other means of collecting information approved and designated by Bank after providing notice thereof to Borrower from time to time.</w:t>
      </w:r>
    </w:p>
    <w:p>
      <w:pPr>
        <w:pStyle w:val="TextBody"/>
        <w:spacing w:before="1" w:after="283"/>
        <w:rPr/>
      </w:pPr>
      <w:r>
        <w:rPr/>
      </w:r>
    </w:p>
    <w:p>
      <w:pPr>
        <w:pStyle w:val="TextBody"/>
        <w:spacing w:lineRule="auto" w:line="240" w:before="91" w:after="283"/>
        <w:rPr/>
      </w:pPr>
      <w:r>
        <w:rPr/>
        <w:drawing>
          <wp:inline distT="0" distB="63500" distL="0" distR="0">
            <wp:extent cx="14605" cy="142875"/>
            <wp:effectExtent l="0" t="0" r="0" b="0"/>
            <wp:docPr id="44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29" descr=""/>
                    <pic:cNvPicPr>
                      <a:picLocks noChangeAspect="1" noChangeArrowheads="1"/>
                    </pic:cNvPicPr>
                  </pic:nvPicPr>
                  <pic:blipFill>
                    <a:blip r:embed="rId235"/>
                    <a:stretch>
                      <a:fillRect/>
                    </a:stretch>
                  </pic:blipFill>
                  <pic:spPr bwMode="auto">
                    <a:xfrm>
                      <a:off x="0" y="0"/>
                      <a:ext cx="14605" cy="142875"/>
                    </a:xfrm>
                    <a:prstGeom prst="rect">
                      <a:avLst/>
                    </a:prstGeom>
                  </pic:spPr>
                </pic:pic>
              </a:graphicData>
            </a:graphic>
          </wp:inline>
        </w:drawing>
      </w:r>
      <w:r>
        <w:rPr>
          <w:color w:val="0000FF"/>
        </w:rPr>
        <w:t>“</w:t>
      </w:r>
      <w:r>
        <w:rPr>
          <w:rFonts w:ascii="Times New Roman;sans-serif" w:hAnsi="Times New Roman;sans-serif"/>
          <w:b/>
          <w:color w:val="0000FF"/>
          <w:sz w:val="20"/>
        </w:rPr>
        <w:t>First Amendment Effective Date</w:t>
      </w:r>
      <w:r>
        <w:rPr>
          <w:color w:val="0000FF"/>
        </w:rPr>
        <w:t xml:space="preserve">” </w:t>
      </w:r>
      <w:r>
        <w:rPr>
          <w:rFonts w:ascii="Times New Roman;sans-serif" w:hAnsi="Times New Roman;sans-serif"/>
          <w:b w:val="false"/>
          <w:color w:val="0000FF"/>
          <w:sz w:val="20"/>
        </w:rPr>
        <w:t>means January 6, 2023.</w:t>
      </w:r>
    </w:p>
    <w:p>
      <w:pPr>
        <w:pStyle w:val="TextBody"/>
        <w:spacing w:before="0" w:after="0"/>
        <w:rPr/>
      </w:pPr>
      <w:r>
        <w:rPr/>
        <w:drawing>
          <wp:inline distT="0" distB="63500" distL="0" distR="0">
            <wp:extent cx="3086100" cy="19050"/>
            <wp:effectExtent l="0" t="0" r="0" b="0"/>
            <wp:docPr id="44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30" descr=""/>
                    <pic:cNvPicPr>
                      <a:picLocks noChangeAspect="1" noChangeArrowheads="1"/>
                    </pic:cNvPicPr>
                  </pic:nvPicPr>
                  <pic:blipFill>
                    <a:blip r:embed="rId236"/>
                    <a:stretch>
                      <a:fillRect/>
                    </a:stretch>
                  </pic:blipFill>
                  <pic:spPr bwMode="auto">
                    <a:xfrm>
                      <a:off x="0" y="0"/>
                      <a:ext cx="3086100" cy="19050"/>
                    </a:xfrm>
                    <a:prstGeom prst="rect">
                      <a:avLst/>
                    </a:prstGeom>
                  </pic:spPr>
                </pic:pic>
              </a:graphicData>
            </a:graphic>
          </wp:inline>
        </w:drawing>
      </w:r>
    </w:p>
    <w:p>
      <w:pPr>
        <w:pStyle w:val="TextBody"/>
        <w:spacing w:before="2" w:after="283"/>
        <w:rPr/>
      </w:pPr>
      <w:r>
        <w:rPr/>
      </w:r>
    </w:p>
    <w:p>
      <w:pPr>
        <w:pStyle w:val="TextBody"/>
        <w:spacing w:lineRule="auto" w:line="240" w:before="91" w:after="283"/>
        <w:rPr/>
      </w:pPr>
      <w:r>
        <w:rPr>
          <w:color w:val="000000"/>
        </w:rPr>
        <w:t>“</w:t>
      </w:r>
      <w:r>
        <w:rPr>
          <w:rFonts w:ascii="Times New Roman;sans-serif" w:hAnsi="Times New Roman;sans-serif"/>
          <w:b/>
          <w:color w:val="000000"/>
          <w:sz w:val="20"/>
        </w:rPr>
        <w:t>Foreign Currency</w:t>
      </w:r>
      <w:r>
        <w:rPr>
          <w:color w:val="000000"/>
        </w:rPr>
        <w:t xml:space="preserve">” </w:t>
      </w:r>
      <w:r>
        <w:rPr>
          <w:rFonts w:ascii="Times New Roman;sans-serif" w:hAnsi="Times New Roman;sans-serif"/>
          <w:b w:val="false"/>
          <w:color w:val="000000"/>
          <w:sz w:val="20"/>
        </w:rPr>
        <w:t>is the lawful money of a country other than the United States.</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Foreign Subsidiary</w:t>
      </w:r>
      <w:r>
        <w:rPr>
          <w:color w:val="000000"/>
        </w:rPr>
        <w:t xml:space="preserve">” </w:t>
      </w:r>
      <w:r>
        <w:rPr>
          <w:rFonts w:ascii="Times New Roman;sans-serif" w:hAnsi="Times New Roman;sans-serif"/>
          <w:b w:val="false"/>
          <w:color w:val="000000"/>
          <w:sz w:val="20"/>
        </w:rPr>
        <w:t>is a Subsidiary that is not an entity organized under the laws of the United States or any territory thereof or the District of Columbia.</w:t>
      </w:r>
    </w:p>
    <w:p>
      <w:pPr>
        <w:pStyle w:val="TextBody"/>
        <w:spacing w:before="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Funding Date</w:t>
      </w:r>
      <w:r>
        <w:rPr>
          <w:color w:val="000000"/>
        </w:rPr>
        <w:t xml:space="preserve">” </w:t>
      </w:r>
      <w:r>
        <w:rPr>
          <w:rFonts w:ascii="Times New Roman;sans-serif" w:hAnsi="Times New Roman;sans-serif"/>
          <w:b w:val="false"/>
          <w:color w:val="000000"/>
          <w:sz w:val="20"/>
        </w:rPr>
        <w:t>is any date on which a Credit Extension is made to or for the account of Borrower which shall be a Business Day.</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FX Business Day</w:t>
      </w:r>
      <w:r>
        <w:rPr>
          <w:color w:val="000000"/>
        </w:rPr>
        <w:t xml:space="preserve">” </w:t>
      </w:r>
      <w:r>
        <w:rPr>
          <w:rFonts w:ascii="Times New Roman;sans-serif" w:hAnsi="Times New Roman;sans-serif"/>
          <w:b w:val="false"/>
          <w:color w:val="000000"/>
          <w:sz w:val="20"/>
        </w:rPr>
        <w:t>is any day when (a) Bank’s Foreign Exchange Department is conducting its normal business and (b) the Foreign Currency being purchased or sold by Borrower is available to Bank from the entity from which Bank shall buy or sell such Foreign Currency.</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FX Contract</w:t>
      </w:r>
      <w:r>
        <w:rPr>
          <w:color w:val="000000"/>
        </w:rPr>
        <w:t xml:space="preserve">” </w:t>
      </w:r>
      <w:r>
        <w:rPr>
          <w:rFonts w:ascii="Times New Roman;sans-serif" w:hAnsi="Times New Roman;sans-serif"/>
          <w:b w:val="false"/>
          <w:color w:val="000000"/>
          <w:sz w:val="20"/>
        </w:rPr>
        <w:t>is any foreign exchange contract by and between Borrower and Bank under which Borrower commits to purchase from or sell to Bank a specific amount of Foreign Currency at a set price or on a specified date.</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GAAP</w:t>
      </w:r>
      <w:r>
        <w:rPr>
          <w:color w:val="000000"/>
        </w:rPr>
        <w:t xml:space="preserve">” </w:t>
      </w:r>
      <w:r>
        <w:rPr>
          <w:rFonts w:ascii="Times New Roman;sans-serif" w:hAnsi="Times New Roman;sans-serif"/>
          <w:b w:val="false"/>
          <w:color w:val="000000"/>
          <w:sz w:val="20"/>
        </w:rPr>
        <w:t>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approvedby a significant segment of the accounting profession, which are applicable to the circumstances as of the date of determination (except for with respect to unaudited financial statements for the absence of footnotes and subject to year-end audit adjustments).</w:t>
      </w:r>
    </w:p>
    <w:p>
      <w:pPr>
        <w:pStyle w:val="TextBody"/>
        <w:spacing w:before="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General Intangibles</w:t>
      </w:r>
      <w:r>
        <w:rPr>
          <w:color w:val="000000"/>
        </w:rPr>
        <w:t xml:space="preserve">” </w:t>
      </w:r>
      <w:r>
        <w:rPr>
          <w:rFonts w:ascii="Times New Roman;sans-serif" w:hAnsi="Times New Roman;sans-serif"/>
          <w:b w:val="false"/>
          <w:color w:val="000000"/>
          <w:sz w:val="20"/>
        </w:rPr>
        <w:t>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w:t>
      </w:r>
    </w:p>
    <w:p>
      <w:pPr>
        <w:pStyle w:val="TextBody"/>
        <w:spacing w:before="0" w:after="0"/>
        <w:jc w:val="both"/>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tort or otherwise), insurance policies (including without limitation key man, property damage, and business interruption insurance), payments of insurance and rights to payment of any kind.</w:t>
      </w:r>
    </w:p>
    <w:p>
      <w:pPr>
        <w:pStyle w:val="TextBody"/>
        <w:spacing w:before="10" w:after="283"/>
        <w:rPr/>
      </w:pPr>
      <w:r>
        <w:rPr/>
      </w:r>
    </w:p>
    <w:p>
      <w:pPr>
        <w:pStyle w:val="TextBody"/>
        <w:spacing w:lineRule="auto" w:line="240" w:before="1" w:after="283"/>
        <w:jc w:val="right"/>
        <w:rPr/>
      </w:pPr>
      <w:r>
        <w:rPr>
          <w:color w:val="000000"/>
        </w:rPr>
        <w:t>“</w:t>
      </w:r>
      <w:r>
        <w:rPr>
          <w:rFonts w:ascii="Times New Roman;sans-serif" w:hAnsi="Times New Roman;sans-serif"/>
          <w:b/>
          <w:color w:val="000000"/>
          <w:sz w:val="20"/>
        </w:rPr>
        <w:t>Good Faith Deposit</w:t>
      </w:r>
      <w:r>
        <w:rPr>
          <w:color w:val="000000"/>
        </w:rPr>
        <w:t xml:space="preserve">” </w:t>
      </w:r>
      <w:r>
        <w:rPr>
          <w:rFonts w:ascii="Times New Roman;sans-serif" w:hAnsi="Times New Roman;sans-serif"/>
          <w:b w:val="false"/>
          <w:color w:val="000000"/>
          <w:sz w:val="20"/>
        </w:rPr>
        <w:t>is defined in Section 1.3.</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Governmental Approval</w:t>
      </w:r>
      <w:r>
        <w:rPr>
          <w:color w:val="000000"/>
        </w:rPr>
        <w:t xml:space="preserve">” </w:t>
      </w:r>
      <w:r>
        <w:rPr>
          <w:rFonts w:ascii="Times New Roman;sans-serif" w:hAnsi="Times New Roman;sans-serif"/>
          <w:b w:val="false"/>
          <w:color w:val="000000"/>
          <w:sz w:val="20"/>
        </w:rPr>
        <w:t>is any consent, authorization, approval, order, license, franchise, permit, certificate, accreditation, registration, filing or notice, of, issued by, from or to, or other act by or in respect of, any Governmental Authority.</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Governmental Authority</w:t>
      </w:r>
      <w:r>
        <w:rPr>
          <w:color w:val="000000"/>
        </w:rPr>
        <w:t xml:space="preserve">” </w:t>
      </w:r>
      <w:r>
        <w:rPr>
          <w:rFonts w:ascii="Times New Roman;sans-serif" w:hAnsi="Times New Roman;sans-serif"/>
          <w:b w:val="false"/>
          <w:color w:val="000000"/>
          <w:sz w:val="20"/>
        </w:rPr>
        <w:t>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spacing w:lineRule="auto" w:line="655" w:before="1" w:after="283"/>
        <w:rPr/>
      </w:pPr>
      <w:r>
        <w:rPr>
          <w:color w:val="000000"/>
        </w:rPr>
        <w:t>“</w:t>
      </w:r>
      <w:r>
        <w:rPr>
          <w:rFonts w:ascii="Times New Roman;sans-serif" w:hAnsi="Times New Roman;sans-serif"/>
          <w:b/>
          <w:color w:val="000000"/>
          <w:sz w:val="20"/>
        </w:rPr>
        <w:t>Guarantor</w:t>
      </w:r>
      <w:r>
        <w:rPr>
          <w:color w:val="000000"/>
        </w:rPr>
        <w:t xml:space="preserve">” </w:t>
      </w:r>
      <w:r>
        <w:rPr>
          <w:rFonts w:ascii="Times New Roman;sans-serif" w:hAnsi="Times New Roman;sans-serif"/>
          <w:b w:val="false"/>
          <w:color w:val="000000"/>
          <w:sz w:val="20"/>
        </w:rPr>
        <w:t>is any Person providing a Guaranty in favor of Bank with respect to the Obligations. “</w:t>
      </w:r>
      <w:r>
        <w:rPr>
          <w:rFonts w:ascii="Times New Roman;sans-serif" w:hAnsi="Times New Roman;sans-serif"/>
          <w:b/>
          <w:color w:val="000000"/>
          <w:sz w:val="20"/>
        </w:rPr>
        <w:t>Guaranty</w:t>
      </w:r>
      <w:r>
        <w:rPr>
          <w:color w:val="000000"/>
        </w:rPr>
        <w:t xml:space="preserve">” </w:t>
      </w:r>
      <w:r>
        <w:rPr>
          <w:rFonts w:ascii="Times New Roman;sans-serif" w:hAnsi="Times New Roman;sans-serif"/>
          <w:b w:val="false"/>
          <w:color w:val="000000"/>
          <w:sz w:val="20"/>
        </w:rPr>
        <w:t>is any guarantee of all or any part of the Obligations, as the same may from time to time be</w:t>
      </w:r>
    </w:p>
    <w:p>
      <w:pPr>
        <w:pStyle w:val="TextBody"/>
        <w:spacing w:lineRule="auto" w:line="240" w:before="1"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amended, restated, modified or otherwise supplemented.</w:t>
      </w:r>
    </w:p>
    <w:p>
      <w:pPr>
        <w:pStyle w:val="TextBody"/>
        <w:spacing w:before="11" w:after="283"/>
        <w:rPr/>
      </w:pPr>
      <w:r>
        <w:rPr/>
      </w:r>
    </w:p>
    <w:p>
      <w:pPr>
        <w:pStyle w:val="TextBody"/>
        <w:spacing w:lineRule="auto" w:line="240" w:before="0" w:after="0"/>
        <w:ind w:left="0" w:right="0" w:firstLine="772"/>
        <w:jc w:val="both"/>
        <w:rPr/>
      </w:pPr>
      <w:r>
        <w:rPr>
          <w:color w:val="000000"/>
        </w:rPr>
        <w:t>“</w:t>
      </w:r>
      <w:r>
        <w:rPr>
          <w:rFonts w:ascii="Times New Roman;sans-serif" w:hAnsi="Times New Roman;sans-serif"/>
          <w:b/>
          <w:color w:val="000000"/>
          <w:sz w:val="20"/>
        </w:rPr>
        <w:t>Indebtedness</w:t>
      </w:r>
      <w:r>
        <w:rPr>
          <w:color w:val="000000"/>
        </w:rPr>
        <w:t xml:space="preserve">” </w:t>
      </w:r>
      <w:r>
        <w:rPr>
          <w:rFonts w:ascii="Times New Roman;sans-serif" w:hAnsi="Times New Roman;sans-serif"/>
          <w:b w:val="false"/>
          <w:color w:val="000000"/>
          <w:sz w:val="20"/>
        </w:rPr>
        <w:t xml:space="preserve">is (a) indebtedness for borrowed money or the deferred price of property or services, such as reimbursement and other obligations for surety bonds and letters of credit, (b) obligations evidenced by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2251710"/>
                <wp:effectExtent l="0" t="0" r="0" b="0"/>
                <wp:wrapNone/>
                <wp:docPr id="444" name="Frame174"/>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4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31" descr=""/>
                                          <pic:cNvPicPr>
                                            <a:picLocks noChangeAspect="1" noChangeArrowheads="1"/>
                                          </pic:cNvPicPr>
                                        </pic:nvPicPr>
                                        <pic:blipFill>
                                          <a:blip r:embed="rId23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46"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31" descr=""/>
                                    <pic:cNvPicPr>
                                      <a:picLocks noChangeAspect="1" noChangeArrowheads="1"/>
                                    </pic:cNvPicPr>
                                  </pic:nvPicPr>
                                  <pic:blipFill>
                                    <a:blip r:embed="rId237"/>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bonds, debentures or similar instruments, (c) capital lease obligations, (d) Contingent Obligations and (e) other short- and long-term obligations under debt agreements, lines of credit and extensions of credit, provided, however, that in no event shall obligations under any Permitted Call Spread Agreement constitute Indebtedness.</w:t>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0"/>
        </w:rPr>
        <w:t>Indemnified Person</w:t>
      </w:r>
      <w:r>
        <w:rPr>
          <w:color w:val="000000"/>
        </w:rPr>
        <w:t xml:space="preserve">” </w:t>
      </w:r>
      <w:r>
        <w:rPr>
          <w:rFonts w:ascii="Times New Roman;sans-serif" w:hAnsi="Times New Roman;sans-serif"/>
          <w:b w:val="false"/>
          <w:color w:val="000000"/>
          <w:sz w:val="20"/>
        </w:rPr>
        <w:t>is defined in Section 11.3.</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Indemnified Taxes</w:t>
      </w:r>
      <w:r>
        <w:rPr>
          <w:color w:val="000000"/>
        </w:rPr>
        <w:t xml:space="preserve">” </w:t>
      </w:r>
      <w:r>
        <w:rPr>
          <w:rFonts w:ascii="Times New Roman;sans-serif" w:hAnsi="Times New Roman;sans-serif"/>
          <w:b w:val="false"/>
          <w:color w:val="000000"/>
          <w:sz w:val="20"/>
        </w:rPr>
        <w:t>means (a) Taxes, other than Excluded Taxes, imposed on or with respect to any payment made by or on account of any obligation of Borrower under any Loan Document and (b) to the extent not otherwise described in clause (a), Other Taxes.</w:t>
      </w:r>
    </w:p>
    <w:p>
      <w:pPr>
        <w:pStyle w:val="TextBody"/>
        <w:spacing w:before="11" w:after="283"/>
        <w:rPr/>
      </w:pPr>
      <w:r>
        <w:rPr/>
      </w:r>
    </w:p>
    <w:p>
      <w:pPr>
        <w:pStyle w:val="TextBody"/>
        <w:spacing w:lineRule="auto" w:line="240" w:before="0" w:after="0"/>
        <w:rPr/>
      </w:pPr>
      <w:r>
        <w:rPr>
          <w:color w:val="000000"/>
        </w:rPr>
        <w:t>“</w:t>
      </w:r>
      <w:r>
        <w:rPr>
          <w:rFonts w:ascii="Times New Roman;sans-serif" w:hAnsi="Times New Roman;sans-serif"/>
          <w:b/>
          <w:color w:val="000000"/>
          <w:sz w:val="20"/>
        </w:rPr>
        <w:t>Information</w:t>
      </w:r>
      <w:r>
        <w:rPr>
          <w:color w:val="000000"/>
        </w:rPr>
        <w:t xml:space="preserve">” </w:t>
      </w:r>
      <w:r>
        <w:rPr>
          <w:rFonts w:ascii="Times New Roman;sans-serif" w:hAnsi="Times New Roman;sans-serif"/>
          <w:b w:val="false"/>
          <w:color w:val="000000"/>
          <w:sz w:val="20"/>
        </w:rPr>
        <w:t>is defined in Section 11.8.</w:t>
      </w:r>
    </w:p>
    <w:p>
      <w:pPr>
        <w:pStyle w:val="TextBody"/>
        <w:spacing w:before="10" w:after="283"/>
        <w:rPr/>
      </w:pPr>
      <w:r>
        <w:rPr/>
      </w:r>
    </w:p>
    <w:p>
      <w:pPr>
        <w:pStyle w:val="TextBody"/>
        <w:spacing w:lineRule="auto" w:line="240" w:before="1" w:after="283"/>
        <w:ind w:left="0" w:right="0" w:firstLine="720"/>
        <w:jc w:val="both"/>
        <w:rPr/>
      </w:pPr>
      <w:r>
        <w:rPr/>
        <w:drawing>
          <wp:inline distT="0" distB="63500" distL="0" distR="0">
            <wp:extent cx="5438775" cy="14605"/>
            <wp:effectExtent l="0" t="0" r="0" b="0"/>
            <wp:docPr id="447"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32" descr=""/>
                    <pic:cNvPicPr>
                      <a:picLocks noChangeAspect="1" noChangeArrowheads="1"/>
                    </pic:cNvPicPr>
                  </pic:nvPicPr>
                  <pic:blipFill>
                    <a:blip r:embed="rId238"/>
                    <a:stretch>
                      <a:fillRect/>
                    </a:stretch>
                  </pic:blipFill>
                  <pic:spPr bwMode="auto">
                    <a:xfrm>
                      <a:off x="0" y="0"/>
                      <a:ext cx="5438775" cy="14605"/>
                    </a:xfrm>
                    <a:prstGeom prst="rect">
                      <a:avLst/>
                    </a:prstGeom>
                  </pic:spPr>
                </pic:pic>
              </a:graphicData>
            </a:graphic>
          </wp:inline>
        </w:drawing>
      </w:r>
      <w:r>
        <w:rPr/>
        <w:drawing>
          <wp:inline distT="0" distB="63500" distL="0" distR="0">
            <wp:extent cx="14605" cy="285750"/>
            <wp:effectExtent l="0" t="0" r="0" b="0"/>
            <wp:docPr id="448"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33" descr=""/>
                    <pic:cNvPicPr>
                      <a:picLocks noChangeAspect="1" noChangeArrowheads="1"/>
                    </pic:cNvPicPr>
                  </pic:nvPicPr>
                  <pic:blipFill>
                    <a:blip r:embed="rId239"/>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Initial Audit</w:t>
      </w:r>
      <w:r>
        <w:rPr>
          <w:color w:val="0000FF"/>
          <w:u w:val="single"/>
        </w:rPr>
        <w:t xml:space="preserve">” </w:t>
      </w:r>
      <w:r>
        <w:rPr>
          <w:rFonts w:ascii="Times New Roman;sans-serif" w:hAnsi="Times New Roman;sans-serif"/>
          <w:b w:val="false"/>
          <w:color w:val="0000FF"/>
          <w:sz w:val="20"/>
          <w:u w:val="single"/>
        </w:rPr>
        <w:t>is Bank’s inspection of Borrower’s Accounts, the Collateral, and Borrower’s Books, with</w:t>
      </w:r>
      <w:r>
        <w:rPr>
          <w:color w:val="0000FF"/>
        </w:rPr>
        <w:t xml:space="preserve"> </w:t>
      </w:r>
      <w:r>
        <w:rPr>
          <w:rFonts w:ascii="Times New Roman;sans-serif" w:hAnsi="Times New Roman;sans-serif"/>
          <w:b w:val="false"/>
          <w:color w:val="0000FF"/>
          <w:sz w:val="20"/>
          <w:u w:val="single"/>
        </w:rPr>
        <w:t>results satisfactory to Bank in its sole discretion.</w:t>
      </w:r>
    </w:p>
    <w:p>
      <w:pPr>
        <w:pStyle w:val="TextBody"/>
        <w:spacing w:before="0" w:after="0"/>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Insolvency Proceeding</w:t>
      </w:r>
      <w:r>
        <w:rPr>
          <w:color w:val="000000"/>
        </w:rPr>
        <w:t xml:space="preserve">” </w:t>
      </w:r>
      <w:r>
        <w:rPr>
          <w:rFonts w:ascii="Times New Roman;sans-serif" w:hAnsi="Times New Roman;sans-serif"/>
          <w:b w:val="false"/>
          <w:color w:val="000000"/>
          <w:sz w:val="20"/>
        </w:rPr>
        <w:t>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Intellectual Property</w:t>
      </w:r>
      <w:r>
        <w:rPr>
          <w:color w:val="000000"/>
        </w:rPr>
        <w:t xml:space="preserve">” </w:t>
      </w:r>
      <w:r>
        <w:rPr>
          <w:rFonts w:ascii="Times New Roman;sans-serif" w:hAnsi="Times New Roman;sans-serif"/>
          <w:b w:val="false"/>
          <w:color w:val="000000"/>
          <w:sz w:val="20"/>
        </w:rPr>
        <w:t>means, with respect to any Person, all of such Person’s right, title, and interest in and to the following, whether now owned or hereafter acquired or created:</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(a)its Copyrights, Trademarks and Patents;</w:t>
      </w:r>
    </w:p>
    <w:p>
      <w:pPr>
        <w:pStyle w:val="TextBody"/>
        <w:spacing w:before="10" w:after="283"/>
        <w:rPr/>
      </w:pPr>
      <w:r>
        <w:rPr/>
      </w:r>
    </w:p>
    <w:p>
      <w:pPr>
        <w:pStyle w:val="TextBody"/>
        <w:spacing w:lineRule="auto" w:line="240"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(b)any and all trade secrets and trade secret rights, including, without limitation, any rights to unpatented inventions, know-how and operating manuals;</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(c)licenses any and all source code;</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(d)any and all design rights which may be available to such Person;</w:t>
      </w:r>
    </w:p>
    <w:p>
      <w:pPr>
        <w:pStyle w:val="TextBody"/>
        <w:spacing w:before="0" w:after="0"/>
        <w:rPr/>
      </w:pPr>
      <w:r>
        <w:rPr/>
      </w:r>
    </w:p>
    <w:p>
      <w:pPr>
        <w:pStyle w:val="TextBody"/>
        <w:spacing w:before="6"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(e)any and all claims for damages by way of past, present and future infringement of any of the foregoing, with the right, but not the obligation, to sue for and collect such damages for said use or infringement of the Intellectual Property rights identified above; and</w:t>
      </w:r>
    </w:p>
    <w:p>
      <w:pPr>
        <w:pStyle w:val="TextBody"/>
        <w:spacing w:before="1" w:after="283"/>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(f)all amendments, renewals and extensions of any of the Copyrights, Trademarks or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Patents.</w:t>
      </w:r>
    </w:p>
    <w:p>
      <w:pPr>
        <w:pStyle w:val="TextBody"/>
        <w:spacing w:before="0" w:after="0"/>
        <w:rPr/>
      </w:pPr>
      <w:r>
        <w:rPr/>
      </w:r>
    </w:p>
    <w:p>
      <w:pPr>
        <w:pStyle w:val="TextBody"/>
        <w:spacing w:lineRule="auto" w:line="240" w:before="91" w:after="283"/>
        <w:ind w:left="0" w:right="0" w:firstLine="720"/>
        <w:jc w:val="both"/>
        <w:rPr/>
      </w:pPr>
      <w:r>
        <w:rPr/>
        <w:drawing>
          <wp:inline distT="0" distB="63500" distL="0" distR="0">
            <wp:extent cx="14605" cy="876300"/>
            <wp:effectExtent l="0" t="0" r="0" b="0"/>
            <wp:docPr id="449"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34" descr=""/>
                    <pic:cNvPicPr>
                      <a:picLocks noChangeAspect="1" noChangeArrowheads="1"/>
                    </pic:cNvPicPr>
                  </pic:nvPicPr>
                  <pic:blipFill>
                    <a:blip r:embed="rId240"/>
                    <a:stretch>
                      <a:fillRect/>
                    </a:stretch>
                  </pic:blipFill>
                  <pic:spPr bwMode="auto">
                    <a:xfrm>
                      <a:off x="0" y="0"/>
                      <a:ext cx="14605" cy="87630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Interest Expense</w:t>
      </w:r>
      <w:r>
        <w:rPr>
          <w:color w:val="0000FF"/>
          <w:u w:val="single"/>
        </w:rPr>
        <w:t xml:space="preserve">” </w:t>
      </w:r>
      <w:r>
        <w:rPr>
          <w:rFonts w:ascii="Times New Roman;sans-serif" w:hAnsi="Times New Roman;sans-serif"/>
          <w:b w:val="false"/>
          <w:color w:val="0000FF"/>
          <w:sz w:val="20"/>
          <w:u w:val="single"/>
        </w:rPr>
        <w:t>means for any fiscal period, interest expense (whether cash or non-cash)</w:t>
      </w:r>
      <w:r>
        <w:rPr>
          <w:color w:val="0000FF"/>
        </w:rPr>
        <w:t xml:space="preserve"> </w:t>
      </w:r>
      <w:r>
        <w:rPr>
          <w:rFonts w:ascii="Times New Roman;sans-serif" w:hAnsi="Times New Roman;sans-serif"/>
          <w:b w:val="false"/>
          <w:color w:val="007F00"/>
          <w:sz w:val="20"/>
          <w:u w:val="single"/>
        </w:rPr>
        <w:t>determined in</w:t>
      </w:r>
      <w:r>
        <w:rPr>
          <w:color w:val="007F00"/>
        </w:rPr>
        <w:t xml:space="preserve"> </w:t>
      </w:r>
      <w:r>
        <w:rPr>
          <w:rFonts w:ascii="Times New Roman;sans-serif" w:hAnsi="Times New Roman;sans-serif"/>
          <w:b w:val="false"/>
          <w:color w:val="007F00"/>
          <w:sz w:val="20"/>
          <w:u w:val="single"/>
        </w:rPr>
        <w:t>accordance with GAAP</w:t>
      </w:r>
      <w:r>
        <w:rPr>
          <w:color w:val="007F00"/>
        </w:rPr>
        <w:t xml:space="preserve"> </w:t>
      </w:r>
      <w:r>
        <w:rPr>
          <w:rFonts w:ascii="Times New Roman;sans-serif" w:hAnsi="Times New Roman;sans-serif"/>
          <w:b w:val="false"/>
          <w:color w:val="0000FF"/>
          <w:sz w:val="20"/>
          <w:u w:val="single"/>
        </w:rPr>
        <w:t>for the relevant period ending on such date, including, in any event, interest expense with</w:t>
      </w:r>
      <w:r>
        <w:rPr>
          <w:color w:val="0000FF"/>
        </w:rPr>
        <w:t xml:space="preserve"> </w:t>
      </w:r>
      <w:r>
        <w:rPr>
          <w:rFonts w:ascii="Times New Roman;sans-serif" w:hAnsi="Times New Roman;sans-serif"/>
          <w:b w:val="false"/>
          <w:color w:val="0000FF"/>
          <w:sz w:val="20"/>
          <w:u w:val="single"/>
        </w:rPr>
        <w:t>respect to any Credit Extension and other Indebtedness of Borrower and its Subsidiaries, including, without</w:t>
      </w:r>
      <w:r>
        <w:rPr>
          <w:color w:val="0000FF"/>
        </w:rPr>
        <w:t xml:space="preserve"> </w:t>
      </w:r>
      <w:r>
        <w:rPr>
          <w:rFonts w:ascii="Times New Roman;sans-serif" w:hAnsi="Times New Roman;sans-serif"/>
          <w:b w:val="false"/>
          <w:color w:val="0000FF"/>
          <w:sz w:val="20"/>
          <w:u w:val="single"/>
        </w:rPr>
        <w:t>limitation or duplication, all commissions, discounts, or related amortization and other fees and charges with respect</w:t>
      </w:r>
      <w:r>
        <w:rPr>
          <w:color w:val="0000FF"/>
        </w:rPr>
        <w:t xml:space="preserve"> </w:t>
      </w:r>
      <w:r>
        <w:rPr>
          <w:rFonts w:ascii="Times New Roman;sans-serif" w:hAnsi="Times New Roman;sans-serif"/>
          <w:b w:val="false"/>
          <w:color w:val="0000FF"/>
          <w:sz w:val="20"/>
          <w:u w:val="single"/>
        </w:rPr>
        <w:t>to letters of credit and bankers’ acceptance financing and the net costs associated with interest rate swap, cap, and</w:t>
      </w:r>
      <w:r>
        <w:rPr>
          <w:color w:val="0000FF"/>
        </w:rPr>
        <w:t xml:space="preserve"> </w:t>
      </w:r>
      <w:r>
        <w:rPr>
          <w:rFonts w:ascii="Times New Roman;sans-serif" w:hAnsi="Times New Roman;sans-serif"/>
          <w:b w:val="false"/>
          <w:color w:val="0000FF"/>
          <w:sz w:val="20"/>
          <w:u w:val="single"/>
        </w:rPr>
        <w:t>similar arrangements, and the interest portion of any deferred payment obligation (including leases of all types).</w:t>
      </w:r>
    </w:p>
    <w:p>
      <w:pPr>
        <w:pStyle w:val="TextBody"/>
        <w:spacing w:before="2" w:after="283"/>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Internal Revenue Code</w:t>
      </w:r>
      <w:r>
        <w:rPr>
          <w:color w:val="000000"/>
        </w:rPr>
        <w:t xml:space="preserve">” </w:t>
      </w:r>
      <w:r>
        <w:rPr>
          <w:rFonts w:ascii="Times New Roman;sans-serif" w:hAnsi="Times New Roman;sans-serif"/>
          <w:b w:val="false"/>
          <w:color w:val="000000"/>
          <w:sz w:val="20"/>
        </w:rPr>
        <w:t>means the U.S. Internal Revenue Code of 1986, and the rules and regulations promulgated thereunder, each as amended or modified from time to time.</w:t>
      </w:r>
    </w:p>
    <w:p>
      <w:pPr>
        <w:pStyle w:val="TextBody"/>
        <w:spacing w:before="1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Inventory</w:t>
      </w:r>
      <w:r>
        <w:rPr>
          <w:color w:val="000000"/>
        </w:rPr>
        <w:t xml:space="preserve">” </w:t>
      </w:r>
      <w:r>
        <w:rPr>
          <w:rFonts w:ascii="Times New Roman;sans-serif" w:hAnsi="Times New Roman;sans-serif"/>
          <w:b w:val="false"/>
          <w:color w:val="000000"/>
          <w:sz w:val="20"/>
        </w:rPr>
        <w:t>is all “</w:t>
      </w:r>
      <w:r>
        <w:rPr>
          <w:rFonts w:ascii="Times New Roman;sans-serif" w:hAnsi="Times New Roman;sans-serif"/>
          <w:b/>
          <w:color w:val="000000"/>
          <w:sz w:val="20"/>
        </w:rPr>
        <w:t>inventory</w:t>
      </w:r>
      <w:r>
        <w:rPr>
          <w:color w:val="000000"/>
        </w:rPr>
        <w:t xml:space="preserve">” </w:t>
      </w:r>
      <w:r>
        <w:rPr>
          <w:rFonts w:ascii="Times New Roman;sans-serif" w:hAnsi="Times New Roman;sans-serif"/>
          <w:b w:val="false"/>
          <w:color w:val="000000"/>
          <w:sz w:val="20"/>
        </w:rPr>
        <w:t>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2251710"/>
                <wp:effectExtent l="0" t="0" r="0" b="0"/>
                <wp:wrapNone/>
                <wp:docPr id="450" name="Frame175"/>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51"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35" descr=""/>
                                          <pic:cNvPicPr>
                                            <a:picLocks noChangeAspect="1" noChangeArrowheads="1"/>
                                          </pic:cNvPicPr>
                                        </pic:nvPicPr>
                                        <pic:blipFill>
                                          <a:blip r:embed="rId24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52"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35" descr=""/>
                                    <pic:cNvPicPr>
                                      <a:picLocks noChangeAspect="1" noChangeArrowheads="1"/>
                                    </pic:cNvPicPr>
                                  </pic:nvPicPr>
                                  <pic:blipFill>
                                    <a:blip r:embed="rId24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Investment</w:t>
      </w:r>
      <w:r>
        <w:rPr>
          <w:color w:val="000000"/>
        </w:rPr>
        <w:t xml:space="preserve">” </w:t>
      </w:r>
      <w:r>
        <w:rPr>
          <w:rFonts w:ascii="Times New Roman;sans-serif" w:hAnsi="Times New Roman;sans-serif"/>
          <w:b w:val="false"/>
          <w:color w:val="000000"/>
          <w:sz w:val="20"/>
        </w:rPr>
        <w:t>is any beneficial ownership interest in any Person (including stock, partnership, membership, or other ownership interest or other equity securities), and any loan, advance or capital contribution to any Person.</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Key Person</w:t>
      </w:r>
      <w:r>
        <w:rPr>
          <w:color w:val="000000"/>
        </w:rPr>
        <w:t xml:space="preserve">” </w:t>
      </w:r>
      <w:r>
        <w:rPr>
          <w:rFonts w:ascii="Times New Roman;sans-serif" w:hAnsi="Times New Roman;sans-serif"/>
          <w:b w:val="false"/>
          <w:color w:val="000000"/>
          <w:sz w:val="20"/>
        </w:rPr>
        <w:t>is each of Borrower’s (i) Chief Executive Officer, and (ii) Chief Financial Officer, as of the Effective Date.</w:t>
      </w:r>
    </w:p>
    <w:p>
      <w:pPr>
        <w:pStyle w:val="TextBody"/>
        <w:spacing w:before="10"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Letter of Credit</w:t>
      </w:r>
      <w:r>
        <w:rPr>
          <w:color w:val="000000"/>
        </w:rPr>
        <w:t xml:space="preserve">” </w:t>
      </w:r>
      <w:r>
        <w:rPr>
          <w:rFonts w:ascii="Times New Roman;sans-serif" w:hAnsi="Times New Roman;sans-serif"/>
          <w:b w:val="false"/>
          <w:color w:val="000000"/>
          <w:sz w:val="20"/>
        </w:rPr>
        <w:t>is a standby or commercial letter of credit issued by Bank upon request of Borrower based upon an application, guarantee, indemnity, or similar agreement.</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Lien</w:t>
      </w:r>
      <w:r>
        <w:rPr>
          <w:color w:val="000000"/>
        </w:rPr>
        <w:t xml:space="preserve">” </w:t>
      </w:r>
      <w:r>
        <w:rPr>
          <w:rFonts w:ascii="Times New Roman;sans-serif" w:hAnsi="Times New Roman;sans-serif"/>
          <w:b w:val="false"/>
          <w:color w:val="000000"/>
          <w:sz w:val="20"/>
        </w:rPr>
        <w:t>is a claim, mortgage, deed of trust, levy, attachment charge, pledge, hypothecation, security interest or other encumbrance of any kind, whether voluntarily incurred or arising by operation of law or otherwise against any property.</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Loan Documents</w:t>
      </w:r>
      <w:r>
        <w:rPr>
          <w:color w:val="000000"/>
        </w:rPr>
        <w:t xml:space="preserve">” </w:t>
      </w:r>
      <w:r>
        <w:rPr>
          <w:rFonts w:ascii="Times New Roman;sans-serif" w:hAnsi="Times New Roman;sans-serif"/>
          <w:b w:val="false"/>
          <w:color w:val="000000"/>
          <w:sz w:val="20"/>
        </w:rPr>
        <w:t>are, collectively, this Agreement and any schedules, exhibits, certificates, notices, and any other documents related to this Agreement, the Perfection Certificate, the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pStyle w:val="TextBody"/>
        <w:spacing w:before="1"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Material Adverse Change</w:t>
      </w:r>
      <w:r>
        <w:rPr>
          <w:color w:val="000000"/>
        </w:rPr>
        <w:t xml:space="preserve">” </w:t>
      </w:r>
      <w:r>
        <w:rPr>
          <w:rFonts w:ascii="Times New Roman;sans-serif" w:hAnsi="Times New Roman;sans-serif"/>
          <w:b w:val="false"/>
          <w:color w:val="000000"/>
          <w:sz w:val="20"/>
        </w:rPr>
        <w:t>is (a) a material impairment in the perfection or priority of Bank’s Lien in the Collateral or in the value of such Collateral; (b) a material adverse change in the business, operations, or condition (financial or otherwise) of Borrower; or (c) a material impairment of the prospect of repayment of any portion of the Obligations when such Obligations are due.</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Net Income</w:t>
      </w:r>
      <w:r>
        <w:rPr>
          <w:color w:val="000000"/>
        </w:rPr>
        <w:t xml:space="preserve">” </w:t>
      </w:r>
      <w:r>
        <w:rPr>
          <w:rFonts w:ascii="Times New Roman;sans-serif" w:hAnsi="Times New Roman;sans-serif"/>
          <w:b w:val="false"/>
          <w:color w:val="000000"/>
          <w:sz w:val="20"/>
        </w:rPr>
        <w:t>means, as calculated on a consolidated basis for Borrower and its Subsidiaries for any period as at any date of determination, the net profit (or loss), after provision for taxes, of Borrower and its Subsidiaries for such period taken as a single accounting period.</w:t>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rPr/>
      </w:pPr>
      <w:r>
        <w:rPr/>
        <w:drawing>
          <wp:inline distT="0" distB="63500" distL="0" distR="0">
            <wp:extent cx="5457825" cy="14605"/>
            <wp:effectExtent l="0" t="0" r="0" b="0"/>
            <wp:docPr id="453"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36" descr=""/>
                    <pic:cNvPicPr>
                      <a:picLocks noChangeAspect="1" noChangeArrowheads="1"/>
                    </pic:cNvPicPr>
                  </pic:nvPicPr>
                  <pic:blipFill>
                    <a:blip r:embed="rId242"/>
                    <a:stretch>
                      <a:fillRect/>
                    </a:stretch>
                  </pic:blipFill>
                  <pic:spPr bwMode="auto">
                    <a:xfrm>
                      <a:off x="0" y="0"/>
                      <a:ext cx="5457825" cy="14605"/>
                    </a:xfrm>
                    <a:prstGeom prst="rect">
                      <a:avLst/>
                    </a:prstGeom>
                  </pic:spPr>
                </pic:pic>
              </a:graphicData>
            </a:graphic>
          </wp:inline>
        </w:drawing>
      </w:r>
      <w:r>
        <w:rPr/>
        <w:drawing>
          <wp:inline distT="0" distB="63500" distL="0" distR="0">
            <wp:extent cx="14605" cy="285750"/>
            <wp:effectExtent l="0" t="0" r="0" b="0"/>
            <wp:docPr id="454"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37" descr=""/>
                    <pic:cNvPicPr>
                      <a:picLocks noChangeAspect="1" noChangeArrowheads="1"/>
                    </pic:cNvPicPr>
                  </pic:nvPicPr>
                  <pic:blipFill>
                    <a:blip r:embed="rId243"/>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Net Revenue</w:t>
      </w:r>
      <w:r>
        <w:rPr>
          <w:color w:val="0000FF"/>
          <w:u w:val="single"/>
        </w:rPr>
        <w:t xml:space="preserve">” </w:t>
      </w:r>
      <w:r>
        <w:rPr>
          <w:rFonts w:ascii="Times New Roman;sans-serif" w:hAnsi="Times New Roman;sans-serif"/>
          <w:b w:val="false"/>
          <w:color w:val="0000FF"/>
          <w:sz w:val="20"/>
          <w:u w:val="single"/>
        </w:rPr>
        <w:t>means, for any period as of any date of determination, Borrower’s net revenue calculated in</w:t>
      </w:r>
      <w:r>
        <w:rPr>
          <w:color w:val="0000FF"/>
        </w:rPr>
        <w:t xml:space="preserve"> </w:t>
      </w:r>
      <w:r>
        <w:rPr>
          <w:rFonts w:ascii="Times New Roman;sans-serif" w:hAnsi="Times New Roman;sans-serif"/>
          <w:b w:val="false"/>
          <w:color w:val="0000FF"/>
          <w:sz w:val="20"/>
          <w:u w:val="single"/>
        </w:rPr>
        <w:t>accordance with GAAP.</w:t>
      </w:r>
    </w:p>
    <w:p>
      <w:pPr>
        <w:pStyle w:val="TextBody"/>
        <w:spacing w:before="0" w:after="0"/>
        <w:rPr/>
      </w:pPr>
      <w:r>
        <w:rPr/>
      </w:r>
    </w:p>
    <w:p>
      <w:pPr>
        <w:pStyle w:val="TextBody"/>
        <w:spacing w:lineRule="auto" w:line="240" w:before="91" w:after="283"/>
        <w:ind w:left="0" w:right="0" w:firstLine="720"/>
        <w:jc w:val="both"/>
        <w:rPr/>
      </w:pPr>
      <w:r>
        <w:rPr/>
        <w:drawing>
          <wp:inline distT="0" distB="63500" distL="0" distR="0">
            <wp:extent cx="14605" cy="142875"/>
            <wp:effectExtent l="0" t="0" r="0" b="0"/>
            <wp:docPr id="455"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38" descr=""/>
                    <pic:cNvPicPr>
                      <a:picLocks noChangeAspect="1" noChangeArrowheads="1"/>
                    </pic:cNvPicPr>
                  </pic:nvPicPr>
                  <pic:blipFill>
                    <a:blip r:embed="rId244"/>
                    <a:stretch>
                      <a:fillRect/>
                    </a:stretch>
                  </pic:blipFill>
                  <pic:spPr bwMode="auto">
                    <a:xfrm>
                      <a:off x="0" y="0"/>
                      <a:ext cx="14605" cy="142875"/>
                    </a:xfrm>
                    <a:prstGeom prst="rect">
                      <a:avLst/>
                    </a:prstGeom>
                  </pic:spPr>
                </pic:pic>
              </a:graphicData>
            </a:graphic>
          </wp:inline>
        </w:drawing>
      </w:r>
      <w:r>
        <w:rPr>
          <w:color w:val="000000"/>
        </w:rPr>
        <w:t>“</w:t>
      </w:r>
      <w:r>
        <w:rPr>
          <w:rFonts w:ascii="Times New Roman;sans-serif" w:hAnsi="Times New Roman;sans-serif"/>
          <w:b/>
          <w:color w:val="000000"/>
          <w:sz w:val="20"/>
        </w:rPr>
        <w:t>Obligations</w:t>
      </w:r>
      <w:r>
        <w:rPr>
          <w:color w:val="000000"/>
        </w:rPr>
        <w:t xml:space="preserve">” </w:t>
      </w:r>
      <w:r>
        <w:rPr>
          <w:rFonts w:ascii="Times New Roman;sans-serif" w:hAnsi="Times New Roman;sans-serif"/>
          <w:b w:val="false"/>
          <w:color w:val="000000"/>
          <w:sz w:val="20"/>
        </w:rPr>
        <w:t>are Borrower’s obligations to pay when due any debts, principal, interest, fees, Bank Expenses</w:t>
      </w:r>
      <w:r>
        <w:rPr>
          <w:rFonts w:ascii="Times New Roman;sans-serif" w:hAnsi="Times New Roman;sans-serif"/>
          <w:b w:val="false"/>
          <w:color w:val="0000FF"/>
          <w:sz w:val="20"/>
          <w:u w:val="single"/>
        </w:rPr>
        <w:t>, the Termination Fee (if applicable), the Revolving Line Commitment Fee</w:t>
      </w:r>
      <w:r>
        <w:rPr>
          <w:rFonts w:ascii="Times New Roman;sans-serif" w:hAnsi="Times New Roman;sans-serif"/>
          <w:b w:val="false"/>
          <w:color w:val="000000"/>
          <w:sz w:val="20"/>
        </w:rPr>
        <w:t>, the Prepayment Fee (if applicable), the Final Payment, and other amounts Borrower owes Bank now or later, whether under this Agreement, or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 (but in all cases excluding any equity interests of Bank and/or its Affiliates in Borrower).</w:t>
      </w:r>
    </w:p>
    <w:p>
      <w:pPr>
        <w:pStyle w:val="TextBody"/>
        <w:spacing w:before="1"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OFAC</w:t>
      </w:r>
      <w:r>
        <w:rPr>
          <w:color w:val="000000"/>
        </w:rPr>
        <w:t xml:space="preserve">” </w:t>
      </w:r>
      <w:r>
        <w:rPr>
          <w:rFonts w:ascii="Times New Roman;sans-serif" w:hAnsi="Times New Roman;sans-serif"/>
          <w:b w:val="false"/>
          <w:color w:val="000000"/>
          <w:sz w:val="20"/>
        </w:rPr>
        <w:t>is the Office of Foreign Assets Control of the United States Department of the Treasury and any successor thereto.</w:t>
      </w:r>
    </w:p>
    <w:p>
      <w:pPr>
        <w:pStyle w:val="TextBody"/>
        <w:spacing w:before="10" w:after="283"/>
        <w:rPr/>
      </w:pPr>
      <w:r>
        <w:rPr/>
      </w:r>
    </w:p>
    <w:p>
      <w:pPr>
        <w:pStyle w:val="TextBody"/>
        <w:spacing w:lineRule="auto" w:line="240" w:before="0" w:after="0"/>
        <w:ind w:left="0" w:right="0" w:firstLine="720"/>
        <w:jc w:val="both"/>
        <w:rPr/>
      </w:pPr>
      <w:r>
        <w:rPr/>
        <w:drawing>
          <wp:inline distT="0" distB="63500" distL="0" distR="0">
            <wp:extent cx="14605" cy="142875"/>
            <wp:effectExtent l="0" t="0" r="0" b="0"/>
            <wp:docPr id="456"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39" descr=""/>
                    <pic:cNvPicPr>
                      <a:picLocks noChangeAspect="1" noChangeArrowheads="1"/>
                    </pic:cNvPicPr>
                  </pic:nvPicPr>
                  <pic:blipFill>
                    <a:blip r:embed="rId245"/>
                    <a:stretch>
                      <a:fillRect/>
                    </a:stretch>
                  </pic:blipFill>
                  <pic:spPr bwMode="auto">
                    <a:xfrm>
                      <a:off x="0" y="0"/>
                      <a:ext cx="14605" cy="142875"/>
                    </a:xfrm>
                    <a:prstGeom prst="rect">
                      <a:avLst/>
                    </a:prstGeom>
                  </pic:spPr>
                </pic:pic>
              </a:graphicData>
            </a:graphic>
          </wp:inline>
        </w:drawing>
      </w:r>
      <w:r>
        <w:rPr>
          <w:color w:val="000000"/>
        </w:rPr>
        <w:t>“</w:t>
      </w:r>
      <w:r>
        <w:rPr>
          <w:rFonts w:ascii="Times New Roman;sans-serif" w:hAnsi="Times New Roman;sans-serif"/>
          <w:b/>
          <w:color w:val="000000"/>
          <w:sz w:val="20"/>
        </w:rPr>
        <w:t>Operating Documents</w:t>
      </w:r>
      <w:r>
        <w:rPr>
          <w:color w:val="000000"/>
        </w:rPr>
        <w:t xml:space="preserve">” </w:t>
      </w:r>
      <w:r>
        <w:rPr>
          <w:rFonts w:ascii="Times New Roman;sans-serif" w:hAnsi="Times New Roman;sans-serif"/>
          <w:b w:val="false"/>
          <w:color w:val="000000"/>
          <w:sz w:val="20"/>
        </w:rPr>
        <w:t xml:space="preserve">are, for any Person, such Person’s formation documents, as certified by the Secretary of State (or equivalent agency) of such Person’s jurisdiction of organization on a date that is no earlier than thirty (30) days prior to the </w:t>
      </w:r>
      <w:r>
        <w:rPr>
          <w:rFonts w:ascii="Times New Roman;sans-serif" w:hAnsi="Times New Roman;sans-serif"/>
          <w:b w:val="false"/>
          <w:color w:val="0000FF"/>
          <w:sz w:val="20"/>
          <w:u w:val="single"/>
        </w:rPr>
        <w:t>First Amendment</w:t>
      </w:r>
      <w:r>
        <w:rPr>
          <w:color w:val="0000FF"/>
        </w:rPr>
        <w:t xml:space="preserve"> </w:t>
      </w:r>
      <w:r>
        <w:rPr>
          <w:rFonts w:ascii="Times New Roman;sans-serif" w:hAnsi="Times New Roman;sans-serif"/>
          <w:b w:val="false"/>
          <w:color w:val="000000"/>
          <w:sz w:val="20"/>
        </w:rPr>
        <w:t>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w:t>
      </w:r>
    </w:p>
    <w:p>
      <w:pPr>
        <w:pStyle w:val="TextBody"/>
        <w:spacing w:before="2"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Other Connection Taxes</w:t>
      </w:r>
      <w:r>
        <w:rPr>
          <w:color w:val="000000"/>
        </w:rPr>
        <w:t xml:space="preserve">” </w:t>
      </w:r>
      <w:r>
        <w:rPr>
          <w:rFonts w:ascii="Times New Roman;sans-serif" w:hAnsi="Times New Roman;sans-serif"/>
          <w:b w:val="false"/>
          <w:color w:val="000000"/>
          <w:sz w:val="20"/>
        </w:rPr>
        <w:t>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251710"/>
                <wp:effectExtent l="0" t="0" r="0" b="0"/>
                <wp:wrapNone/>
                <wp:docPr id="457" name="Frame176"/>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5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40" descr=""/>
                                          <pic:cNvPicPr>
                                            <a:picLocks noChangeAspect="1" noChangeArrowheads="1"/>
                                          </pic:cNvPicPr>
                                        </pic:nvPicPr>
                                        <pic:blipFill>
                                          <a:blip r:embed="rId24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5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40" descr=""/>
                                    <pic:cNvPicPr>
                                      <a:picLocks noChangeAspect="1" noChangeArrowheads="1"/>
                                    </pic:cNvPicPr>
                                  </pic:nvPicPr>
                                  <pic:blipFill>
                                    <a:blip r:embed="rId24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Other Taxes</w:t>
      </w:r>
      <w:r>
        <w:rPr>
          <w:color w:val="000000"/>
        </w:rPr>
        <w:t xml:space="preserve">” </w:t>
      </w:r>
      <w:r>
        <w:rPr>
          <w:rFonts w:ascii="Times New Roman;sans-serif" w:hAnsi="Times New Roman;sans-serif"/>
          <w:b w:val="false"/>
          <w:color w:val="000000"/>
          <w:sz w:val="20"/>
        </w:rPr>
        <w:t>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pStyle w:val="TextBody"/>
        <w:spacing w:before="0" w:after="0"/>
        <w:rPr/>
      </w:pPr>
      <w:r>
        <w:rPr/>
      </w:r>
    </w:p>
    <w:p>
      <w:pPr>
        <w:pStyle w:val="TextBody"/>
        <w:spacing w:lineRule="auto" w:line="240" w:before="1" w:after="283"/>
        <w:rPr/>
      </w:pPr>
      <w:r>
        <w:rPr/>
        <w:drawing>
          <wp:inline distT="0" distB="63500" distL="0" distR="0">
            <wp:extent cx="14605" cy="142875"/>
            <wp:effectExtent l="0" t="0" r="0" b="0"/>
            <wp:docPr id="460"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41" descr=""/>
                    <pic:cNvPicPr>
                      <a:picLocks noChangeAspect="1" noChangeArrowheads="1"/>
                    </pic:cNvPicPr>
                  </pic:nvPicPr>
                  <pic:blipFill>
                    <a:blip r:embed="rId247"/>
                    <a:stretch>
                      <a:fillRect/>
                    </a:stretch>
                  </pic:blipFill>
                  <pic:spPr bwMode="auto">
                    <a:xfrm>
                      <a:off x="0" y="0"/>
                      <a:ext cx="14605" cy="14287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Overadvance</w:t>
      </w:r>
      <w:r>
        <w:rPr>
          <w:color w:val="0000FF"/>
          <w:u w:val="single"/>
        </w:rPr>
        <w:t xml:space="preserve">” </w:t>
      </w:r>
      <w:r>
        <w:rPr>
          <w:rFonts w:ascii="Times New Roman;sans-serif" w:hAnsi="Times New Roman;sans-serif"/>
          <w:b w:val="false"/>
          <w:color w:val="0000FF"/>
          <w:sz w:val="20"/>
          <w:u w:val="single"/>
        </w:rPr>
        <w:t>is defined in Section 1.1.B.</w:t>
      </w:r>
    </w:p>
    <w:p>
      <w:pPr>
        <w:pStyle w:val="TextBody"/>
        <w:spacing w:before="0" w:after="0"/>
        <w:rPr/>
      </w:pPr>
      <w:r>
        <w:rPr/>
      </w:r>
    </w:p>
    <w:p>
      <w:pPr>
        <w:pStyle w:val="TextBody"/>
        <w:spacing w:lineRule="auto" w:line="240" w:before="91" w:after="283"/>
        <w:ind w:left="0" w:right="0" w:firstLine="720"/>
        <w:rPr/>
      </w:pPr>
      <w:r>
        <w:rPr>
          <w:color w:val="000000"/>
        </w:rPr>
        <w:t>“</w:t>
      </w:r>
      <w:r>
        <w:rPr>
          <w:rFonts w:ascii="Times New Roman;sans-serif" w:hAnsi="Times New Roman;sans-serif"/>
          <w:b/>
          <w:color w:val="000000"/>
          <w:sz w:val="20"/>
        </w:rPr>
        <w:t>Patents</w:t>
      </w:r>
      <w:r>
        <w:rPr>
          <w:color w:val="000000"/>
        </w:rPr>
        <w:t xml:space="preserve">” </w:t>
      </w:r>
      <w:r>
        <w:rPr>
          <w:rFonts w:ascii="Times New Roman;sans-serif" w:hAnsi="Times New Roman;sans-serif"/>
          <w:b w:val="false"/>
          <w:color w:val="000000"/>
          <w:sz w:val="20"/>
        </w:rPr>
        <w:t>means all patents, patent applications and like protections including without limitation improvements, divisions, continuations, renewals, reissues, extensions and continuations-in-part of the same.</w:t>
      </w:r>
    </w:p>
    <w:p>
      <w:pPr>
        <w:pStyle w:val="TextBody"/>
        <w:spacing w:before="10" w:after="283"/>
        <w:rPr/>
      </w:pPr>
      <w:r>
        <w:rPr/>
      </w:r>
    </w:p>
    <w:p>
      <w:pPr>
        <w:pStyle w:val="TextBody"/>
        <w:spacing w:lineRule="auto" w:line="568" w:before="0" w:after="0"/>
        <w:rPr/>
      </w:pPr>
      <w:r>
        <w:rPr/>
        <w:drawing>
          <wp:inline distT="0" distB="63500" distL="0" distR="0">
            <wp:extent cx="14605" cy="285750"/>
            <wp:effectExtent l="0" t="0" r="0" b="0"/>
            <wp:docPr id="461"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42" descr=""/>
                    <pic:cNvPicPr>
                      <a:picLocks noChangeAspect="1" noChangeArrowheads="1"/>
                    </pic:cNvPicPr>
                  </pic:nvPicPr>
                  <pic:blipFill>
                    <a:blip r:embed="rId248"/>
                    <a:stretch>
                      <a:fillRect/>
                    </a:stretch>
                  </pic:blipFill>
                  <pic:spPr bwMode="auto">
                    <a:xfrm>
                      <a:off x="0" y="0"/>
                      <a:ext cx="14605" cy="285750"/>
                    </a:xfrm>
                    <a:prstGeom prst="rect">
                      <a:avLst/>
                    </a:prstGeom>
                  </pic:spPr>
                </pic:pic>
              </a:graphicData>
            </a:graphic>
          </wp:inline>
        </w:drawing>
      </w:r>
      <w:r>
        <w:rPr>
          <w:color w:val="000000"/>
        </w:rPr>
        <w:t>“</w:t>
      </w:r>
      <w:r>
        <w:rPr>
          <w:rFonts w:ascii="Times New Roman;sans-serif" w:hAnsi="Times New Roman;sans-serif"/>
          <w:b/>
          <w:color w:val="000000"/>
          <w:sz w:val="20"/>
        </w:rPr>
        <w:t>Payment/Advance Form</w:t>
      </w:r>
      <w:r>
        <w:rPr>
          <w:color w:val="000000"/>
        </w:rPr>
        <w:t xml:space="preserve">” </w:t>
      </w:r>
      <w:r>
        <w:rPr>
          <w:rFonts w:ascii="Times New Roman;sans-serif" w:hAnsi="Times New Roman;sans-serif"/>
          <w:b w:val="false"/>
          <w:color w:val="000000"/>
          <w:sz w:val="20"/>
        </w:rPr>
        <w:t>is that certain form in the form attached hereto as Exhibit B. “</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is set forth on Schedule I hereto.</w:t>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Perfection Certificate</w:t>
      </w:r>
      <w:r>
        <w:rPr>
          <w:color w:val="000000"/>
        </w:rPr>
        <w:t xml:space="preserve">” </w:t>
      </w:r>
      <w:r>
        <w:rPr>
          <w:rFonts w:ascii="Times New Roman;sans-serif" w:hAnsi="Times New Roman;sans-serif"/>
          <w:b w:val="false"/>
          <w:color w:val="000000"/>
          <w:sz w:val="20"/>
        </w:rPr>
        <w:t xml:space="preserve">is the </w:t>
      </w:r>
      <w:r>
        <w:rPr>
          <w:rFonts w:ascii="Times New Roman;sans-serif" w:hAnsi="Times New Roman;sans-serif"/>
          <w:b w:val="false"/>
          <w:color w:val="0000FF"/>
          <w:sz w:val="20"/>
          <w:u w:val="single"/>
        </w:rPr>
        <w:t>updated</w:t>
      </w:r>
      <w:r>
        <w:rPr>
          <w:color w:val="0000FF"/>
        </w:rPr>
        <w:t xml:space="preserve"> </w:t>
      </w:r>
      <w:r>
        <w:rPr>
          <w:rFonts w:ascii="Times New Roman;sans-serif" w:hAnsi="Times New Roman;sans-serif"/>
          <w:b w:val="false"/>
          <w:color w:val="000000"/>
          <w:sz w:val="20"/>
        </w:rPr>
        <w:t xml:space="preserve">Perfection Certificate delivered by Borrower </w:t>
      </w:r>
      <w:r>
        <w:rPr>
          <w:rFonts w:ascii="Times New Roman;sans-serif" w:hAnsi="Times New Roman;sans-serif"/>
          <w:b w:val="false"/>
          <w:color w:val="0000FF"/>
          <w:sz w:val="20"/>
          <w:u w:val="single"/>
        </w:rPr>
        <w:t>on or around the First</w:t>
      </w:r>
      <w:r>
        <w:rPr>
          <w:color w:val="0000FF"/>
        </w:rPr>
        <w:t xml:space="preserve"> </w:t>
      </w:r>
      <w:r>
        <w:rPr>
          <w:rFonts w:ascii="Times New Roman;sans-serif" w:hAnsi="Times New Roman;sans-serif"/>
          <w:b w:val="false"/>
          <w:color w:val="0000FF"/>
          <w:sz w:val="20"/>
          <w:u w:val="single"/>
        </w:rPr>
        <w:t>Amendment Effective Date</w:t>
      </w:r>
      <w:r>
        <w:rPr>
          <w:color w:val="0000FF"/>
        </w:rPr>
        <w:t xml:space="preserve"> </w:t>
      </w:r>
      <w:r>
        <w:rPr>
          <w:rFonts w:ascii="Times New Roman;sans-serif" w:hAnsi="Times New Roman;sans-serif"/>
          <w:b w:val="false"/>
          <w:color w:val="000000"/>
          <w:sz w:val="20"/>
        </w:rPr>
        <w:t>in connection with this Agreement.</w:t>
      </w:r>
    </w:p>
    <w:p>
      <w:pPr>
        <w:pStyle w:val="TextBody"/>
        <w:spacing w:before="10" w:after="283"/>
        <w:rPr/>
      </w:pPr>
      <w:r>
        <w:rPr/>
      </w:r>
    </w:p>
    <w:p>
      <w:pPr>
        <w:pStyle w:val="TextBody"/>
        <w:spacing w:lineRule="auto" w:line="240" w:before="91" w:after="283"/>
        <w:ind w:left="0" w:right="0" w:firstLine="720"/>
        <w:rPr/>
      </w:pPr>
      <w:r>
        <w:rPr/>
        <w:drawing>
          <wp:inline distT="0" distB="63500" distL="0" distR="0">
            <wp:extent cx="14605" cy="581025"/>
            <wp:effectExtent l="0" t="0" r="0" b="0"/>
            <wp:docPr id="462"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43" descr=""/>
                    <pic:cNvPicPr>
                      <a:picLocks noChangeAspect="1" noChangeArrowheads="1"/>
                    </pic:cNvPicPr>
                  </pic:nvPicPr>
                  <pic:blipFill>
                    <a:blip r:embed="rId249"/>
                    <a:stretch>
                      <a:fillRect/>
                    </a:stretch>
                  </pic:blipFill>
                  <pic:spPr bwMode="auto">
                    <a:xfrm>
                      <a:off x="0" y="0"/>
                      <a:ext cx="14605" cy="581025"/>
                    </a:xfrm>
                    <a:prstGeom prst="rect">
                      <a:avLst/>
                    </a:prstGeom>
                  </pic:spPr>
                </pic:pic>
              </a:graphicData>
            </a:graphic>
          </wp:inline>
        </w:drawing>
      </w:r>
      <w:r>
        <w:rPr>
          <w:strike/>
          <w:color w:val="FF0000"/>
        </w:rPr>
        <w:t>“</w:t>
      </w:r>
      <w:r>
        <w:rPr>
          <w:rFonts w:ascii="Times New Roman;sans-serif" w:hAnsi="Times New Roman;sans-serif"/>
          <w:b/>
          <w:strike/>
          <w:color w:val="FF0000"/>
          <w:sz w:val="20"/>
        </w:rPr>
        <w:t>Performance Milestone</w:t>
      </w:r>
      <w:r>
        <w:rPr>
          <w:strike/>
          <w:color w:val="FF0000"/>
        </w:rPr>
        <w:t xml:space="preserve">” </w:t>
      </w:r>
      <w:r>
        <w:rPr>
          <w:rFonts w:ascii="Times New Roman;sans-serif" w:hAnsi="Times New Roman;sans-serif"/>
          <w:b w:val="false"/>
          <w:strike/>
          <w:color w:val="FF0000"/>
          <w:sz w:val="20"/>
        </w:rPr>
        <w:t>means Borrower’s delivery to Bank of evidence reasonably satisfactory to</w:t>
      </w:r>
      <w:r>
        <w:rPr>
          <w:color w:val="FF0000"/>
        </w:rPr>
        <w:t xml:space="preserve"> </w:t>
      </w:r>
      <w:r>
        <w:rPr>
          <w:rFonts w:ascii="Times New Roman;sans-serif" w:hAnsi="Times New Roman;sans-serif"/>
          <w:b w:val="false"/>
          <w:strike/>
          <w:color w:val="007F00"/>
          <w:sz w:val="20"/>
        </w:rPr>
        <w:t>Bank</w:t>
      </w:r>
      <w:r>
        <w:rPr>
          <w:color w:val="007F00"/>
        </w:rPr>
        <w:t xml:space="preserve"> </w:t>
      </w:r>
      <w:r>
        <w:rPr>
          <w:rFonts w:ascii="Times New Roman;sans-serif" w:hAnsi="Times New Roman;sans-serif"/>
          <w:b w:val="false"/>
          <w:strike/>
          <w:color w:val="007F00"/>
          <w:sz w:val="20"/>
        </w:rPr>
        <w:t>in its commercially reasonable discretion,</w:t>
      </w:r>
      <w:r>
        <w:rPr>
          <w:color w:val="007F00"/>
        </w:rPr>
        <w:t xml:space="preserve"> </w:t>
      </w:r>
      <w:r>
        <w:rPr>
          <w:rFonts w:ascii="Times New Roman;sans-serif" w:hAnsi="Times New Roman;sans-serif"/>
          <w:b w:val="false"/>
          <w:strike/>
          <w:color w:val="FF0000"/>
          <w:sz w:val="20"/>
        </w:rPr>
        <w:t>confirming that Borrower has achieved revenue (</w:t>
      </w:r>
      <w:r>
        <w:rPr>
          <w:rFonts w:ascii="Times New Roman;sans-serif" w:hAnsi="Times New Roman;sans-serif"/>
          <w:b w:val="false"/>
          <w:strike/>
          <w:color w:val="007F00"/>
          <w:sz w:val="20"/>
        </w:rPr>
        <w:t>determined in accordance</w:t>
      </w:r>
      <w:r>
        <w:rPr>
          <w:color w:val="007F00"/>
        </w:rPr>
        <w:t xml:space="preserve"> </w:t>
      </w:r>
      <w:r>
        <w:rPr>
          <w:rFonts w:ascii="Times New Roman;sans-serif" w:hAnsi="Times New Roman;sans-serif"/>
          <w:b w:val="false"/>
          <w:strike/>
          <w:color w:val="007F00"/>
          <w:sz w:val="20"/>
        </w:rPr>
        <w:t>with GAAP</w:t>
      </w:r>
      <w:r>
        <w:rPr>
          <w:rFonts w:ascii="Times New Roman;sans-serif" w:hAnsi="Times New Roman;sans-serif"/>
          <w:b w:val="false"/>
          <w:strike/>
          <w:color w:val="FF0000"/>
          <w:sz w:val="20"/>
        </w:rPr>
        <w:t>) of at least Ninety Million Dollars ($90,000,000) for the trailing twelve (12) month period ending on</w:t>
      </w:r>
      <w:r>
        <w:rPr>
          <w:color w:val="FF0000"/>
        </w:rPr>
        <w:t xml:space="preserve"> </w:t>
      </w:r>
      <w:r>
        <w:rPr>
          <w:rFonts w:ascii="Times New Roman;sans-serif" w:hAnsi="Times New Roman;sans-serif"/>
          <w:b w:val="false"/>
          <w:strike/>
          <w:color w:val="FF0000"/>
          <w:sz w:val="20"/>
        </w:rPr>
        <w:t>December 31, 2022.</w:t>
      </w:r>
    </w:p>
    <w:p>
      <w:pPr>
        <w:pStyle w:val="TextBody"/>
        <w:spacing w:before="1" w:after="283"/>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Permitted Acquisition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Permitted Acquisitions</w:t>
      </w:r>
      <w:r>
        <w:rPr>
          <w:color w:val="000000"/>
        </w:rPr>
        <w:t xml:space="preserve">” </w:t>
      </w:r>
      <w:r>
        <w:rPr>
          <w:rFonts w:ascii="Times New Roman;sans-serif" w:hAnsi="Times New Roman;sans-serif"/>
          <w:b w:val="false"/>
          <w:color w:val="000000"/>
          <w:sz w:val="20"/>
        </w:rPr>
        <w:t>means an acquisition by Borrower or any Subsidiary of any Intellectual Property or all or substantially all of the assets of, all of the ownership interests in, or a business line, product line (including rights in respect of any medical device) or unit or division of another Person</w:t>
      </w:r>
    </w:p>
    <w:p>
      <w:pPr>
        <w:pStyle w:val="TextBody"/>
        <w:spacing w:before="6" w:after="283"/>
        <w:rPr/>
      </w:pPr>
      <w:r>
        <w:rPr/>
      </w:r>
    </w:p>
    <w:p>
      <w:pPr>
        <w:pStyle w:val="TextBody"/>
        <w:spacing w:lineRule="auto" w:line="240" w:before="0" w:after="0"/>
        <w:jc w:val="both"/>
        <w:rPr/>
      </w:pPr>
      <w:r>
        <w:rPr/>
        <w:drawing>
          <wp:inline distT="0" distB="63500" distL="0" distR="0">
            <wp:extent cx="14605" cy="142875"/>
            <wp:effectExtent l="0" t="0" r="0" b="0"/>
            <wp:docPr id="463"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44" descr=""/>
                    <pic:cNvPicPr>
                      <a:picLocks noChangeAspect="1" noChangeArrowheads="1"/>
                    </pic:cNvPicPr>
                  </pic:nvPicPr>
                  <pic:blipFill>
                    <a:blip r:embed="rId250"/>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00"/>
          <w:sz w:val="20"/>
        </w:rPr>
        <w:t xml:space="preserve">(including any foreign corporations) for cash consideration (including any purchase price adjustments, indemnity payments and earn-out obligations in connection therewith) up to Ten Million Dollars ($10,000,000) in any fiscal year (or such greater amount as may be agreed with the prior written consent of Bank);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 xml:space="preserve">that, with respect to each such acquisition, each of the following conditions shall have been satisfied (or waived by Bank, acting in its </w:t>
      </w:r>
      <w:r>
        <w:rPr>
          <w:rFonts w:ascii="Times New Roman;sans-serif" w:hAnsi="Times New Roman;sans-serif"/>
          <w:b w:val="false"/>
          <w:strike/>
          <w:color w:val="FF0000"/>
          <w:sz w:val="20"/>
        </w:rPr>
        <w:t>good faith business</w:t>
      </w:r>
      <w:r>
        <w:rPr>
          <w:rFonts w:ascii="Times New Roman;sans-serif" w:hAnsi="Times New Roman;sans-serif"/>
          <w:b w:val="false"/>
          <w:color w:val="0000FF"/>
          <w:sz w:val="20"/>
          <w:u w:val="single"/>
        </w:rPr>
        <w:t>commercially reasonable</w:t>
      </w:r>
      <w:r>
        <w:rPr>
          <w:color w:val="0000FF"/>
        </w:rPr>
        <w:t xml:space="preserve"> </w:t>
      </w:r>
      <w:r>
        <w:rPr>
          <w:rFonts w:ascii="Times New Roman;sans-serif" w:hAnsi="Times New Roman;sans-serif"/>
          <w:b w:val="false"/>
          <w:color w:val="000000"/>
          <w:sz w:val="20"/>
        </w:rPr>
        <w:t>discretion):</w:t>
      </w:r>
    </w:p>
    <w:p>
      <w:pPr>
        <w:pStyle w:val="TextBody"/>
        <w:spacing w:before="3" w:after="283"/>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(a)no Event of Default shall have occurred and be continuing or would result from the consummation of the proposed acquisition and Bank has received evidence that Borrower is in compliance with all terms and conditions of this Agreement on a pro forma basis after giving effect to such acquisition,</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(b)such acquired Person or assets shall be in a similar line of business as is conducted by Borrower as of the Effective Date (or a line of business reasonably related thereto),</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(c)such acquisition shall not cause the focus or locations of Borrower’s and its Subsidiaries’ operations (when taken as a whole) to be located outside of the United States,</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(d)such acquisition shall not constitute a hostile acquisition,</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(e)any Person acquired as a result of such acquisition shall become a secured Guarantor (or co-borrower) subject to the terms herein, within fifteen (15) Business Days of the consummation of such acquisition,</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(f)in connection with such acquisition, neither Borrower nor any of its subsidiaries (including for this purpose, the target of the acquisition) shall acquire or be subject to any Indebtedness or Liens that are not otherwise permitted hereunder;</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(g)Borrower shall provide Bank with written notice of the proposed acquisition at least five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(5) Business Days prior to the anticipated signing, commitment, or closing date of the proposed acquisition, whichever occurs first;</w:t>
      </w:r>
    </w:p>
    <w:p>
      <w:pPr>
        <w:pStyle w:val="TextBody"/>
        <w:spacing w:before="11"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251710"/>
                <wp:effectExtent l="0" t="0" r="0" b="0"/>
                <wp:wrapNone/>
                <wp:docPr id="464" name="Frame177"/>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6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45" descr=""/>
                                          <pic:cNvPicPr>
                                            <a:picLocks noChangeAspect="1" noChangeArrowheads="1"/>
                                          </pic:cNvPicPr>
                                        </pic:nvPicPr>
                                        <pic:blipFill>
                                          <a:blip r:embed="rId25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66"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45" descr=""/>
                                    <pic:cNvPicPr>
                                      <a:picLocks noChangeAspect="1" noChangeArrowheads="1"/>
                                    </pic:cNvPicPr>
                                  </pic:nvPicPr>
                                  <pic:blipFill>
                                    <a:blip r:embed="rId25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(h)Borrower shall provide to the Bank not later than five (5) Business Days after the execution thereof, a copy of the executed purchase agreement or similar agreement with respect to any such acquisition;</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(i)such acquisition has been approved by the board of directors (or other equivalent legally governing body) of the Person to be acquired,</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(j)the entity or assets to be acquired in such acquisition shall not be subject to any Lien other (x) the first priority Liens granted in favor of Bank and (y) Permitted Liens;</w:t>
      </w:r>
    </w:p>
    <w:p>
      <w:pPr>
        <w:pStyle w:val="TextBody"/>
        <w:spacing w:before="10" w:after="283"/>
        <w:rPr/>
      </w:pPr>
      <w:r>
        <w:rPr/>
      </w:r>
    </w:p>
    <w:p>
      <w:pPr>
        <w:pStyle w:val="TextBody"/>
        <w:spacing w:lineRule="auto" w:line="240" w:before="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(k)all transactions related to such acquisition shall be consummated in all material respects in accordance with applicable law; and</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(l)Borrower shall provide to the Bank as soon as available but in any event not later than five (5) Business Days after the execution thereof, a copy of the executed purchase agreement or similar agreement with respect to any such acquisition.</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Borrower shall provide to the Bank as soon as available but in any event not later than five (5) Business Days after the execution thereof a certificate of a Responsible Officer of Borrower, in form and substance reasonably satisfactory to Bank, certifying that all of the requirements set forth in this definition have been satisfied or will be satisfied on or prior to the consummation of such acquisition. Notwithstanding the foregoing and for the avoidance of doubt, in no event shall Borrower or any of its Subsidiaries assume any liabilities with respect to any acquisition, including without limitation, any Permitted Indebtedness, in excess of Fifteen Million Dollars ($15,000,000) in aggregate outstanding at any time for such Permitted Acquisitions.</w:t>
      </w:r>
    </w:p>
    <w:p>
      <w:pPr>
        <w:pStyle w:val="TextBody"/>
        <w:spacing w:before="0" w:after="0"/>
        <w:jc w:val="both"/>
        <w:rPr/>
      </w:pPr>
      <w:r>
        <w:rPr/>
      </w:r>
    </w:p>
    <w:p>
      <w:pPr>
        <w:pStyle w:val="TextBody"/>
        <w:spacing w:before="7" w:after="283"/>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Permitted Call Spread Agreements</w:t>
      </w:r>
      <w:r>
        <w:rPr>
          <w:color w:val="000000"/>
        </w:rPr>
        <w:t xml:space="preserve">” </w:t>
      </w:r>
      <w:r>
        <w:rPr>
          <w:rFonts w:ascii="Times New Roman;sans-serif" w:hAnsi="Times New Roman;sans-serif"/>
          <w:b w:val="false"/>
          <w:color w:val="000000"/>
          <w:sz w:val="20"/>
        </w:rPr>
        <w:t>means (a) any call option transaction (including, but not limited to, any bond hedge transaction or capped call transaction) pursuant to which the Borrower acquires an option requiring the counterparty thereto to deliver to the Borrower shares of common stock of the Borrower (or other securities or property following a merger event or other change of the common stock of the Borrower), the cash value thereof or a combination thereof from time to time upon exercise of such option entered into by the Borrower in connection with the issuance of Permitted Convertible Debt (such transaction, a “</w:t>
      </w:r>
      <w:r>
        <w:rPr>
          <w:rFonts w:ascii="Times New Roman;sans-serif" w:hAnsi="Times New Roman;sans-serif"/>
          <w:b/>
          <w:color w:val="000000"/>
          <w:sz w:val="20"/>
        </w:rPr>
        <w:t>Bond Hedge Transaction</w:t>
      </w:r>
      <w:r>
        <w:rPr>
          <w:color w:val="000000"/>
        </w:rPr>
        <w:t>”</w:t>
      </w:r>
      <w:r>
        <w:rPr>
          <w:rFonts w:ascii="Times New Roman;sans-serif" w:hAnsi="Times New Roman;sans-serif"/>
          <w:b w:val="false"/>
          <w:color w:val="000000"/>
          <w:sz w:val="20"/>
        </w:rPr>
        <w:t>) and (b) any issued warrants to acquire common stock of the Borrower (or other securities or property following a merger event or other change of the common stock of the Borrower) (whether such warrant is settled in shares, cash or a combination thereof) issued by the Borrower in connection with the issuance of Permitted Convertible Debt and sold by Borrower substantially concurrently with any purchase by Borrower of a Bond Hedge Transaction and settled in (such transaction, a “</w:t>
      </w:r>
      <w:r>
        <w:rPr>
          <w:rFonts w:ascii="Times New Roman;sans-serif" w:hAnsi="Times New Roman;sans-serif"/>
          <w:b/>
          <w:color w:val="000000"/>
          <w:sz w:val="20"/>
        </w:rPr>
        <w:t>Warrant Transaction</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(i) the terms, conditions and covenants of each such call option transaction are customary for agreements of such type, as determined by the Board (or a committee thereof) in good faith, (ii) the purchase price for such Bond Hedge Transaction, less the proceeds received by the Borrower from the sale of any related Warrant Transaction, does not exceed the net proceeds received by the Borrower from the issuance of the related Permitted Convertible Indebtedness at the time of such purchase, and (iii) in the case of clause (b) above, such warrants would be classified as an equity instrument in accordance with GAAP.</w:t>
      </w:r>
    </w:p>
    <w:p>
      <w:pPr>
        <w:pStyle w:val="TextBody"/>
        <w:spacing w:before="7"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Permitted Convertible Debt</w:t>
      </w:r>
      <w:r>
        <w:rPr>
          <w:color w:val="000000"/>
        </w:rPr>
        <w:t xml:space="preserve">” </w:t>
      </w:r>
      <w:r>
        <w:rPr>
          <w:rFonts w:ascii="Times New Roman;sans-serif" w:hAnsi="Times New Roman;sans-serif"/>
          <w:b w:val="false"/>
          <w:color w:val="000000"/>
          <w:sz w:val="20"/>
        </w:rPr>
        <w:t xml:space="preserve">means any unsecured notes issued by the Borrower that are convertible into a fixed number (subject to customary anti-dilution adjustments, “make-whole” increases and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such Indebtedness must satisfy each of the following conditions: (i) both immediately prior to and after giving effect (including pro forma effect) to the issuance thereof, no Default or Event of Default shall exist or result therefrom, (ii) such Indebtedness matures after, and does not require any scheduled amortization or other scheduled or otherwise required payments of principal prior to, or have a scheduled maturity date earlier than, the date that is ninety one (91) calendar days after the Term Loan Maturity Date and prior to that date, does not provide for or require any payments of principal or any other payments with the exception of semi-annual interest payments, obligations to settle conversions, redemption rights (which, for the avoidance of doubt, will be subject to Section 6.7) and customary obligations to offer to repurchase the notes upon the occurrence of a “fundamental change”, (iii)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Times New Roman;sans-serif" w:hAnsi="Times New Roman;sans-serif"/>
          <w:b/>
          <w:color w:val="000000"/>
          <w:sz w:val="20"/>
        </w:rPr>
        <w:t>Cross-Default Reference Obligation</w:t>
      </w:r>
      <w:r>
        <w:rPr>
          <w:color w:val="000000"/>
        </w:rPr>
        <w:t>”</w:t>
      </w:r>
      <w:r>
        <w:rPr>
          <w:rFonts w:ascii="Times New Roman;sans-serif" w:hAnsi="Times New Roman;sans-serif"/>
          <w:b w:val="false"/>
          <w:color w:val="000000"/>
          <w:sz w:val="20"/>
        </w:rPr>
        <w:t xml:space="preserve">)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 (iv) the terms, conditions and covenants (other than pricing terms determined through a customary marketing process) of such Indebtedness must be customary for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2251710"/>
                <wp:effectExtent l="0" t="0" r="0" b="0"/>
                <wp:wrapNone/>
                <wp:docPr id="467" name="Frame178"/>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68"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46" descr=""/>
                                          <pic:cNvPicPr>
                                            <a:picLocks noChangeAspect="1" noChangeArrowheads="1"/>
                                          </pic:cNvPicPr>
                                        </pic:nvPicPr>
                                        <pic:blipFill>
                                          <a:blip r:embed="rId252"/>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6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46" descr=""/>
                                    <pic:cNvPicPr>
                                      <a:picLocks noChangeAspect="1" noChangeArrowheads="1"/>
                                    </pic:cNvPicPr>
                                  </pic:nvPicPr>
                                  <pic:blipFill>
                                    <a:blip r:embed="rId252"/>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convertible Indebtedness of such type at the time of issuance (as determined by the Board, or a committee thereof, in good faith) and, (v) such Indebtedness is not guaranteed by any Subsidiary of the Borrower unless the Obligations are guaranteed by such Subsidiary on a secured basis. For the avoidance of doubt, and without limitation of the foregoing, Permitted Convertible Debt shall at all times be valued at the full stated principle amount thereof and shall not include any reduction or appreciation in value of the shares deliverable upon conversion thereof.</w:t>
      </w:r>
    </w:p>
    <w:p>
      <w:pPr>
        <w:pStyle w:val="TextBody"/>
        <w:spacing w:before="0" w:after="0"/>
        <w:rPr/>
      </w:pPr>
      <w:r>
        <w:rPr/>
      </w:r>
    </w:p>
    <w:p>
      <w:pPr>
        <w:pStyle w:val="TextBody"/>
        <w:spacing w:lineRule="auto" w:line="240" w:before="1" w:after="283"/>
        <w:rPr/>
      </w:pPr>
      <w:r>
        <w:rPr>
          <w:color w:val="000000"/>
        </w:rPr>
        <w:t>“</w:t>
      </w:r>
      <w:r>
        <w:rPr>
          <w:rFonts w:ascii="Times New Roman;sans-serif" w:hAnsi="Times New Roman;sans-serif"/>
          <w:b/>
          <w:color w:val="000000"/>
          <w:sz w:val="20"/>
        </w:rPr>
        <w:t>Permitted Foreign Subsidiary Accounts</w:t>
      </w:r>
      <w:r>
        <w:rPr>
          <w:color w:val="000000"/>
        </w:rPr>
        <w:t xml:space="preserve">” </w:t>
      </w:r>
      <w:r>
        <w:rPr>
          <w:rFonts w:ascii="Times New Roman;sans-serif" w:hAnsi="Times New Roman;sans-serif"/>
          <w:b w:val="false"/>
          <w:color w:val="000000"/>
          <w:sz w:val="20"/>
        </w:rPr>
        <w:t>is defined in Section 5.9(a).</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Permitted Hedging Agreement</w:t>
      </w:r>
      <w:r>
        <w:rPr>
          <w:color w:val="000000"/>
        </w:rPr>
        <w:t xml:space="preserve">” </w:t>
      </w:r>
      <w:r>
        <w:rPr>
          <w:rFonts w:ascii="Times New Roman;sans-serif" w:hAnsi="Times New Roman;sans-serif"/>
          <w:b w:val="false"/>
          <w:color w:val="000000"/>
          <w:sz w:val="20"/>
        </w:rPr>
        <w:t xml:space="preserve">means any currency agreement, all rate swap transactions or other contract or arrangement designed solely to protect a Person against fluctuations in currency exchange rates and interest rate risk, and any confirmation executed in connection with any such agreement, contract, or arrangement, in each case, entered into by Borrower or any of its Subsidiaries solely to hedge or mitigate the risks of foreign exchange rate fluctuations and interest rate risk and not for any speculative or other purposes; </w:t>
      </w:r>
      <w:r>
        <w:rPr>
          <w:rFonts w:ascii="Times New Roman;sans-serif" w:hAnsi="Times New Roman;sans-serif"/>
          <w:b w:val="false"/>
          <w:i/>
          <w:color w:val="000000"/>
          <w:sz w:val="20"/>
        </w:rPr>
        <w:t xml:space="preserve">provided </w:t>
      </w:r>
      <w:r>
        <w:rPr>
          <w:rFonts w:ascii="Times New Roman;sans-serif" w:hAnsi="Times New Roman;sans-serif"/>
          <w:b w:val="false"/>
          <w:color w:val="000000"/>
          <w:sz w:val="20"/>
        </w:rPr>
        <w:t>that such</w:t>
      </w:r>
    </w:p>
    <w:p>
      <w:pPr>
        <w:pStyle w:val="TextBody"/>
        <w:spacing w:before="0" w:after="0"/>
        <w:jc w:val="both"/>
        <w:rPr/>
      </w:pPr>
      <w:r>
        <w:rPr/>
      </w:r>
    </w:p>
    <w:p>
      <w:pPr>
        <w:pStyle w:val="TextBody"/>
        <w:spacing w:before="6" w:after="283"/>
        <w:rPr/>
      </w:pPr>
      <w:r>
        <w:rPr/>
      </w:r>
    </w:p>
    <w:p>
      <w:pPr>
        <w:pStyle w:val="TextBody"/>
        <w:spacing w:lineRule="auto" w:line="240" w:before="0" w:after="0"/>
        <w:jc w:val="both"/>
        <w:rPr/>
      </w:pPr>
      <w:r>
        <w:rPr>
          <w:rFonts w:ascii="Times New Roman;sans-serif" w:hAnsi="Times New Roman;sans-serif"/>
          <w:b w:val="false"/>
          <w:color w:val="000000"/>
          <w:sz w:val="20"/>
        </w:rPr>
        <w:t xml:space="preserve">agreement, contract or arrangement shall comply in all respects with the hedging policies or guidelines as are approved by the Board or as are approved by Bank (such approval not to be unreasonably withheld, delayed or conditioned);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that all accrued and reasonably expected liabilities of Borrower or its Subsidiaries arising under Permitted Hedging Agreements shall not exceed One Million Dollars ($1,000,000) in the aggregate at any time. For the avoidance of doubt, no Permitted Call Spread Agreement shall constitute a Permitted Hedging Agreement.</w:t>
      </w:r>
    </w:p>
    <w:p>
      <w:pPr>
        <w:pStyle w:val="TextBody"/>
        <w:spacing w:before="2" w:after="283"/>
        <w:rPr/>
      </w:pPr>
      <w:r>
        <w:rPr/>
      </w:r>
    </w:p>
    <w:p>
      <w:pPr>
        <w:pStyle w:val="TextBody"/>
        <w:spacing w:lineRule="auto" w:line="240" w:before="1" w:after="283"/>
        <w:rPr/>
      </w:pPr>
      <w:r>
        <w:rPr>
          <w:color w:val="000000"/>
        </w:rPr>
        <w:t>“</w:t>
      </w:r>
      <w:r>
        <w:rPr>
          <w:rFonts w:ascii="Times New Roman;sans-serif" w:hAnsi="Times New Roman;sans-serif"/>
          <w:b/>
          <w:color w:val="000000"/>
          <w:sz w:val="20"/>
        </w:rPr>
        <w:t>Permitted Indebtedness</w:t>
      </w:r>
      <w:r>
        <w:rPr>
          <w:color w:val="000000"/>
        </w:rPr>
        <w:t xml:space="preserve">” </w:t>
      </w:r>
      <w:r>
        <w:rPr>
          <w:rFonts w:ascii="Times New Roman;sans-serif" w:hAnsi="Times New Roman;sans-serif"/>
          <w:b w:val="false"/>
          <w:color w:val="000000"/>
          <w:sz w:val="20"/>
        </w:rPr>
        <w:t>is: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(a)Borrower’s Indebtedness to Bank under this Agreement, the other Loan Documents and under any other agreement with Bank;</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(b)Indebtedness existing on the Effective Date which is shown on the Perfection Certificate;</w:t>
      </w:r>
    </w:p>
    <w:p>
      <w:pPr>
        <w:pStyle w:val="TextBody"/>
        <w:spacing w:before="10"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(c)Subordinated Debt;</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(d)unsecured Indebtedness to trade creditors incurred in the ordinary course of business;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(e)Indebtedness incurred as a result of endorsing negotiable instruments received in the ordinary course of business;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(f)Indebtedness secured by Liens permitted under clauses (a) and (c) of the definition of “Permitted Liens” hereunder;</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(g)other unsecured Indebtedness not otherwise permitted by Section 6.4 not exceeding Two Hundred Fifty Thousand Dollars ($250,000.00) in the aggregate outstanding at any time;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(h)Indebtedness with respect to credit cards maintained with American Express, not to exceed Five Hundred Thousand Dollars ($500,000) outstanding at any time;</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(i)Permitted Hedging Agreements;</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(j)intercompany Indebtedness by and among Borrower and its Subsidiaries (subject to “Permitted Investments” part (g)(i);</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(k)Indebtedness in respect of letters of credit, bank guarantees and similar instruments issued for the account of Borrower and/or its Subsidiaries in the ordinary course of business not to exceed Seven Hundred Fifty Thousand Dollars ($750,000) outstanding at any time;</w:t>
      </w:r>
    </w:p>
    <w:p>
      <w:pPr>
        <w:pStyle w:val="TextBody"/>
        <w:spacing w:before="1" w:after="283"/>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(l)advances or deposits received in the ordinary course of business from customers or</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vendors;</w:t>
      </w:r>
    </w:p>
    <w:p>
      <w:pPr>
        <w:pStyle w:val="TextBody"/>
        <w:spacing w:before="0" w:after="0"/>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(m)Indebtedness in respect of netting services, overdraft protections, payment processing, automatic clearinghouse arrangements, arrangements in respect of pooled deposit or sweep accounts, check endorsement guarantees, and otherwise in connection with deposit accounts or cash management services and Indebtedness arising in connection with automated clearing house transfer of funds or the use of other payment processing services;</w:t>
      </w:r>
    </w:p>
    <w:p>
      <w:pPr>
        <w:pStyle w:val="TextBody"/>
        <w:spacing w:before="1"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251710"/>
                <wp:effectExtent l="0" t="0" r="0" b="0"/>
                <wp:wrapNone/>
                <wp:docPr id="470" name="Frame179"/>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7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47" descr=""/>
                                          <pic:cNvPicPr>
                                            <a:picLocks noChangeAspect="1" noChangeArrowheads="1"/>
                                          </pic:cNvPicPr>
                                        </pic:nvPicPr>
                                        <pic:blipFill>
                                          <a:blip r:embed="rId25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72"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47" descr=""/>
                                    <pic:cNvPicPr>
                                      <a:picLocks noChangeAspect="1" noChangeArrowheads="1"/>
                                    </pic:cNvPicPr>
                                  </pic:nvPicPr>
                                  <pic:blipFill>
                                    <a:blip r:embed="rId253"/>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(n)Indebtedness arising in connection with the financing of insurance premiums in the ordinary course of business not to exceed Seven Hundred Fifty Thousand Dollars ($750,000) outstanding at any time;</w:t>
      </w:r>
    </w:p>
    <w:p>
      <w:pPr>
        <w:pStyle w:val="TextBody"/>
        <w:spacing w:before="0" w:after="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(o)Indebtedness in respect of performance bonds, bid bonds, appeal bonds, surety bonds, completion guarantees and similar obligations arising in the ordinary course of business not to exceed Seven Hundred Fifty Thousand Dollars ($750,000) in the aggregate outstanding at any time;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(p)Unsecured Indebtedness in connection with Permitted Acquisitions, not to exceed Fifteen Million Dollars ($15,000,000) in aggregate outstanding at any time;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(q)Permitted Convertible Debt in aggregate principal amount not to exceed Two Hundred Fifty Million Dollars ($250,000,000) in principal amount at any time outstanding;</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(r)Indebtedness of Borrower’s Subsidiaries in connection with the sale of Inventory by Borrower to its Subsidiaries in the ordinary course of business, which may from time to time be forgiven by Borrower;</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(s)purchase price adjustments, indemnity payments and earn-out obligations in connection with any Permitted Acquisition (to the extent not in excess of the consideration limitations set forth in the definition thereof); and</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(t)extensions, refinancings, modifications, amendments and restatements of any items of Permitted Indebtedness (a) through (s) above, provided that the principal amount thereof is not increased or the terms thereof are not modified to impose more burdensome terms upon Borrower or its Subsidiary, as the case may be.</w:t>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0"/>
        </w:rPr>
        <w:t>Permitted Investments</w:t>
      </w:r>
      <w:r>
        <w:rPr>
          <w:color w:val="000000"/>
        </w:rPr>
        <w:t xml:space="preserve">” </w:t>
      </w:r>
      <w:r>
        <w:rPr>
          <w:rFonts w:ascii="Times New Roman;sans-serif" w:hAnsi="Times New Roman;sans-serif"/>
          <w:b w:val="false"/>
          <w:color w:val="000000"/>
          <w:sz w:val="20"/>
        </w:rPr>
        <w:t>are: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(a)Investments (including, without limitation, Subsidiaries) existing on the Effective Date which are shown on the Perfection Certificate;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 Investments consisting of cash and Cash Equivalents, and (ii) any other Investments permitted by Borrower’s investment policy, as amended from time to time, provided that such investment policy (and any such amendment thereto) has been approved in writing by Bank, further provided that Bank hereby confirms approval of such investment policy delivered to Bank around the Effective Date;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(c)Investments consisting of the endorsement of negotiable instruments for deposit or collection or similar transactions in the ordinary course of Borrower’s business;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(d)Investments consisting of deposit and securities accounts (but only to the extent that Borrower or its Subsidiaries is permitted to maintain such accounts pursuant to Section 5.9 of this Agreement) in which Bank has a first priority perfected security interest (only if and to the extent required pursuant to Section 5.9 of this Agreement);</w:t>
      </w:r>
    </w:p>
    <w:p>
      <w:pPr>
        <w:pStyle w:val="TextBody"/>
        <w:spacing w:before="0" w:after="0"/>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(e)Investments accepted in connection with Transfers permitted by Section 6.1;</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(f)Investments consisting of the creation of a Subsidiary for the purpose of consummating a merger transactions and Permitted Acquisitions permitted by Section 6.3 of this Agreement, which is otherwise a Permitted Investment;</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(g)Investments by Borrower in Subsidiaries that are not borrowers hereunder (or Guarantors), not to exceed (i) (x) Seven Million Five Hundred Thousand Dollars ($7,500,000) in the aggregate in any fiscal year; and (y) Three Million Dollars ($3,000,000) in any fiscal quarter, plus (ii) the ongoing day-to-day operations of such Subsidiaries in the ordinary course of business, so long as such (part (ii)) Investments are (A)made on a cost-plus basis, or (B) otherwise in accordance with transfer pricing arrangements, or (C) are otherwise approved in advance in writing by Bank;</w:t>
      </w:r>
    </w:p>
    <w:p>
      <w:pPr>
        <w:pStyle w:val="TextBody"/>
        <w:spacing w:before="10" w:after="283"/>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(h)Investments by Borrower in any other co-borrower under this Agreement or Guarantor;</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251710"/>
                <wp:effectExtent l="0" t="0" r="0" b="0"/>
                <wp:wrapNone/>
                <wp:docPr id="473" name="Frame180"/>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7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48" descr=""/>
                                          <pic:cNvPicPr>
                                            <a:picLocks noChangeAspect="1" noChangeArrowheads="1"/>
                                          </pic:cNvPicPr>
                                        </pic:nvPicPr>
                                        <pic:blipFill>
                                          <a:blip r:embed="rId25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7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48" descr=""/>
                                    <pic:cNvPicPr>
                                      <a:picLocks noChangeAspect="1" noChangeArrowheads="1"/>
                                    </pic:cNvPicPr>
                                  </pic:nvPicPr>
                                  <pic:blipFill>
                                    <a:blip r:embed="rId254"/>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pStyle w:val="TextBody"/>
        <w:spacing w:before="0" w:after="0"/>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 xml:space="preserve">(l)Cash investments of up to One Million Dollars ($1,000,000) per fiscal year,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non-cash Investments in joint ventures or strategic alliances in the ordinary course of Borrower’s business consisting of the non-exclusive licensing of technology, the development of technology or the providing of technical support;</w:t>
      </w:r>
    </w:p>
    <w:p>
      <w:pPr>
        <w:pStyle w:val="TextBody"/>
        <w:spacing w:before="11" w:after="283"/>
        <w:rPr/>
      </w:pPr>
      <w:r>
        <w:rPr/>
      </w:r>
    </w:p>
    <w:p>
      <w:pPr>
        <w:pStyle w:val="TextBody"/>
        <w:spacing w:lineRule="auto" w:line="240"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(m)any Permitted Call Spread Agreements;</w:t>
      </w:r>
    </w:p>
    <w:p>
      <w:pPr>
        <w:pStyle w:val="TextBody"/>
        <w:spacing w:before="10" w:after="283"/>
        <w:rPr/>
      </w:pPr>
      <w:r>
        <w:rPr/>
      </w:r>
    </w:p>
    <w:p>
      <w:pPr>
        <w:pStyle w:val="TextBody"/>
        <w:spacing w:lineRule="auto" w:line="240" w:before="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(n)Permitted Acquisitions;</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00000"/>
          <w:sz w:val="20"/>
        </w:rPr>
        <w:t>(o)</w:t>
      </w:r>
      <w:r>
        <w:rPr/>
        <w:drawing>
          <wp:inline distT="0" distB="63500" distL="0" distR="0">
            <wp:extent cx="14605" cy="142875"/>
            <wp:effectExtent l="0" t="0" r="0" b="0"/>
            <wp:docPr id="476"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49" descr=""/>
                    <pic:cNvPicPr>
                      <a:picLocks noChangeAspect="1" noChangeArrowheads="1"/>
                    </pic:cNvPicPr>
                  </pic:nvPicPr>
                  <pic:blipFill>
                    <a:blip r:embed="rId255"/>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00"/>
          <w:sz w:val="20"/>
        </w:rPr>
        <w:t xml:space="preserve">Investments not to exceed Five Million Dollars ($5,000,000) per fiscal year to fund the expansion of Borrower and/or its Subsidiaries in (i) Japan, and/or (ii) any other jurisdiction as may be agreed by Bank (in its </w:t>
      </w:r>
      <w:r>
        <w:rPr>
          <w:rFonts w:ascii="Times New Roman;sans-serif" w:hAnsi="Times New Roman;sans-serif"/>
          <w:b w:val="false"/>
          <w:strike/>
          <w:color w:val="FF0000"/>
          <w:sz w:val="20"/>
        </w:rPr>
        <w:t>good faith business</w:t>
      </w:r>
      <w:r>
        <w:rPr>
          <w:rFonts w:ascii="Times New Roman;sans-serif" w:hAnsi="Times New Roman;sans-serif"/>
          <w:b w:val="false"/>
          <w:color w:val="0000FF"/>
          <w:sz w:val="20"/>
          <w:u w:val="single"/>
        </w:rPr>
        <w:t>commercially reasonable</w:t>
      </w:r>
      <w:r>
        <w:rPr>
          <w:color w:val="0000FF"/>
        </w:rPr>
        <w:t xml:space="preserve"> </w:t>
      </w:r>
      <w:r>
        <w:rPr>
          <w:rFonts w:ascii="Times New Roman;sans-serif" w:hAnsi="Times New Roman;sans-serif"/>
          <w:b w:val="false"/>
          <w:color w:val="000000"/>
          <w:sz w:val="20"/>
        </w:rPr>
        <w:t>discretion) and Borrower; and</w:t>
      </w:r>
    </w:p>
    <w:p>
      <w:pPr>
        <w:pStyle w:val="TextBody"/>
        <w:spacing w:before="1" w:after="283"/>
        <w:rPr/>
      </w:pPr>
      <w:r>
        <w:rPr/>
      </w:r>
    </w:p>
    <w:p>
      <w:pPr>
        <w:pStyle w:val="TextBody"/>
        <w:spacing w:lineRule="auto" w:line="240" w:before="9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(p)other Investments not otherwise enumerated in this defined term “Permitted Investments” not exceeding Five Hundred Thousand Dollars ($500,000) in the aggregate during any fiscal year.</w:t>
      </w:r>
    </w:p>
    <w:p>
      <w:pPr>
        <w:pStyle w:val="TextBody"/>
        <w:spacing w:before="10" w:after="283"/>
        <w:rPr/>
      </w:pPr>
      <w:r>
        <w:rPr/>
      </w:r>
    </w:p>
    <w:p>
      <w:pPr>
        <w:pStyle w:val="TextBody"/>
        <w:spacing w:lineRule="auto" w:line="240" w:before="1" w:after="283"/>
        <w:rPr/>
      </w:pPr>
      <w:r>
        <w:rPr>
          <w:color w:val="000000"/>
        </w:rPr>
        <w:t>“</w:t>
      </w:r>
      <w:r>
        <w:rPr>
          <w:rFonts w:ascii="Times New Roman;sans-serif" w:hAnsi="Times New Roman;sans-serif"/>
          <w:b/>
          <w:color w:val="000000"/>
          <w:sz w:val="20"/>
        </w:rPr>
        <w:t>Permitted Liens</w:t>
      </w:r>
      <w:r>
        <w:rPr>
          <w:color w:val="000000"/>
        </w:rPr>
        <w:t xml:space="preserve">” </w:t>
      </w:r>
      <w:r>
        <w:rPr>
          <w:rFonts w:ascii="Times New Roman;sans-serif" w:hAnsi="Times New Roman;sans-serif"/>
          <w:b w:val="false"/>
          <w:color w:val="000000"/>
          <w:sz w:val="20"/>
        </w:rPr>
        <w:t>are:</w:t>
      </w:r>
    </w:p>
    <w:p>
      <w:pPr>
        <w:pStyle w:val="TextBody"/>
        <w:spacing w:before="10"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(a)Liens existing on the Effective Date which are shown on the Perfection Certificate or arising under this Agreement or the other Loan Documents;</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(c)purchase money Liens and equipment liens (i) on Equipment or software acquired or held by Borrower incurred for financing the acquisition of the Equipment or software securing no more than One Million Dollars ($1,000,000) in the aggregate amount outstanding, or (ii) existing on Equipment or software when acquired, if the Lien is confined to the property and improvements and the proceeds of the Equipment or software;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 which are being contested in good faith and by appropriate proceedings which proceedings have the effect of preventing the forfeiture or sale of the property subject thereto;</w:t>
      </w:r>
    </w:p>
    <w:p>
      <w:pPr>
        <w:pStyle w:val="TextBody"/>
        <w:spacing w:before="0" w:after="0"/>
        <w:jc w:val="both"/>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(e)Liens to secure payment of workers’ compensation, employment insurance, old-age pensions, social security and other like obligations incurred in the ordinary course of business (other than Liens imposed by ERISA);</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(h)(i) non-exclusive licenses of Intellectual Property granted to third parties in the ordinary course of business, (ii) licenses of Intellectual Property that could not reasonably be expected to result in a legal transfer of title of the licensed property that may be exclusive in respects of territory (as to discreet geographical areas inside and outside of the United States), and (iii) licenses existing on the Effective Date and disclosed on the Perfection Certificate;</w:t>
      </w:r>
    </w:p>
    <w:p>
      <w:pPr>
        <w:pStyle w:val="TextBody"/>
        <w:spacing w:before="1" w:after="283"/>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251710"/>
                <wp:effectExtent l="0" t="0" r="0" b="0"/>
                <wp:wrapNone/>
                <wp:docPr id="477" name="Frame181"/>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7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50" descr=""/>
                                          <pic:cNvPicPr>
                                            <a:picLocks noChangeAspect="1" noChangeArrowheads="1"/>
                                          </pic:cNvPicPr>
                                        </pic:nvPicPr>
                                        <pic:blipFill>
                                          <a:blip r:embed="rId25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7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50" descr=""/>
                                    <pic:cNvPicPr>
                                      <a:picLocks noChangeAspect="1" noChangeArrowheads="1"/>
                                    </pic:cNvPicPr>
                                  </pic:nvPicPr>
                                  <pic:blipFill>
                                    <a:blip r:embed="rId256"/>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(i)customary Liens of any bank in connection with statutory, common law and contractual rights of setoff and recoupment with respect to any deposit account or securities account of Borrower, provided that</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Bank has a first priority perfected security interest in such account (if perfection is required pursuant to Section 5.9 of this Agreement), and (ii) such account is permitted to be maintained pursuant to Section 5.9 of this Agreement;</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(j)Liens arising from attachments or judgments, orders, or decrees in circumstances not constituting an Event of Default under Sections and 7.7;</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(k)deposits under real property leases that are made in the ordinary course of business not to exceed Seven Hundred Fifty Thousand Dollars ($750,000) at any time;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(l)easements,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spacing w:before="0" w:after="0"/>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(m)other Liens (not otherwise enumerated in this defined term) not exceeding One Hundred Thousand Dollars ($100,000) in the aggregate outstanding at any time;</w:t>
      </w:r>
    </w:p>
    <w:p>
      <w:pPr>
        <w:pStyle w:val="TextBody"/>
        <w:spacing w:before="11" w:after="283"/>
        <w:rPr/>
      </w:pPr>
      <w:r>
        <w:rPr/>
      </w:r>
    </w:p>
    <w:p>
      <w:pPr>
        <w:pStyle w:val="TextBody"/>
        <w:spacing w:lineRule="auto" w:line="240" w:before="0" w:after="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(n)Liens in respect of performance bonds, bid bonds, appeal bonds, surety bonds, completion guarantees and similar obligations arising in the ordinary course of business not to exceed Seven Hundred Fifty Thousand Dollars ($750,000) in the aggregate outstanding at any time; and</w:t>
      </w:r>
    </w:p>
    <w:p>
      <w:pPr>
        <w:pStyle w:val="TextBody"/>
        <w:spacing w:before="1" w:after="283"/>
        <w:rPr/>
      </w:pPr>
      <w:r>
        <w:rPr/>
      </w:r>
    </w:p>
    <w:p>
      <w:pPr>
        <w:pStyle w:val="TextBody"/>
        <w:spacing w:lineRule="auto" w:line="240" w:before="91"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(o)Liens on cash and Cash Equivalents securing obligations under Permitted Hedging</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Agreements.</w:t>
      </w:r>
    </w:p>
    <w:p>
      <w:pPr>
        <w:pStyle w:val="TextBody"/>
        <w:spacing w:before="0" w:after="0"/>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Person</w:t>
      </w:r>
      <w:r>
        <w:rPr>
          <w:color w:val="000000"/>
        </w:rPr>
        <w:t xml:space="preserve">” </w:t>
      </w:r>
      <w:r>
        <w:rPr>
          <w:rFonts w:ascii="Times New Roman;sans-serif" w:hAnsi="Times New Roman;sans-serif"/>
          <w:b w:val="false"/>
          <w:color w:val="000000"/>
          <w:sz w:val="20"/>
        </w:rPr>
        <w:t>is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spacing w:before="0" w:after="0"/>
        <w:rPr/>
      </w:pPr>
      <w:r>
        <w:rPr/>
      </w:r>
    </w:p>
    <w:p>
      <w:pPr>
        <w:pStyle w:val="TextBody"/>
        <w:spacing w:lineRule="auto" w:line="240" w:before="0" w:after="0"/>
        <w:ind w:left="0" w:right="0" w:firstLine="720"/>
        <w:jc w:val="both"/>
        <w:rPr/>
      </w:pPr>
      <w:r>
        <w:rPr/>
        <w:drawing>
          <wp:inline distT="0" distB="63500" distL="0" distR="0">
            <wp:extent cx="14605" cy="142875"/>
            <wp:effectExtent l="0" t="0" r="0" b="0"/>
            <wp:docPr id="480"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51" descr=""/>
                    <pic:cNvPicPr>
                      <a:picLocks noChangeAspect="1" noChangeArrowheads="1"/>
                    </pic:cNvPicPr>
                  </pic:nvPicPr>
                  <pic:blipFill>
                    <a:blip r:embed="rId257"/>
                    <a:stretch>
                      <a:fillRect/>
                    </a:stretch>
                  </pic:blipFill>
                  <pic:spPr bwMode="auto">
                    <a:xfrm>
                      <a:off x="0" y="0"/>
                      <a:ext cx="14605" cy="142875"/>
                    </a:xfrm>
                    <a:prstGeom prst="rect">
                      <a:avLst/>
                    </a:prstGeom>
                  </pic:spPr>
                </pic:pic>
              </a:graphicData>
            </a:graphic>
          </wp:inline>
        </w:drawing>
      </w:r>
      <w:r>
        <w:rPr>
          <w:color w:val="000000"/>
        </w:rPr>
        <w:t>“</w:t>
      </w:r>
      <w:r>
        <w:rPr>
          <w:rFonts w:ascii="Times New Roman;sans-serif" w:hAnsi="Times New Roman;sans-serif"/>
          <w:b/>
          <w:color w:val="000000"/>
          <w:sz w:val="20"/>
        </w:rPr>
        <w:t>Prepayment Fee</w:t>
      </w:r>
      <w:r>
        <w:rPr>
          <w:color w:val="000000"/>
        </w:rPr>
        <w:t xml:space="preserve">” </w:t>
      </w:r>
      <w:r>
        <w:rPr>
          <w:rFonts w:ascii="Times New Roman;sans-serif" w:hAnsi="Times New Roman;sans-serif"/>
          <w:b w:val="false"/>
          <w:color w:val="000000"/>
          <w:sz w:val="20"/>
        </w:rPr>
        <w:t xml:space="preserve">is a fee due upon prepayment (whether voluntary or otherwise) of the Term Loan Advance in full </w:t>
      </w:r>
      <w:r>
        <w:rPr>
          <w:rFonts w:ascii="Times New Roman;sans-serif" w:hAnsi="Times New Roman;sans-serif"/>
          <w:b w:val="false"/>
          <w:color w:val="007F00"/>
          <w:sz w:val="20"/>
          <w:u w:val="single"/>
        </w:rPr>
        <w:t>prior to the Term Loan Maturity Date</w:t>
      </w:r>
      <w:r>
        <w:rPr>
          <w:color w:val="007F00"/>
        </w:rPr>
        <w:t xml:space="preserve"> </w:t>
      </w:r>
      <w:r>
        <w:rPr>
          <w:rFonts w:ascii="Times New Roman;sans-serif" w:hAnsi="Times New Roman;sans-serif"/>
          <w:b w:val="false"/>
          <w:color w:val="000000"/>
          <w:sz w:val="20"/>
        </w:rPr>
        <w:t xml:space="preserve">equal to </w:t>
      </w:r>
      <w:r>
        <w:rPr>
          <w:rFonts w:ascii="Times New Roman;sans-serif" w:hAnsi="Times New Roman;sans-serif"/>
          <w:b w:val="false"/>
          <w:strike/>
          <w:color w:val="FF0000"/>
          <w:sz w:val="20"/>
        </w:rPr>
        <w:t>(i) one</w:t>
      </w:r>
      <w:r>
        <w:rPr>
          <w:rFonts w:ascii="Times New Roman;sans-serif" w:hAnsi="Times New Roman;sans-serif"/>
          <w:b w:val="false"/>
          <w:color w:val="0000FF"/>
          <w:sz w:val="20"/>
          <w:u w:val="single"/>
        </w:rPr>
        <w:t>two</w:t>
      </w:r>
      <w:r>
        <w:rPr>
          <w:color w:val="0000FF"/>
        </w:rPr>
        <w:t xml:space="preserve"> </w:t>
      </w:r>
      <w:r>
        <w:rPr>
          <w:rFonts w:ascii="Times New Roman;sans-serif" w:hAnsi="Times New Roman;sans-serif"/>
          <w:b w:val="false"/>
          <w:color w:val="000000"/>
          <w:sz w:val="20"/>
        </w:rPr>
        <w:t>percent (</w:t>
      </w:r>
      <w:r>
        <w:rPr>
          <w:rFonts w:ascii="Times New Roman;sans-serif" w:hAnsi="Times New Roman;sans-serif"/>
          <w:b w:val="false"/>
          <w:strike/>
          <w:color w:val="FF0000"/>
          <w:sz w:val="20"/>
        </w:rPr>
        <w:t>1.00</w:t>
      </w:r>
      <w:r>
        <w:rPr>
          <w:rFonts w:ascii="Times New Roman;sans-serif" w:hAnsi="Times New Roman;sans-serif"/>
          <w:b w:val="false"/>
          <w:color w:val="0000FF"/>
          <w:sz w:val="20"/>
          <w:u w:val="single"/>
        </w:rPr>
        <w:t>2.00</w:t>
      </w:r>
      <w:r>
        <w:rPr>
          <w:rFonts w:ascii="Times New Roman;sans-serif" w:hAnsi="Times New Roman;sans-serif"/>
          <w:b w:val="false"/>
          <w:color w:val="000000"/>
          <w:sz w:val="20"/>
        </w:rPr>
        <w:t>%) of the aggregate</w:t>
      </w:r>
    </w:p>
    <w:p>
      <w:pPr>
        <w:pStyle w:val="TextBody"/>
        <w:spacing w:lineRule="auto" w:line="240" w:before="0" w:after="0"/>
        <w:jc w:val="both"/>
        <w:rPr/>
      </w:pPr>
      <w:r>
        <w:rPr/>
        <w:drawing>
          <wp:inline distT="0" distB="63500" distL="0" distR="0">
            <wp:extent cx="5895975" cy="14605"/>
            <wp:effectExtent l="0" t="0" r="0" b="0"/>
            <wp:docPr id="481"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252" descr=""/>
                    <pic:cNvPicPr>
                      <a:picLocks noChangeAspect="1" noChangeArrowheads="1"/>
                    </pic:cNvPicPr>
                  </pic:nvPicPr>
                  <pic:blipFill>
                    <a:blip r:embed="rId258"/>
                    <a:stretch>
                      <a:fillRect/>
                    </a:stretch>
                  </pic:blipFill>
                  <pic:spPr bwMode="auto">
                    <a:xfrm>
                      <a:off x="0" y="0"/>
                      <a:ext cx="5895975" cy="14605"/>
                    </a:xfrm>
                    <a:prstGeom prst="rect">
                      <a:avLst/>
                    </a:prstGeom>
                  </pic:spPr>
                </pic:pic>
              </a:graphicData>
            </a:graphic>
          </wp:inline>
        </w:drawing>
      </w:r>
      <w:r>
        <w:rPr>
          <w:rFonts w:ascii="Times New Roman;sans-serif" w:hAnsi="Times New Roman;sans-serif"/>
          <w:b w:val="false"/>
          <w:strike/>
          <w:color w:val="FF0000"/>
          <w:sz w:val="20"/>
        </w:rPr>
        <w:t>original</w:t>
      </w:r>
      <w:r>
        <w:rPr>
          <w:rFonts w:ascii="Times New Roman;sans-serif" w:hAnsi="Times New Roman;sans-serif"/>
          <w:b w:val="false"/>
          <w:color w:val="0000FF"/>
          <w:sz w:val="20"/>
        </w:rPr>
        <w:t xml:space="preserve">l </w:t>
      </w:r>
      <w:r>
        <w:rPr>
          <w:rFonts w:ascii="Times New Roman;sans-serif" w:hAnsi="Times New Roman;sans-serif"/>
          <w:b w:val="false"/>
          <w:color w:val="000000"/>
          <w:sz w:val="20"/>
        </w:rPr>
        <w:t xml:space="preserve">principal amount of the Term Loan Advance </w:t>
      </w:r>
      <w:r>
        <w:rPr>
          <w:rFonts w:ascii="Times New Roman;sans-serif" w:hAnsi="Times New Roman;sans-serif"/>
          <w:b w:val="false"/>
          <w:strike/>
          <w:color w:val="FF0000"/>
          <w:sz w:val="20"/>
        </w:rPr>
        <w:t>made by Bank to Borrower hereunder, if such prepayment</w:t>
      </w:r>
      <w:r>
        <w:rPr>
          <w:color w:val="FF0000"/>
        </w:rPr>
        <w:t xml:space="preserve"> </w:t>
      </w:r>
      <w:r>
        <w:rPr>
          <w:rFonts w:ascii="Times New Roman;sans-serif" w:hAnsi="Times New Roman;sans-serif"/>
          <w:b w:val="false"/>
          <w:strike/>
          <w:color w:val="FF0000"/>
          <w:sz w:val="20"/>
        </w:rPr>
        <w:t>occurs prior to the second (2nd) anniversary of the Effective Date, (ii) zero percent (0.00%) of the aggregate original</w:t>
      </w:r>
      <w:r>
        <w:rPr>
          <w:color w:val="FF0000"/>
        </w:rPr>
        <w:t xml:space="preserve"> </w:t>
      </w:r>
      <w:r>
        <w:rPr>
          <w:rFonts w:ascii="Times New Roman;sans-serif" w:hAnsi="Times New Roman;sans-serif"/>
          <w:b w:val="false"/>
          <w:strike/>
          <w:color w:val="FF0000"/>
          <w:sz w:val="20"/>
        </w:rPr>
        <w:t>principal amount of</w:t>
      </w:r>
      <w:r>
        <w:rPr>
          <w:rFonts w:ascii="Times New Roman;sans-serif" w:hAnsi="Times New Roman;sans-serif"/>
          <w:b w:val="false"/>
          <w:color w:val="0000FF"/>
          <w:sz w:val="20"/>
          <w:u w:val="single"/>
        </w:rPr>
        <w:t>being prepaid on such date, provided, however, that no such Prepayment Fee is accrued or</w:t>
      </w:r>
      <w:r>
        <w:rPr>
          <w:color w:val="0000FF"/>
        </w:rPr>
        <w:t xml:space="preserve"> </w:t>
      </w:r>
      <w:r>
        <w:rPr>
          <w:rFonts w:ascii="Times New Roman;sans-serif" w:hAnsi="Times New Roman;sans-serif"/>
          <w:b w:val="false"/>
          <w:color w:val="0000FF"/>
          <w:sz w:val="20"/>
          <w:u w:val="single"/>
        </w:rPr>
        <w:t>payable to Bank, and such Prepayment Fee is waived by Bank (i) with respect to</w:t>
      </w:r>
      <w:r>
        <w:rPr>
          <w:color w:val="0000FF"/>
        </w:rPr>
        <w:t xml:space="preserve"> </w:t>
      </w:r>
      <w:r>
        <w:rPr>
          <w:rFonts w:ascii="Times New Roman;sans-serif" w:hAnsi="Times New Roman;sans-serif"/>
          <w:b w:val="false"/>
          <w:color w:val="000000"/>
          <w:sz w:val="20"/>
        </w:rPr>
        <w:t xml:space="preserve">the Term Loan Advance </w:t>
      </w:r>
      <w:r>
        <w:rPr>
          <w:rFonts w:ascii="Times New Roman;sans-serif" w:hAnsi="Times New Roman;sans-serif"/>
          <w:b w:val="false"/>
          <w:strike/>
          <w:color w:val="FF0000"/>
          <w:sz w:val="20"/>
        </w:rPr>
        <w:t>made by</w:t>
      </w:r>
      <w:r>
        <w:rPr>
          <w:color w:val="FF0000"/>
        </w:rPr>
        <w:t xml:space="preserve"> </w:t>
      </w:r>
      <w:r>
        <w:rPr>
          <w:rFonts w:ascii="Times New Roman;sans-serif" w:hAnsi="Times New Roman;sans-serif"/>
          <w:b w:val="false"/>
          <w:strike/>
          <w:color w:val="FF0000"/>
          <w:sz w:val="20"/>
        </w:rPr>
        <w:t>Bank to Borrower hereunder if such prepayment occurs on or</w:t>
      </w:r>
      <w:r>
        <w:rPr>
          <w:color w:val="FF0000"/>
        </w:rPr>
        <w:t xml:space="preserve"> </w:t>
      </w:r>
      <w:r>
        <w:rPr>
          <w:rFonts w:ascii="Times New Roman;sans-serif" w:hAnsi="Times New Roman;sans-serif"/>
          <w:b w:val="false"/>
          <w:strike/>
          <w:color w:val="007F00"/>
          <w:sz w:val="20"/>
        </w:rPr>
        <w:t>at any time after the</w:t>
      </w:r>
      <w:r>
        <w:rPr>
          <w:color w:val="007F00"/>
        </w:rPr>
        <w:t xml:space="preserve"> </w:t>
      </w:r>
      <w:r>
        <w:rPr>
          <w:rFonts w:ascii="Times New Roman;sans-serif" w:hAnsi="Times New Roman;sans-serif"/>
          <w:b w:val="false"/>
          <w:strike/>
          <w:color w:val="FF0000"/>
          <w:sz w:val="20"/>
        </w:rPr>
        <w:t>second (2nd) anniversary of the</w:t>
      </w:r>
      <w:r>
        <w:rPr>
          <w:color w:val="FF0000"/>
        </w:rPr>
        <w:t xml:space="preserve"> </w:t>
      </w:r>
      <w:r>
        <w:rPr>
          <w:rFonts w:ascii="Times New Roman;sans-serif" w:hAnsi="Times New Roman;sans-serif"/>
          <w:b w:val="false"/>
          <w:strike/>
          <w:color w:val="FF0000"/>
          <w:sz w:val="20"/>
        </w:rPr>
        <w:t>Effective Date but</w:t>
      </w:r>
      <w:r>
        <w:rPr>
          <w:color w:val="FF0000"/>
        </w:rPr>
        <w:t xml:space="preserve"> </w:t>
      </w:r>
      <w:r>
        <w:rPr>
          <w:rFonts w:ascii="Times New Roman;sans-serif" w:hAnsi="Times New Roman;sans-serif"/>
          <w:b w:val="false"/>
          <w:strike/>
          <w:color w:val="007F00"/>
          <w:sz w:val="20"/>
        </w:rPr>
        <w:t>prior to the Term Loan Maturity Date</w:t>
      </w:r>
      <w:r>
        <w:rPr>
          <w:rFonts w:ascii="Times New Roman;sans-serif" w:hAnsi="Times New Roman;sans-serif"/>
          <w:b w:val="false"/>
          <w:strike/>
          <w:color w:val="FF0000"/>
          <w:sz w:val="20"/>
        </w:rPr>
        <w:t>;</w:t>
      </w:r>
      <w:r>
        <w:rPr>
          <w:color w:val="FF0000"/>
        </w:rPr>
        <w:t xml:space="preserve"> </w:t>
      </w:r>
      <w:r>
        <w:rPr>
          <w:rFonts w:ascii="Times New Roman;sans-serif" w:hAnsi="Times New Roman;sans-serif"/>
          <w:b w:val="false"/>
          <w:color w:val="0000FF"/>
          <w:sz w:val="20"/>
          <w:u w:val="single"/>
        </w:rPr>
        <w:t>(as defined in the Agreement prior to the First Amendment</w:t>
      </w:r>
      <w:r>
        <w:rPr>
          <w:color w:val="0000FF"/>
        </w:rPr>
        <w:t xml:space="preserve"> </w:t>
      </w:r>
      <w:r>
        <w:rPr>
          <w:rFonts w:ascii="Times New Roman;sans-serif" w:hAnsi="Times New Roman;sans-serif"/>
          <w:b w:val="false"/>
          <w:color w:val="0000FF"/>
          <w:sz w:val="20"/>
          <w:u w:val="single"/>
        </w:rPr>
        <w:t>Effective Date) prepaid on or around the First Amendment Effective Date, and (ii) if any such prepaid Term Loan</w:t>
      </w:r>
      <w:r>
        <w:rPr>
          <w:color w:val="0000FF"/>
        </w:rPr>
        <w:t xml:space="preserve"> </w:t>
      </w:r>
      <w:r>
        <w:rPr>
          <w:rFonts w:ascii="Times New Roman;sans-serif" w:hAnsi="Times New Roman;sans-serif"/>
          <w:b w:val="false"/>
          <w:color w:val="0000FF"/>
          <w:sz w:val="20"/>
          <w:u w:val="single"/>
        </w:rPr>
        <w:t>Advance is refinanced through a new credit facility provided by Bank.</w:t>
      </w:r>
    </w:p>
    <w:p>
      <w:pPr>
        <w:pStyle w:val="TextBody"/>
        <w:spacing w:before="3" w:after="283"/>
        <w:rPr/>
      </w:pPr>
      <w:r>
        <w:rPr/>
      </w:r>
    </w:p>
    <w:p>
      <w:pPr>
        <w:pStyle w:val="TextBody"/>
        <w:spacing w:lineRule="auto" w:line="240" w:before="91" w:after="283"/>
        <w:rPr/>
      </w:pPr>
      <w:r>
        <w:rPr>
          <w:color w:val="000000"/>
        </w:rPr>
        <w:t>“</w:t>
      </w:r>
      <w:r>
        <w:rPr>
          <w:rFonts w:ascii="Times New Roman;sans-serif" w:hAnsi="Times New Roman;sans-serif"/>
          <w:b/>
          <w:color w:val="000000"/>
          <w:sz w:val="20"/>
        </w:rPr>
        <w:t>Prime Rate</w:t>
      </w:r>
      <w:r>
        <w:rPr>
          <w:color w:val="000000"/>
        </w:rPr>
        <w:t xml:space="preserve">” </w:t>
      </w:r>
      <w:r>
        <w:rPr>
          <w:rFonts w:ascii="Times New Roman;sans-serif" w:hAnsi="Times New Roman;sans-serif"/>
          <w:b w:val="false"/>
          <w:color w:val="000000"/>
          <w:sz w:val="20"/>
        </w:rPr>
        <w:t>is set forth on Schedule I hereto.</w:t>
      </w:r>
    </w:p>
    <w:p>
      <w:pPr>
        <w:pStyle w:val="TextBody"/>
        <w:spacing w:before="10" w:after="283"/>
        <w:rPr/>
      </w:pPr>
      <w:r>
        <w:rPr/>
      </w:r>
    </w:p>
    <w:p>
      <w:pPr>
        <w:pStyle w:val="TextBody"/>
        <w:spacing w:lineRule="auto" w:line="240" w:before="0" w:after="0"/>
        <w:rPr/>
      </w:pPr>
      <w:r>
        <w:rPr>
          <w:color w:val="000000"/>
        </w:rPr>
        <w:t>“</w:t>
      </w:r>
      <w:r>
        <w:rPr>
          <w:rFonts w:ascii="Times New Roman;sans-serif" w:hAnsi="Times New Roman;sans-serif"/>
          <w:b/>
          <w:color w:val="000000"/>
          <w:sz w:val="20"/>
        </w:rPr>
        <w:t>Prime Rate Margin</w:t>
      </w:r>
      <w:r>
        <w:rPr>
          <w:color w:val="000000"/>
        </w:rPr>
        <w:t xml:space="preserve">” </w:t>
      </w:r>
      <w:r>
        <w:rPr>
          <w:rFonts w:ascii="Times New Roman;sans-serif" w:hAnsi="Times New Roman;sans-serif"/>
          <w:b w:val="false"/>
          <w:color w:val="000000"/>
          <w:sz w:val="20"/>
        </w:rPr>
        <w:t>is set forth on Schedule I hereto.</w:t>
      </w:r>
    </w:p>
    <w:p>
      <w:pPr>
        <w:pStyle w:val="TextBody"/>
        <w:spacing w:before="10" w:after="283"/>
        <w:rPr/>
      </w:pPr>
      <w:r>
        <w:rPr/>
      </w:r>
    </w:p>
    <w:p>
      <w:pPr>
        <w:pStyle w:val="TextBody"/>
        <w:spacing w:lineRule="auto" w:line="240" w:before="0" w:after="0"/>
        <w:ind w:left="0" w:right="0" w:firstLine="720"/>
        <w:rPr/>
      </w:pPr>
      <w:r>
        <w:rPr>
          <w:color w:val="000000"/>
        </w:rPr>
        <w:t>“</w:t>
      </w:r>
      <w:r>
        <w:rPr>
          <w:rFonts w:ascii="Times New Roman;sans-serif" w:hAnsi="Times New Roman;sans-serif"/>
          <w:b/>
          <w:color w:val="000000"/>
          <w:sz w:val="20"/>
        </w:rPr>
        <w:t>Qualified Cash</w:t>
      </w:r>
      <w:r>
        <w:rPr>
          <w:color w:val="000000"/>
        </w:rPr>
        <w:t xml:space="preserve">” </w:t>
      </w:r>
      <w:r>
        <w:rPr>
          <w:rFonts w:ascii="Times New Roman;sans-serif" w:hAnsi="Times New Roman;sans-serif"/>
          <w:b w:val="false"/>
          <w:color w:val="000000"/>
          <w:sz w:val="20"/>
        </w:rPr>
        <w:t>means the amount of the Borrower and its Subsidiaries cash and Cash Equivalents held with Bank and/or Banks’ Affiliates and/or in accounts subject to a Control Agreement in favor of Bank;</w:t>
      </w:r>
    </w:p>
    <w:p>
      <w:pPr>
        <w:pStyle w:val="TextBody"/>
        <w:spacing w:before="0" w:after="0"/>
        <w:rPr/>
      </w:pPr>
      <w:r>
        <w:rPr/>
      </w:r>
    </w:p>
    <w:p>
      <w:pPr>
        <w:pStyle w:val="TextBody"/>
        <w:spacing w:lineRule="auto" w:line="240" w:before="0" w:after="0"/>
        <w:rPr/>
      </w:pPr>
      <w:r>
        <w:rPr/>
        <w:drawing>
          <wp:inline distT="0" distB="63500" distL="0" distR="0">
            <wp:extent cx="14605" cy="142875"/>
            <wp:effectExtent l="0" t="0" r="0" b="0"/>
            <wp:docPr id="482"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53" descr=""/>
                    <pic:cNvPicPr>
                      <a:picLocks noChangeAspect="1" noChangeArrowheads="1"/>
                    </pic:cNvPicPr>
                  </pic:nvPicPr>
                  <pic:blipFill>
                    <a:blip r:embed="rId259"/>
                    <a:stretch>
                      <a:fillRect/>
                    </a:stretch>
                  </pic:blipFill>
                  <pic:spPr bwMode="auto">
                    <a:xfrm>
                      <a:off x="0" y="0"/>
                      <a:ext cx="14605" cy="142875"/>
                    </a:xfrm>
                    <a:prstGeom prst="rect">
                      <a:avLst/>
                    </a:prstGeom>
                  </pic:spPr>
                </pic:pic>
              </a:graphicData>
            </a:graphic>
          </wp:inline>
        </w:drawing>
      </w:r>
      <w:r>
        <w:rPr>
          <w:color w:val="000000"/>
        </w:rPr>
        <w:t>“</w:t>
      </w:r>
      <w:r>
        <w:rPr>
          <w:rFonts w:ascii="Times New Roman;sans-serif" w:hAnsi="Times New Roman;sans-serif"/>
          <w:b/>
          <w:color w:val="000000"/>
          <w:sz w:val="20"/>
        </w:rPr>
        <w:t>Quarterly Financial Statements</w:t>
      </w:r>
      <w:r>
        <w:rPr>
          <w:color w:val="000000"/>
        </w:rPr>
        <w:t xml:space="preserve">” </w:t>
      </w:r>
      <w:r>
        <w:rPr>
          <w:rFonts w:ascii="Times New Roman;sans-serif" w:hAnsi="Times New Roman;sans-serif"/>
          <w:b w:val="false"/>
          <w:color w:val="000000"/>
          <w:sz w:val="20"/>
        </w:rPr>
        <w:t>is defined in Section 5.3(</w:t>
      </w:r>
      <w:r>
        <w:rPr>
          <w:rFonts w:ascii="Times New Roman;sans-serif" w:hAnsi="Times New Roman;sans-serif"/>
          <w:b w:val="false"/>
          <w:strike/>
          <w:color w:val="FF0000"/>
          <w:sz w:val="20"/>
        </w:rPr>
        <w:t>a</w:t>
      </w:r>
      <w:r>
        <w:rPr>
          <w:rFonts w:ascii="Times New Roman;sans-serif" w:hAnsi="Times New Roman;sans-serif"/>
          <w:b w:val="false"/>
          <w:color w:val="0000FF"/>
          <w:sz w:val="20"/>
          <w:u w:val="single"/>
        </w:rPr>
        <w:t>c</w:t>
      </w:r>
      <w:r>
        <w:rPr>
          <w:rFonts w:ascii="Times New Roman;sans-serif" w:hAnsi="Times New Roman;sans-serif"/>
          <w:b w:val="false"/>
          <w:color w:val="000000"/>
          <w:sz w:val="20"/>
        </w:rPr>
        <w:t>).</w:t>
      </w:r>
    </w:p>
    <w:p>
      <w:pPr>
        <w:pStyle w:val="TextBody"/>
        <w:spacing w:before="0" w:after="0"/>
        <w:rPr/>
      </w:pPr>
      <w:r>
        <w:rPr/>
      </w:r>
    </w:p>
    <w:p>
      <w:pPr>
        <w:pStyle w:val="TextBody"/>
        <w:spacing w:lineRule="auto" w:line="240" w:before="91" w:after="283"/>
        <w:ind w:left="0" w:right="0" w:firstLine="720"/>
        <w:rPr/>
      </w:pPr>
      <w:r>
        <w:rPr/>
        <w:drawing>
          <wp:inline distT="0" distB="63500" distL="0" distR="0">
            <wp:extent cx="14605" cy="285750"/>
            <wp:effectExtent l="0" t="0" r="0" b="0"/>
            <wp:docPr id="483"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54" descr=""/>
                    <pic:cNvPicPr>
                      <a:picLocks noChangeAspect="1" noChangeArrowheads="1"/>
                    </pic:cNvPicPr>
                  </pic:nvPicPr>
                  <pic:blipFill>
                    <a:blip r:embed="rId260"/>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Quick Assets</w:t>
      </w:r>
      <w:r>
        <w:rPr>
          <w:color w:val="0000FF"/>
          <w:u w:val="single"/>
        </w:rPr>
        <w:t xml:space="preserve">” </w:t>
      </w:r>
      <w:r>
        <w:rPr>
          <w:rFonts w:ascii="Times New Roman;sans-serif" w:hAnsi="Times New Roman;sans-serif"/>
          <w:b w:val="false"/>
          <w:color w:val="0000FF"/>
          <w:sz w:val="20"/>
          <w:u w:val="single"/>
        </w:rPr>
        <w:t>is, on any date, Borrower’s unrestricted and unencumbered cash and Cash Equivalents,</w:t>
      </w:r>
      <w:r>
        <w:rPr>
          <w:color w:val="0000FF"/>
        </w:rPr>
        <w:t xml:space="preserve"> </w:t>
      </w:r>
      <w:r>
        <w:rPr>
          <w:rFonts w:ascii="Times New Roman;sans-serif" w:hAnsi="Times New Roman;sans-serif"/>
          <w:b w:val="false"/>
          <w:color w:val="0000FF"/>
          <w:sz w:val="20"/>
          <w:u w:val="single"/>
        </w:rPr>
        <w:t>including, for the avoidance of doubt, balances in the Cash Collateral Account, and Eligible Accounts.</w:t>
      </w:r>
    </w:p>
    <w:p>
      <w:pPr>
        <w:pStyle w:val="TextBody"/>
        <w:spacing w:before="0" w:after="0"/>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Redemption Conditions</w:t>
      </w:r>
      <w:r>
        <w:rPr>
          <w:color w:val="000000"/>
        </w:rPr>
        <w:t xml:space="preserve">” </w:t>
      </w:r>
      <w:r>
        <w:rPr>
          <w:rFonts w:ascii="Times New Roman;sans-serif" w:hAnsi="Times New Roman;sans-serif"/>
          <w:b w:val="false"/>
          <w:color w:val="000000"/>
          <w:sz w:val="20"/>
        </w:rPr>
        <w:t>means, with respect to any redemption by the Borrower of any Permitted Convertible Debt, satisfaction of each of the following events: (a) no Event of Default shall exist or result therefrom,</w:t>
      </w:r>
    </w:p>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both immediately before and after such redemption, Borrower’s Qualified Cash shall be no less than the amount required to prepay the outstanding Obligations in full at the time of such redemption, including all outstanding principal of the Term Loans, the accrued and unpaid interest thereon, the Final Payment, and the Prepayment Fee (provided, however, for the avoidance of doubt no such prepayment is required at such time), and (c) both </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251710"/>
                <wp:effectExtent l="0" t="0" r="0" b="0"/>
                <wp:wrapNone/>
                <wp:docPr id="484" name="Frame182"/>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8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55" descr=""/>
                                          <pic:cNvPicPr>
                                            <a:picLocks noChangeAspect="1" noChangeArrowheads="1"/>
                                          </pic:cNvPicPr>
                                        </pic:nvPicPr>
                                        <pic:blipFill>
                                          <a:blip r:embed="rId26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86"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55" descr=""/>
                                    <pic:cNvPicPr>
                                      <a:picLocks noChangeAspect="1" noChangeArrowheads="1"/>
                                    </pic:cNvPicPr>
                                  </pic:nvPicPr>
                                  <pic:blipFill>
                                    <a:blip r:embed="rId26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before and after such redemption, Borrower’s Remaining Months Liquidity shall be no less than twelve (12).</w:t>
      </w:r>
    </w:p>
    <w:p>
      <w:pPr>
        <w:pStyle w:val="TextBody"/>
        <w:spacing w:before="3"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Registered Organization</w:t>
      </w:r>
      <w:r>
        <w:rPr>
          <w:color w:val="000000"/>
        </w:rPr>
        <w:t xml:space="preserve">” </w:t>
      </w:r>
      <w:r>
        <w:rPr>
          <w:rFonts w:ascii="Times New Roman;sans-serif" w:hAnsi="Times New Roman;sans-serif"/>
          <w:b w:val="false"/>
          <w:color w:val="000000"/>
          <w:sz w:val="20"/>
        </w:rPr>
        <w:t>is any “registered organization” as defined in the Code with such additions to such term as may hereafter be made.</w:t>
      </w:r>
    </w:p>
    <w:p>
      <w:pPr>
        <w:pStyle w:val="TextBody"/>
        <w:spacing w:before="11" w:after="283"/>
        <w:rPr/>
      </w:pPr>
      <w:r>
        <w:rPr/>
      </w:r>
    </w:p>
    <w:p>
      <w:pPr>
        <w:pStyle w:val="TextBody"/>
        <w:spacing w:lineRule="auto" w:line="240" w:before="0" w:after="0"/>
        <w:ind w:left="0" w:right="0" w:firstLine="720"/>
        <w:jc w:val="both"/>
        <w:rPr/>
      </w:pPr>
      <w:r>
        <w:rPr/>
        <w:drawing>
          <wp:inline distT="0" distB="63500" distL="0" distR="0">
            <wp:extent cx="14605" cy="142875"/>
            <wp:effectExtent l="0" t="0" r="0" b="0"/>
            <wp:docPr id="487"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256" descr=""/>
                    <pic:cNvPicPr>
                      <a:picLocks noChangeAspect="1" noChangeArrowheads="1"/>
                    </pic:cNvPicPr>
                  </pic:nvPicPr>
                  <pic:blipFill>
                    <a:blip r:embed="rId262"/>
                    <a:stretch>
                      <a:fillRect/>
                    </a:stretch>
                  </pic:blipFill>
                  <pic:spPr bwMode="auto">
                    <a:xfrm>
                      <a:off x="0" y="0"/>
                      <a:ext cx="14605" cy="142875"/>
                    </a:xfrm>
                    <a:prstGeom prst="rect">
                      <a:avLst/>
                    </a:prstGeom>
                  </pic:spPr>
                </pic:pic>
              </a:graphicData>
            </a:graphic>
          </wp:inline>
        </w:drawing>
      </w:r>
      <w:r>
        <w:rPr>
          <w:color w:val="000000"/>
        </w:rPr>
        <w:t>“</w:t>
      </w:r>
      <w:r>
        <w:rPr>
          <w:rFonts w:ascii="Times New Roman;sans-serif" w:hAnsi="Times New Roman;sans-serif"/>
          <w:b/>
          <w:color w:val="000000"/>
          <w:sz w:val="20"/>
        </w:rPr>
        <w:t>Remaining Months Liquidity</w:t>
      </w:r>
      <w:r>
        <w:rPr>
          <w:color w:val="000000"/>
        </w:rPr>
        <w:t xml:space="preserve">” </w:t>
      </w:r>
      <w:r>
        <w:rPr>
          <w:rFonts w:ascii="Times New Roman;sans-serif" w:hAnsi="Times New Roman;sans-serif"/>
          <w:b w:val="false"/>
          <w:color w:val="000000"/>
          <w:sz w:val="20"/>
        </w:rPr>
        <w:t xml:space="preserve">means Qualified Cash divided by </w:t>
      </w:r>
      <w:r>
        <w:rPr>
          <w:rFonts w:ascii="Times New Roman;sans-serif" w:hAnsi="Times New Roman;sans-serif"/>
          <w:b w:val="false"/>
          <w:color w:val="0000FF"/>
          <w:sz w:val="20"/>
          <w:u w:val="single"/>
        </w:rPr>
        <w:t>Adjusted</w:t>
      </w:r>
      <w:r>
        <w:rPr>
          <w:color w:val="0000FF"/>
        </w:rPr>
        <w:t xml:space="preserve"> </w:t>
      </w:r>
      <w:r>
        <w:rPr>
          <w:rFonts w:ascii="Times New Roman;sans-serif" w:hAnsi="Times New Roman;sans-serif"/>
          <w:b w:val="false"/>
          <w:color w:val="000000"/>
          <w:sz w:val="20"/>
        </w:rPr>
        <w:t>EBITDA (measured on a trailing twelve (12) month basis).</w:t>
      </w:r>
    </w:p>
    <w:p>
      <w:pPr>
        <w:pStyle w:val="TextBody"/>
        <w:spacing w:before="10" w:after="283"/>
        <w:rPr/>
      </w:pPr>
      <w:r>
        <w:rPr/>
      </w:r>
    </w:p>
    <w:p>
      <w:pPr>
        <w:pStyle w:val="TextBody"/>
        <w:spacing w:lineRule="auto" w:line="240" w:before="1" w:after="283"/>
        <w:rPr/>
      </w:pPr>
      <w:r>
        <w:rPr>
          <w:color w:val="000000"/>
        </w:rPr>
        <w:t>“</w:t>
      </w:r>
      <w:r>
        <w:rPr>
          <w:rFonts w:ascii="Times New Roman;sans-serif" w:hAnsi="Times New Roman;sans-serif"/>
          <w:b/>
          <w:color w:val="000000"/>
          <w:sz w:val="20"/>
        </w:rPr>
        <w:t>Representatives</w:t>
      </w:r>
      <w:r>
        <w:rPr>
          <w:color w:val="000000"/>
        </w:rPr>
        <w:t xml:space="preserve">” </w:t>
      </w:r>
      <w:r>
        <w:rPr>
          <w:rFonts w:ascii="Times New Roman;sans-serif" w:hAnsi="Times New Roman;sans-serif"/>
          <w:b w:val="false"/>
          <w:color w:val="000000"/>
          <w:sz w:val="20"/>
        </w:rPr>
        <w:t>is defined in Section 11.8.</w:t>
      </w:r>
    </w:p>
    <w:p>
      <w:pPr>
        <w:pStyle w:val="TextBody"/>
        <w:spacing w:lineRule="auto" w:line="240" w:before="10" w:after="283"/>
        <w:rPr/>
      </w:pPr>
      <w:r>
        <w:rPr/>
        <w:drawing>
          <wp:inline distT="0" distB="63500" distL="0" distR="0">
            <wp:extent cx="5895975" cy="14605"/>
            <wp:effectExtent l="0" t="0" r="0" b="0"/>
            <wp:docPr id="488"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257" descr=""/>
                    <pic:cNvPicPr>
                      <a:picLocks noChangeAspect="1" noChangeArrowheads="1"/>
                    </pic:cNvPicPr>
                  </pic:nvPicPr>
                  <pic:blipFill>
                    <a:blip r:embed="rId263"/>
                    <a:stretch>
                      <a:fillRect/>
                    </a:stretch>
                  </pic:blipFill>
                  <pic:spPr bwMode="auto">
                    <a:xfrm>
                      <a:off x="0" y="0"/>
                      <a:ext cx="5895975" cy="1460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Reserves</w:t>
      </w:r>
      <w:r>
        <w:rPr>
          <w:color w:val="0000FF"/>
          <w:u w:val="single"/>
        </w:rPr>
        <w:t xml:space="preserve">” </w:t>
      </w:r>
      <w:r>
        <w:rPr>
          <w:rFonts w:ascii="Times New Roman;sans-serif" w:hAnsi="Times New Roman;sans-serif"/>
          <w:b w:val="false"/>
          <w:color w:val="0000FF"/>
          <w:sz w:val="20"/>
          <w:u w:val="single"/>
        </w:rPr>
        <w:t>means, as of any date of determination, such amounts as Bank may from time to time establish</w:t>
      </w:r>
      <w:r>
        <w:rPr>
          <w:color w:val="0000FF"/>
        </w:rPr>
        <w:t xml:space="preserve"> </w:t>
      </w:r>
      <w:r>
        <w:rPr>
          <w:rFonts w:ascii="Times New Roman;sans-serif" w:hAnsi="Times New Roman;sans-serif"/>
          <w:b w:val="false"/>
          <w:color w:val="0000FF"/>
          <w:sz w:val="20"/>
          <w:u w:val="single"/>
        </w:rPr>
        <w:t>and revise in its commercially reasonable discretion, reducing the amount of Advances and other financial</w:t>
      </w:r>
      <w:r>
        <w:rPr>
          <w:color w:val="0000FF"/>
        </w:rPr>
        <w:t xml:space="preserve"> </w:t>
      </w:r>
      <w:r>
        <w:rPr>
          <w:rFonts w:ascii="Times New Roman;sans-serif" w:hAnsi="Times New Roman;sans-serif"/>
          <w:b w:val="false"/>
          <w:color w:val="0000FF"/>
          <w:sz w:val="20"/>
          <w:u w:val="single"/>
        </w:rPr>
        <w:t>accommodations which would otherwise be available to Borrower (a) to reflect events, conditions, contingencies or</w:t>
      </w:r>
      <w:r>
        <w:rPr>
          <w:color w:val="0000FF"/>
        </w:rPr>
        <w:t xml:space="preserve"> </w:t>
      </w:r>
      <w:r>
        <w:rPr>
          <w:rFonts w:ascii="Times New Roman;sans-serif" w:hAnsi="Times New Roman;sans-serif"/>
          <w:b w:val="false"/>
          <w:color w:val="0000FF"/>
          <w:sz w:val="20"/>
          <w:u w:val="single"/>
        </w:rPr>
        <w:t>risks which, as determined by Bank in its commercially reasonable discretion, do or may adversely affect (i) the</w:t>
      </w:r>
      <w:r>
        <w:rPr>
          <w:color w:val="0000FF"/>
        </w:rPr>
        <w:t xml:space="preserve"> </w:t>
      </w:r>
      <w:r>
        <w:rPr>
          <w:rFonts w:ascii="Times New Roman;sans-serif" w:hAnsi="Times New Roman;sans-serif"/>
          <w:b w:val="false"/>
          <w:color w:val="0000FF"/>
          <w:sz w:val="20"/>
          <w:u w:val="single"/>
        </w:rPr>
        <w:t>Collateral or any other property which is security for the Obligations or its value (including without limitation any</w:t>
      </w:r>
      <w:r>
        <w:rPr>
          <w:color w:val="0000FF"/>
        </w:rPr>
        <w:t xml:space="preserve"> </w:t>
      </w:r>
      <w:r>
        <w:rPr>
          <w:rFonts w:ascii="Times New Roman;sans-serif" w:hAnsi="Times New Roman;sans-serif"/>
          <w:b w:val="false"/>
          <w:color w:val="0000FF"/>
          <w:sz w:val="20"/>
          <w:u w:val="single"/>
        </w:rPr>
        <w:t>increase in delinquencies of Accounts), (ii) the assets, business or prospects of Borrower or any Guarantor, or (iii)</w:t>
      </w:r>
      <w:r>
        <w:rPr>
          <w:color w:val="0000FF"/>
        </w:rPr>
        <w:t xml:space="preserve"> </w:t>
      </w:r>
      <w:r>
        <w:rPr>
          <w:rFonts w:ascii="Times New Roman;sans-serif" w:hAnsi="Times New Roman;sans-serif"/>
          <w:b w:val="false"/>
          <w:color w:val="0000FF"/>
          <w:sz w:val="20"/>
          <w:u w:val="single"/>
        </w:rPr>
        <w:t>the security interests and other rights of Bank in the Collateral (including the enforceability, perfection and priority</w:t>
      </w:r>
      <w:r>
        <w:rPr>
          <w:color w:val="0000FF"/>
        </w:rPr>
        <w:t xml:space="preserve"> </w:t>
      </w:r>
      <w:r>
        <w:rPr>
          <w:rFonts w:ascii="Times New Roman;sans-serif" w:hAnsi="Times New Roman;sans-serif"/>
          <w:b w:val="false"/>
          <w:color w:val="0000FF"/>
          <w:sz w:val="20"/>
          <w:u w:val="single"/>
        </w:rPr>
        <w:t>thereof); or (b) to reflect Bank's reasonable belief that any collateral report or financial information furnished by or</w:t>
      </w:r>
      <w:r>
        <w:rPr>
          <w:color w:val="0000FF"/>
        </w:rPr>
        <w:t xml:space="preserve"> </w:t>
      </w:r>
      <w:r>
        <w:rPr>
          <w:rFonts w:ascii="Times New Roman;sans-serif" w:hAnsi="Times New Roman;sans-serif"/>
          <w:b w:val="false"/>
          <w:color w:val="0000FF"/>
          <w:sz w:val="20"/>
          <w:u w:val="single"/>
        </w:rPr>
        <w:t>on behalf of Borrower or any Guarantor to Bank is or may have been incomplete, inaccurate or misleading in any</w:t>
      </w:r>
      <w:r>
        <w:rPr>
          <w:color w:val="0000FF"/>
        </w:rPr>
        <w:t xml:space="preserve"> </w:t>
      </w:r>
      <w:r>
        <w:rPr>
          <w:rFonts w:ascii="Times New Roman;sans-serif" w:hAnsi="Times New Roman;sans-serif"/>
          <w:b w:val="false"/>
          <w:color w:val="0000FF"/>
          <w:sz w:val="20"/>
          <w:u w:val="single"/>
        </w:rPr>
        <w:t>material respect; or (c) in respect of any state of facts which Bank determines in its commercially reasonable</w:t>
      </w:r>
      <w:r>
        <w:rPr>
          <w:color w:val="0000FF"/>
        </w:rPr>
        <w:t xml:space="preserve"> </w:t>
      </w:r>
      <w:r>
        <w:rPr>
          <w:rFonts w:ascii="Times New Roman;sans-serif" w:hAnsi="Times New Roman;sans-serif"/>
          <w:b w:val="false"/>
          <w:color w:val="0000FF"/>
          <w:sz w:val="20"/>
          <w:u w:val="single"/>
        </w:rPr>
        <w:t>discretion constitutes a Default or an Event of Default.</w:t>
      </w:r>
    </w:p>
    <w:p>
      <w:pPr>
        <w:pStyle w:val="TextBody"/>
        <w:spacing w:before="4" w:after="283"/>
        <w:rPr/>
      </w:pPr>
      <w:r>
        <w:rPr/>
      </w:r>
    </w:p>
    <w:p>
      <w:pPr>
        <w:pStyle w:val="TextBody"/>
        <w:spacing w:lineRule="auto" w:line="240" w:before="91" w:after="283"/>
        <w:ind w:left="0" w:right="0" w:firstLine="720"/>
        <w:rPr/>
      </w:pPr>
      <w:r>
        <w:rPr>
          <w:color w:val="000000"/>
        </w:rPr>
        <w:t>“</w:t>
      </w:r>
      <w:r>
        <w:rPr>
          <w:rFonts w:ascii="Times New Roman;sans-serif" w:hAnsi="Times New Roman;sans-serif"/>
          <w:b/>
          <w:color w:val="000000"/>
          <w:sz w:val="20"/>
        </w:rPr>
        <w:t>Responsible Officer</w:t>
      </w:r>
      <w:r>
        <w:rPr>
          <w:color w:val="000000"/>
        </w:rPr>
        <w:t xml:space="preserve">” </w:t>
      </w:r>
      <w:r>
        <w:rPr>
          <w:rFonts w:ascii="Times New Roman;sans-serif" w:hAnsi="Times New Roman;sans-serif"/>
          <w:b w:val="false"/>
          <w:color w:val="000000"/>
          <w:sz w:val="20"/>
        </w:rPr>
        <w:t>is any of the Chief Executive Officer, President, Chief Financial Officer, Chief Legal Officer, and Controller of Borrower.</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Restricted License</w:t>
      </w:r>
      <w:r>
        <w:rPr>
          <w:color w:val="000000"/>
        </w:rPr>
        <w:t xml:space="preserve">” </w:t>
      </w:r>
      <w:r>
        <w:rPr>
          <w:rFonts w:ascii="Times New Roman;sans-serif" w:hAnsi="Times New Roman;sans-serif"/>
          <w:b w:val="false"/>
          <w:color w:val="000000"/>
          <w:sz w:val="20"/>
        </w:rPr>
        <w:t>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material Collateral.</w:t>
      </w:r>
    </w:p>
    <w:p>
      <w:pPr>
        <w:pStyle w:val="TextBody"/>
        <w:spacing w:before="0" w:after="0"/>
        <w:rPr/>
      </w:pPr>
      <w:r>
        <w:rPr/>
      </w:r>
    </w:p>
    <w:p>
      <w:pPr>
        <w:pStyle w:val="TextBody"/>
        <w:spacing w:lineRule="auto" w:line="240" w:before="0" w:after="0"/>
        <w:rPr/>
      </w:pPr>
      <w:r>
        <w:rPr/>
        <w:drawing>
          <wp:inline distT="0" distB="63500" distL="0" distR="0">
            <wp:extent cx="14605" cy="142875"/>
            <wp:effectExtent l="0" t="0" r="0" b="0"/>
            <wp:docPr id="489"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258" descr=""/>
                    <pic:cNvPicPr>
                      <a:picLocks noChangeAspect="1" noChangeArrowheads="1"/>
                    </pic:cNvPicPr>
                  </pic:nvPicPr>
                  <pic:blipFill>
                    <a:blip r:embed="rId264"/>
                    <a:stretch>
                      <a:fillRect/>
                    </a:stretch>
                  </pic:blipFill>
                  <pic:spPr bwMode="auto">
                    <a:xfrm>
                      <a:off x="0" y="0"/>
                      <a:ext cx="14605" cy="14287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Revolving Line</w:t>
      </w:r>
      <w:r>
        <w:rPr>
          <w:color w:val="0000FF"/>
          <w:u w:val="single"/>
        </w:rPr>
        <w:t xml:space="preserve">” </w:t>
      </w:r>
      <w:r>
        <w:rPr>
          <w:rFonts w:ascii="Times New Roman;sans-serif" w:hAnsi="Times New Roman;sans-serif"/>
          <w:b w:val="false"/>
          <w:color w:val="0000FF"/>
          <w:sz w:val="20"/>
          <w:u w:val="single"/>
        </w:rPr>
        <w:t>is set forth on Schedule I hereto.</w:t>
      </w:r>
    </w:p>
    <w:p>
      <w:pPr>
        <w:pStyle w:val="TextBody"/>
        <w:spacing w:before="0" w:after="0"/>
        <w:rPr/>
      </w:pPr>
      <w:r>
        <w:rPr/>
      </w:r>
    </w:p>
    <w:p>
      <w:pPr>
        <w:pStyle w:val="TextBody"/>
        <w:spacing w:lineRule="auto" w:line="240" w:before="91" w:after="283"/>
        <w:rPr/>
      </w:pPr>
      <w:r>
        <w:rPr/>
        <w:drawing>
          <wp:inline distT="0" distB="63500" distL="0" distR="0">
            <wp:extent cx="14605" cy="142875"/>
            <wp:effectExtent l="0" t="0" r="0" b="0"/>
            <wp:docPr id="490"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259" descr=""/>
                    <pic:cNvPicPr>
                      <a:picLocks noChangeAspect="1" noChangeArrowheads="1"/>
                    </pic:cNvPicPr>
                  </pic:nvPicPr>
                  <pic:blipFill>
                    <a:blip r:embed="rId265"/>
                    <a:stretch>
                      <a:fillRect/>
                    </a:stretch>
                  </pic:blipFill>
                  <pic:spPr bwMode="auto">
                    <a:xfrm>
                      <a:off x="0" y="0"/>
                      <a:ext cx="14605" cy="14287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Revolving Line Maturity Date</w:t>
      </w:r>
      <w:r>
        <w:rPr>
          <w:color w:val="0000FF"/>
          <w:u w:val="single"/>
        </w:rPr>
        <w:t xml:space="preserve">” </w:t>
      </w:r>
      <w:r>
        <w:rPr>
          <w:rFonts w:ascii="Times New Roman;sans-serif" w:hAnsi="Times New Roman;sans-serif"/>
          <w:b w:val="false"/>
          <w:color w:val="0000FF"/>
          <w:sz w:val="20"/>
          <w:u w:val="single"/>
        </w:rPr>
        <w:t>is set forth on Schedule I hereto.</w:t>
      </w:r>
    </w:p>
    <w:p>
      <w:pPr>
        <w:pStyle w:val="TextBody"/>
        <w:spacing w:before="0" w:after="0"/>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Sanctioned Person</w:t>
      </w:r>
      <w:r>
        <w:rPr>
          <w:color w:val="000000"/>
        </w:rPr>
        <w:t xml:space="preserve">” </w:t>
      </w:r>
      <w:r>
        <w:rPr>
          <w:rFonts w:ascii="Times New Roman;sans-serif" w:hAnsi="Times New Roman;sans-serif"/>
          <w:b w:val="false"/>
          <w:color w:val="000000"/>
          <w:sz w:val="20"/>
        </w:rPr>
        <w:t>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 clauses (a) and (b) hereof.</w:t>
      </w:r>
    </w:p>
    <w:p>
      <w:pPr>
        <w:pStyle w:val="TextBody"/>
        <w:spacing w:before="0" w:after="0"/>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Sanctions</w:t>
      </w:r>
      <w:r>
        <w:rPr>
          <w:color w:val="000000"/>
        </w:rPr>
        <w:t xml:space="preserve">” </w:t>
      </w:r>
      <w:r>
        <w:rPr>
          <w:rFonts w:ascii="Times New Roman;sans-serif" w:hAnsi="Times New Roman;sans-serif"/>
          <w:b w:val="false"/>
          <w:color w:val="000000"/>
          <w:sz w:val="20"/>
        </w:rPr>
        <w:t>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w:t>
      </w:r>
    </w:p>
    <w:p>
      <w:pPr>
        <w:pStyle w:val="TextBody"/>
        <w:spacing w:before="0" w:after="0"/>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SEC</w:t>
      </w:r>
      <w:r>
        <w:rPr>
          <w:color w:val="000000"/>
        </w:rPr>
        <w:t xml:space="preserve">” </w:t>
      </w:r>
      <w:r>
        <w:rPr>
          <w:rFonts w:ascii="Times New Roman;sans-serif" w:hAnsi="Times New Roman;sans-serif"/>
          <w:b w:val="false"/>
          <w:color w:val="000000"/>
          <w:sz w:val="20"/>
        </w:rPr>
        <w:t>is the Securities and Exchange Commission, any successor thereto, and any analogous Governmental Authority.</w:t>
      </w:r>
    </w:p>
    <w:p>
      <w:pPr>
        <w:pStyle w:val="TextBody"/>
        <w:spacing w:before="10" w:after="283"/>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Securities Account</w:t>
      </w:r>
      <w:r>
        <w:rPr>
          <w:color w:val="000000"/>
        </w:rPr>
        <w:t xml:space="preserve">” </w:t>
      </w:r>
      <w:r>
        <w:rPr>
          <w:rFonts w:ascii="Times New Roman;sans-serif" w:hAnsi="Times New Roman;sans-serif"/>
          <w:b w:val="false"/>
          <w:color w:val="000000"/>
          <w:sz w:val="20"/>
        </w:rPr>
        <w:t>is any “securities account” as defined in the Code with such additions to such term as may hereafter be made.</w:t>
      </w:r>
    </w:p>
    <w:p>
      <w:pPr>
        <w:pStyle w:val="TextBody"/>
        <w:spacing w:before="0" w:after="0"/>
        <w:rPr/>
      </w:pPr>
      <w:r>
        <w:rPr/>
      </w:r>
    </w:p>
    <w:p>
      <w:pPr>
        <w:pStyle w:val="TextBody"/>
        <w:spacing w:lineRule="auto" w:line="240" w:before="0" w:after="0"/>
        <w:ind w:left="0" w:right="0" w:firstLine="720"/>
        <w:jc w:val="both"/>
        <w:rPr/>
      </w:pPr>
      <w:r>
        <w:rPr/>
        <w:drawing>
          <wp:inline distT="0" distB="63500" distL="0" distR="0">
            <wp:extent cx="14605" cy="438150"/>
            <wp:effectExtent l="0" t="0" r="0" b="0"/>
            <wp:docPr id="491"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260" descr=""/>
                    <pic:cNvPicPr>
                      <a:picLocks noChangeAspect="1" noChangeArrowheads="1"/>
                    </pic:cNvPicPr>
                  </pic:nvPicPr>
                  <pic:blipFill>
                    <a:blip r:embed="rId266"/>
                    <a:stretch>
                      <a:fillRect/>
                    </a:stretch>
                  </pic:blipFill>
                  <pic:spPr bwMode="auto">
                    <a:xfrm>
                      <a:off x="0" y="0"/>
                      <a:ext cx="14605" cy="438150"/>
                    </a:xfrm>
                    <a:prstGeom prst="rect">
                      <a:avLst/>
                    </a:prstGeom>
                  </pic:spPr>
                </pic:pic>
              </a:graphicData>
            </a:graphic>
          </wp:inline>
        </w:drawing>
      </w:r>
      <w:r>
        <w:rPr>
          <w:strike/>
          <w:color w:val="FF0000"/>
        </w:rPr>
        <w:t>“</w:t>
      </w:r>
      <w:r>
        <w:rPr>
          <w:rFonts w:ascii="Times New Roman;sans-serif" w:hAnsi="Times New Roman;sans-serif"/>
          <w:b/>
          <w:strike/>
          <w:color w:val="FF0000"/>
          <w:sz w:val="20"/>
        </w:rPr>
        <w:t>Solar Capital</w:t>
      </w:r>
      <w:r>
        <w:rPr>
          <w:strike/>
          <w:color w:val="FF0000"/>
        </w:rPr>
        <w:t xml:space="preserve">” </w:t>
      </w:r>
      <w:r>
        <w:rPr>
          <w:rFonts w:ascii="Times New Roman;sans-serif" w:hAnsi="Times New Roman;sans-serif"/>
          <w:b w:val="false"/>
          <w:strike/>
          <w:color w:val="FF0000"/>
          <w:sz w:val="20"/>
        </w:rPr>
        <w:t>means Solar Capital Ltd., as collateral agent and as a lender, and the other lenders party to</w:t>
      </w:r>
      <w:r>
        <w:rPr>
          <w:color w:val="FF0000"/>
        </w:rPr>
        <w:t xml:space="preserve"> </w:t>
      </w:r>
      <w:r>
        <w:rPr>
          <w:rFonts w:ascii="Times New Roman;sans-serif" w:hAnsi="Times New Roman;sans-serif"/>
          <w:b w:val="false"/>
          <w:strike/>
          <w:color w:val="FF0000"/>
          <w:sz w:val="20"/>
        </w:rPr>
        <w:t>that certain Loan and Security Agreement by and among such parties and Borrower, dated as of May 29, 2020, as</w:t>
      </w:r>
      <w:r>
        <w:rPr>
          <w:color w:val="FF0000"/>
        </w:rPr>
        <w:t xml:space="preserve"> </w:t>
      </w:r>
      <w:r>
        <w:rPr>
          <w:rFonts w:ascii="Times New Roman;sans-serif" w:hAnsi="Times New Roman;sans-serif"/>
          <w:b w:val="false"/>
          <w:strike/>
          <w:color w:val="FF0000"/>
          <w:sz w:val="20"/>
        </w:rPr>
        <w:t>amended and/or restated).</w:t>
      </w:r>
    </w:p>
    <w:p>
      <w:pPr>
        <w:pStyle w:val="TextBody"/>
        <w:spacing w:before="1" w:after="283"/>
        <w:rPr/>
      </w:pPr>
      <w:r>
        <w:rPr/>
      </w:r>
    </w:p>
    <w:p>
      <w:pPr>
        <w:pStyle w:val="TextBody"/>
        <w:spacing w:lineRule="auto" w:line="240" w:before="91" w:after="283"/>
        <w:rPr/>
      </w:pPr>
      <w:r>
        <w:rPr/>
        <w:drawing>
          <wp:inline distT="0" distB="63500" distL="0" distR="0">
            <wp:extent cx="14605" cy="142875"/>
            <wp:effectExtent l="0" t="0" r="0" b="0"/>
            <wp:docPr id="492"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261" descr=""/>
                    <pic:cNvPicPr>
                      <a:picLocks noChangeAspect="1" noChangeArrowheads="1"/>
                    </pic:cNvPicPr>
                  </pic:nvPicPr>
                  <pic:blipFill>
                    <a:blip r:embed="rId267"/>
                    <a:stretch>
                      <a:fillRect/>
                    </a:stretch>
                  </pic:blipFill>
                  <pic:spPr bwMode="auto">
                    <a:xfrm>
                      <a:off x="0" y="0"/>
                      <a:ext cx="14605" cy="14287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Streamline Balance</w:t>
      </w:r>
      <w:r>
        <w:rPr>
          <w:color w:val="0000FF"/>
          <w:u w:val="single"/>
        </w:rPr>
        <w:t xml:space="preserve">” </w:t>
      </w:r>
      <w:r>
        <w:rPr>
          <w:rFonts w:ascii="Times New Roman;sans-serif" w:hAnsi="Times New Roman;sans-serif"/>
          <w:b w:val="false"/>
          <w:color w:val="0000FF"/>
          <w:sz w:val="20"/>
          <w:u w:val="single"/>
        </w:rPr>
        <w:t>is defined in the definition of Streamline Period.</w:t>
      </w:r>
    </w:p>
    <w:p>
      <w:pPr>
        <w:pStyle w:val="TextBody"/>
        <w:spacing w:before="0" w:after="0"/>
        <w:rPr/>
      </w:pPr>
      <w:r>
        <w:rPr/>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251710"/>
                <wp:effectExtent l="0" t="0" r="0" b="0"/>
                <wp:wrapNone/>
                <wp:docPr id="493" name="Frame183"/>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94"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262" descr=""/>
                                          <pic:cNvPicPr>
                                            <a:picLocks noChangeAspect="1" noChangeArrowheads="1"/>
                                          </pic:cNvPicPr>
                                        </pic:nvPicPr>
                                        <pic:blipFill>
                                          <a:blip r:embed="rId26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495"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262" descr=""/>
                                    <pic:cNvPicPr>
                                      <a:picLocks noChangeAspect="1" noChangeArrowheads="1"/>
                                    </pic:cNvPicPr>
                                  </pic:nvPicPr>
                                  <pic:blipFill>
                                    <a:blip r:embed="rId268"/>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91" w:after="283"/>
        <w:ind w:left="0" w:right="0" w:firstLine="717"/>
        <w:jc w:val="both"/>
        <w:rPr/>
      </w:pPr>
      <w:r>
        <w:rPr/>
        <w:drawing>
          <wp:inline distT="0" distB="63500" distL="0" distR="0">
            <wp:extent cx="14605" cy="2047875"/>
            <wp:effectExtent l="0" t="0" r="0" b="0"/>
            <wp:docPr id="49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263" descr=""/>
                    <pic:cNvPicPr>
                      <a:picLocks noChangeAspect="1" noChangeArrowheads="1"/>
                    </pic:cNvPicPr>
                  </pic:nvPicPr>
                  <pic:blipFill>
                    <a:blip r:embed="rId269"/>
                    <a:stretch>
                      <a:fillRect/>
                    </a:stretch>
                  </pic:blipFill>
                  <pic:spPr bwMode="auto">
                    <a:xfrm>
                      <a:off x="0" y="0"/>
                      <a:ext cx="14605" cy="2047875"/>
                    </a:xfrm>
                    <a:prstGeom prst="rect">
                      <a:avLst/>
                    </a:prstGeom>
                  </pic:spPr>
                </pic:pic>
              </a:graphicData>
            </a:graphic>
          </wp:inline>
        </w:drawing>
      </w:r>
      <w:r>
        <w:rPr>
          <w:color w:val="0000FF"/>
          <w:u w:val="single"/>
        </w:rPr>
        <w:t xml:space="preserve"> “</w:t>
      </w:r>
      <w:r>
        <w:rPr>
          <w:rFonts w:ascii="Times New Roman;sans-serif" w:hAnsi="Times New Roman;sans-serif"/>
          <w:b/>
          <w:color w:val="0000FF"/>
          <w:sz w:val="20"/>
          <w:u w:val="single"/>
        </w:rPr>
        <w:t>Streamline Period</w:t>
      </w:r>
      <w:r>
        <w:rPr>
          <w:color w:val="0000FF"/>
          <w:u w:val="single"/>
        </w:rPr>
        <w:t xml:space="preserve">” </w:t>
      </w:r>
      <w:r>
        <w:rPr>
          <w:rFonts w:ascii="Times New Roman;sans-serif" w:hAnsi="Times New Roman;sans-serif"/>
          <w:b w:val="false"/>
          <w:color w:val="0000FF"/>
          <w:sz w:val="20"/>
          <w:u w:val="single"/>
        </w:rPr>
        <w:t>is, on and after the First Amendment Effective Date, provided no Event of Default</w:t>
      </w:r>
      <w:r>
        <w:rPr>
          <w:color w:val="0000FF"/>
        </w:rPr>
        <w:t xml:space="preserve"> </w:t>
      </w:r>
      <w:r>
        <w:rPr>
          <w:rFonts w:ascii="Times New Roman;sans-serif" w:hAnsi="Times New Roman;sans-serif"/>
          <w:b w:val="false"/>
          <w:color w:val="0000FF"/>
          <w:sz w:val="20"/>
          <w:u w:val="single"/>
        </w:rPr>
        <w:t>has occurred and is continuing, the period (a) commencing on the first (1st) day of the month following the day that</w:t>
      </w:r>
      <w:r>
        <w:rPr>
          <w:color w:val="0000FF"/>
        </w:rPr>
        <w:t xml:space="preserve"> </w:t>
      </w:r>
      <w:r>
        <w:rPr>
          <w:rFonts w:ascii="Times New Roman;sans-serif" w:hAnsi="Times New Roman;sans-serif"/>
          <w:b w:val="false"/>
          <w:color w:val="0000FF"/>
          <w:sz w:val="20"/>
          <w:u w:val="single"/>
        </w:rPr>
        <w:t>Borrower provides to Bank a written report that Borrower has, for the immediately preceding month, measured at</w:t>
      </w:r>
      <w:r>
        <w:rPr>
          <w:color w:val="0000FF"/>
        </w:rPr>
        <w:t xml:space="preserve"> </w:t>
      </w:r>
      <w:r>
        <w:rPr>
          <w:rFonts w:ascii="Times New Roman;sans-serif" w:hAnsi="Times New Roman;sans-serif"/>
          <w:b w:val="false"/>
          <w:color w:val="0000FF"/>
          <w:sz w:val="20"/>
          <w:u w:val="single"/>
        </w:rPr>
        <w:t>month-end (only when Advances are outstanding or are being requested by Borrower), as determined by</w:t>
      </w:r>
      <w:r>
        <w:rPr>
          <w:color w:val="0000FF"/>
        </w:rPr>
        <w:t xml:space="preserve"> </w:t>
      </w:r>
      <w:r>
        <w:rPr>
          <w:rFonts w:ascii="Times New Roman;sans-serif" w:hAnsi="Times New Roman;sans-serif"/>
          <w:b w:val="false"/>
          <w:color w:val="007F00"/>
          <w:sz w:val="20"/>
          <w:u w:val="single"/>
        </w:rPr>
        <w:t>Bank in its</w:t>
      </w:r>
      <w:r>
        <w:rPr>
          <w:color w:val="007F00"/>
        </w:rPr>
        <w:t xml:space="preserve"> </w:t>
      </w:r>
      <w:r>
        <w:rPr>
          <w:rFonts w:ascii="Times New Roman;sans-serif" w:hAnsi="Times New Roman;sans-serif"/>
          <w:b w:val="false"/>
          <w:color w:val="007F00"/>
          <w:sz w:val="20"/>
          <w:u w:val="single"/>
        </w:rPr>
        <w:t>commercially reasonable discretion,</w:t>
      </w:r>
      <w:r>
        <w:rPr>
          <w:color w:val="007F00"/>
        </w:rPr>
        <w:t xml:space="preserve"> </w:t>
      </w:r>
      <w:r>
        <w:rPr>
          <w:rFonts w:ascii="Times New Roman;sans-serif" w:hAnsi="Times New Roman;sans-serif"/>
          <w:b w:val="false"/>
          <w:color w:val="0000FF"/>
          <w:sz w:val="20"/>
          <w:u w:val="single"/>
        </w:rPr>
        <w:t>an Adjusted Quick Ratio in an amount as of such measurement date of greater</w:t>
      </w:r>
      <w:r>
        <w:rPr>
          <w:color w:val="0000FF"/>
        </w:rPr>
        <w:t xml:space="preserve"> </w:t>
      </w:r>
      <w:r>
        <w:rPr>
          <w:rFonts w:ascii="Times New Roman;sans-serif" w:hAnsi="Times New Roman;sans-serif"/>
          <w:b w:val="false"/>
          <w:color w:val="0000FF"/>
          <w:sz w:val="20"/>
          <w:u w:val="single"/>
        </w:rPr>
        <w:t>than or equal to 1.50 to 1.00 (the “</w:t>
      </w:r>
      <w:r>
        <w:rPr>
          <w:rFonts w:ascii="Times New Roman;sans-serif" w:hAnsi="Times New Roman;sans-serif"/>
          <w:b/>
          <w:color w:val="0000FF"/>
          <w:sz w:val="20"/>
          <w:u w:val="single"/>
        </w:rPr>
        <w:t>Streamline Balance</w:t>
      </w:r>
      <w:r>
        <w:rPr>
          <w:color w:val="0000FF"/>
          <w:u w:val="single"/>
        </w:rPr>
        <w:t>”</w:t>
      </w:r>
      <w:r>
        <w:rPr>
          <w:rFonts w:ascii="Times New Roman;sans-serif" w:hAnsi="Times New Roman;sans-serif"/>
          <w:b w:val="false"/>
          <w:color w:val="0000FF"/>
          <w:sz w:val="20"/>
          <w:u w:val="single"/>
        </w:rPr>
        <w:t>); and (b) terminating on the earlier to occur of (i) the</w:t>
      </w:r>
      <w:r>
        <w:rPr>
          <w:color w:val="0000FF"/>
        </w:rPr>
        <w:t xml:space="preserve"> </w:t>
      </w:r>
      <w:r>
        <w:rPr>
          <w:rFonts w:ascii="Times New Roman;sans-serif" w:hAnsi="Times New Roman;sans-serif"/>
          <w:b w:val="false"/>
          <w:color w:val="0000FF"/>
          <w:sz w:val="20"/>
          <w:u w:val="single"/>
        </w:rPr>
        <w:t>occurrence of an Event of Default, and (ii) the first month-end measured thereafter in which Borrower fails to</w:t>
      </w:r>
      <w:r>
        <w:rPr>
          <w:color w:val="0000FF"/>
        </w:rPr>
        <w:t xml:space="preserve"> </w:t>
      </w:r>
      <w:r>
        <w:rPr>
          <w:rFonts w:ascii="Times New Roman;sans-serif" w:hAnsi="Times New Roman;sans-serif"/>
          <w:b w:val="false"/>
          <w:color w:val="0000FF"/>
          <w:sz w:val="20"/>
          <w:u w:val="single"/>
        </w:rPr>
        <w:t>maintain the Streamline Balance, as determined by Bank in its commercially reasonable discretion. Upon the</w:t>
      </w:r>
      <w:r>
        <w:rPr>
          <w:color w:val="0000FF"/>
        </w:rPr>
        <w:t xml:space="preserve"> </w:t>
      </w:r>
      <w:r>
        <w:rPr>
          <w:rFonts w:ascii="Times New Roman;sans-serif" w:hAnsi="Times New Roman;sans-serif"/>
          <w:b w:val="false"/>
          <w:color w:val="0000FF"/>
          <w:sz w:val="20"/>
          <w:u w:val="single"/>
        </w:rPr>
        <w:t>termination of a Streamline Period, Borrower shall maintain the Streamline Balance each month end for one (1)</w:t>
      </w:r>
      <w:r>
        <w:rPr>
          <w:color w:val="0000FF"/>
        </w:rPr>
        <w:t xml:space="preserve"> </w:t>
      </w:r>
      <w:r>
        <w:rPr>
          <w:rFonts w:ascii="Times New Roman;sans-serif" w:hAnsi="Times New Roman;sans-serif"/>
          <w:b w:val="false"/>
          <w:color w:val="0000FF"/>
          <w:sz w:val="20"/>
          <w:u w:val="single"/>
        </w:rPr>
        <w:t>fiscal quarter, as determined by Bank in its commercially reasonable discretion, prior to entering into a subsequent</w:t>
      </w:r>
      <w:r>
        <w:rPr>
          <w:color w:val="0000FF"/>
        </w:rPr>
        <w:t xml:space="preserve"> </w:t>
      </w:r>
      <w:r>
        <w:rPr>
          <w:rFonts w:ascii="Times New Roman;sans-serif" w:hAnsi="Times New Roman;sans-serif"/>
          <w:b w:val="false"/>
          <w:color w:val="0000FF"/>
          <w:sz w:val="20"/>
          <w:u w:val="single"/>
        </w:rPr>
        <w:t>Streamline Period. Borrower shall give Bank prior written notice of Borrower’s election to enter into any such</w:t>
      </w:r>
      <w:r>
        <w:rPr>
          <w:color w:val="0000FF"/>
        </w:rPr>
        <w:t xml:space="preserve"> </w:t>
      </w:r>
      <w:r>
        <w:rPr>
          <w:rFonts w:ascii="Times New Roman;sans-serif" w:hAnsi="Times New Roman;sans-serif"/>
          <w:b w:val="false"/>
          <w:color w:val="0000FF"/>
          <w:sz w:val="20"/>
          <w:u w:val="single"/>
        </w:rPr>
        <w:t>Streamline Period, and each such Streamline Period shall commence on the first (1st) day of the monthly period</w:t>
      </w:r>
      <w:r>
        <w:rPr>
          <w:color w:val="0000FF"/>
        </w:rPr>
        <w:t xml:space="preserve"> </w:t>
      </w:r>
      <w:r>
        <w:rPr>
          <w:rFonts w:ascii="Times New Roman;sans-serif" w:hAnsi="Times New Roman;sans-serif"/>
          <w:b w:val="false"/>
          <w:color w:val="0000FF"/>
          <w:sz w:val="20"/>
          <w:u w:val="single"/>
        </w:rPr>
        <w:t>following the date Bank determines, in its commercially reasonable discretion, that the Streamline Balance has been</w:t>
      </w:r>
      <w:r>
        <w:rPr>
          <w:color w:val="0000FF"/>
        </w:rPr>
        <w:t xml:space="preserve"> </w:t>
      </w:r>
      <w:r>
        <w:rPr>
          <w:rFonts w:ascii="Times New Roman;sans-serif" w:hAnsi="Times New Roman;sans-serif"/>
          <w:b w:val="false"/>
          <w:color w:val="0000FF"/>
          <w:sz w:val="20"/>
          <w:u w:val="single"/>
        </w:rPr>
        <w:t>achieved.</w:t>
      </w:r>
    </w:p>
    <w:p>
      <w:pPr>
        <w:pStyle w:val="TextBody"/>
        <w:spacing w:before="5" w:after="283"/>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Subordinated Debt</w:t>
      </w:r>
      <w:r>
        <w:rPr>
          <w:color w:val="000000"/>
        </w:rPr>
        <w:t xml:space="preserve">” </w:t>
      </w:r>
      <w:r>
        <w:rPr>
          <w:rFonts w:ascii="Times New Roman;sans-serif" w:hAnsi="Times New Roman;sans-serif"/>
          <w:b w:val="false"/>
          <w:color w:val="000000"/>
          <w:sz w:val="20"/>
        </w:rPr>
        <w:t>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 For the avoidance of doubt, Permitted Convertible Debt shall not constitute Subordinated Debt.</w:t>
      </w:r>
    </w:p>
    <w:p>
      <w:pPr>
        <w:pStyle w:val="TextBody"/>
        <w:spacing w:before="0" w:after="0"/>
        <w:jc w:val="both"/>
        <w:rPr/>
      </w:pPr>
      <w:r>
        <w:rPr/>
      </w:r>
    </w:p>
    <w:p>
      <w:pPr>
        <w:pStyle w:val="TextBody"/>
        <w:spacing w:lineRule="auto" w:line="240" w:before="0" w:after="0"/>
        <w:ind w:left="0" w:right="0" w:firstLine="720"/>
        <w:jc w:val="both"/>
        <w:rPr/>
      </w:pP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w:t>
      </w:r>
    </w:p>
    <w:p>
      <w:pPr>
        <w:pStyle w:val="TextBody"/>
        <w:spacing w:before="1" w:after="283"/>
        <w:rPr/>
      </w:pPr>
      <w:r>
        <w:rPr/>
      </w:r>
    </w:p>
    <w:p>
      <w:pPr>
        <w:pStyle w:val="TextBody"/>
        <w:spacing w:lineRule="auto" w:line="240" w:before="1" w:after="283"/>
        <w:ind w:left="0" w:right="0" w:firstLine="720"/>
        <w:jc w:val="both"/>
        <w:rPr/>
      </w:pPr>
      <w:r>
        <w:rPr>
          <w:color w:val="000000"/>
        </w:rPr>
        <w:t>“</w:t>
      </w:r>
      <w:r>
        <w:rPr>
          <w:rFonts w:ascii="Times New Roman;sans-serif" w:hAnsi="Times New Roman;sans-serif"/>
          <w:b/>
          <w:color w:val="000000"/>
          <w:sz w:val="20"/>
        </w:rPr>
        <w:t>Taxes</w:t>
      </w:r>
      <w:r>
        <w:rPr>
          <w:color w:val="000000"/>
        </w:rPr>
        <w:t xml:space="preserve">” </w:t>
      </w:r>
      <w:r>
        <w:rPr>
          <w:rFonts w:ascii="Times New Roman;sans-serif" w:hAnsi="Times New Roman;sans-serif"/>
          <w:b w:val="false"/>
          <w:color w:val="000000"/>
          <w:sz w:val="20"/>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spacing w:before="11" w:after="283"/>
        <w:rPr/>
      </w:pPr>
      <w:r>
        <w:rPr/>
      </w:r>
    </w:p>
    <w:p>
      <w:pPr>
        <w:pStyle w:val="TextBody"/>
        <w:spacing w:lineRule="auto" w:line="568" w:before="0" w:after="0"/>
        <w:rPr/>
      </w:pPr>
      <w:r>
        <w:rPr/>
        <w:drawing>
          <wp:inline distT="0" distB="63500" distL="0" distR="0">
            <wp:extent cx="14605" cy="142875"/>
            <wp:effectExtent l="0" t="0" r="0" b="0"/>
            <wp:docPr id="49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264" descr=""/>
                    <pic:cNvPicPr>
                      <a:picLocks noChangeAspect="1" noChangeArrowheads="1"/>
                    </pic:cNvPicPr>
                  </pic:nvPicPr>
                  <pic:blipFill>
                    <a:blip r:embed="rId270"/>
                    <a:stretch>
                      <a:fillRect/>
                    </a:stretch>
                  </pic:blipFill>
                  <pic:spPr bwMode="auto">
                    <a:xfrm>
                      <a:off x="0" y="0"/>
                      <a:ext cx="14605" cy="142875"/>
                    </a:xfrm>
                    <a:prstGeom prst="rect">
                      <a:avLst/>
                    </a:prstGeom>
                  </pic:spPr>
                </pic:pic>
              </a:graphicData>
            </a:graphic>
          </wp:inline>
        </w:drawing>
      </w:r>
      <w:r>
        <w:rPr>
          <w:color w:val="000000"/>
        </w:rPr>
        <w:t>“</w:t>
      </w:r>
      <w:r>
        <w:rPr>
          <w:rFonts w:ascii="Times New Roman;sans-serif" w:hAnsi="Times New Roman;sans-serif"/>
          <w:b/>
          <w:color w:val="000000"/>
          <w:sz w:val="20"/>
        </w:rPr>
        <w:t>Term Loan Advance</w:t>
      </w:r>
      <w:r>
        <w:rPr>
          <w:color w:val="000000"/>
        </w:rPr>
        <w:t xml:space="preserve">” </w:t>
      </w:r>
      <w:r>
        <w:rPr>
          <w:rFonts w:ascii="Times New Roman;sans-serif" w:hAnsi="Times New Roman;sans-serif"/>
          <w:b w:val="false"/>
          <w:color w:val="000000"/>
          <w:sz w:val="20"/>
        </w:rPr>
        <w:t>is defined in Section 1.1(a) of this Agreement. “</w:t>
      </w:r>
      <w:r>
        <w:rPr>
          <w:rFonts w:ascii="Times New Roman;sans-serif" w:hAnsi="Times New Roman;sans-serif"/>
          <w:b/>
          <w:color w:val="000000"/>
          <w:sz w:val="20"/>
        </w:rPr>
        <w:t>Term Loan Amortization Date</w:t>
      </w:r>
      <w:r>
        <w:rPr>
          <w:color w:val="000000"/>
        </w:rPr>
        <w:t xml:space="preserve">” </w:t>
      </w:r>
      <w:r>
        <w:rPr>
          <w:rFonts w:ascii="Times New Roman;sans-serif" w:hAnsi="Times New Roman;sans-serif"/>
          <w:b w:val="false"/>
          <w:color w:val="000000"/>
          <w:sz w:val="20"/>
        </w:rPr>
        <w:t>is set forth on Schedule I hereto. “</w:t>
      </w:r>
      <w:r>
        <w:rPr>
          <w:rFonts w:ascii="Times New Roman;sans-serif" w:hAnsi="Times New Roman;sans-serif"/>
          <w:b/>
          <w:color w:val="000000"/>
          <w:sz w:val="20"/>
        </w:rPr>
        <w:t>Term Loan Availability Amount</w:t>
      </w:r>
      <w:r>
        <w:rPr>
          <w:color w:val="000000"/>
        </w:rPr>
        <w:t xml:space="preserve">” </w:t>
      </w:r>
      <w:r>
        <w:rPr>
          <w:rFonts w:ascii="Times New Roman;sans-serif" w:hAnsi="Times New Roman;sans-serif"/>
          <w:b w:val="false"/>
          <w:color w:val="000000"/>
          <w:sz w:val="20"/>
        </w:rPr>
        <w:t>is set forth on Schedule I hereto. “</w:t>
      </w:r>
      <w:r>
        <w:rPr>
          <w:rFonts w:ascii="Times New Roman;sans-serif" w:hAnsi="Times New Roman;sans-serif"/>
          <w:b/>
          <w:color w:val="000000"/>
          <w:sz w:val="20"/>
        </w:rPr>
        <w:t>Term Loan Maturity Date</w:t>
      </w:r>
      <w:r>
        <w:rPr>
          <w:color w:val="000000"/>
        </w:rPr>
        <w:t xml:space="preserve">” </w:t>
      </w:r>
      <w:r>
        <w:rPr>
          <w:rFonts w:ascii="Times New Roman;sans-serif" w:hAnsi="Times New Roman;sans-serif"/>
          <w:b w:val="false"/>
          <w:color w:val="000000"/>
          <w:sz w:val="20"/>
        </w:rPr>
        <w:t xml:space="preserve">is set forth on Schedule I hereto. </w:t>
      </w:r>
      <w:r>
        <w:rPr>
          <w:color w:val="0000FF"/>
          <w:u w:val="single"/>
        </w:rPr>
        <w:t>“</w:t>
      </w:r>
      <w:r>
        <w:rPr>
          <w:rFonts w:ascii="Times New Roman;sans-serif" w:hAnsi="Times New Roman;sans-serif"/>
          <w:b/>
          <w:color w:val="0000FF"/>
          <w:sz w:val="20"/>
          <w:u w:val="single"/>
        </w:rPr>
        <w:t>Termination Fee</w:t>
      </w:r>
      <w:r>
        <w:rPr>
          <w:color w:val="0000FF"/>
          <w:u w:val="single"/>
        </w:rPr>
        <w:t xml:space="preserve">” </w:t>
      </w:r>
      <w:r>
        <w:rPr>
          <w:rFonts w:ascii="Times New Roman;sans-serif" w:hAnsi="Times New Roman;sans-serif"/>
          <w:b w:val="false"/>
          <w:color w:val="0000FF"/>
          <w:sz w:val="20"/>
          <w:u w:val="single"/>
        </w:rPr>
        <w:t>is defined in Section 1.3(c).</w:t>
      </w:r>
      <w:r>
        <w:br w:type="page"/>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251710"/>
                <wp:effectExtent l="0" t="0" r="0" b="0"/>
                <wp:wrapNone/>
                <wp:docPr id="498" name="Frame184"/>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49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65" descr=""/>
                                          <pic:cNvPicPr>
                                            <a:picLocks noChangeAspect="1" noChangeArrowheads="1"/>
                                          </pic:cNvPicPr>
                                        </pic:nvPicPr>
                                        <pic:blipFill>
                                          <a:blip r:embed="rId27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500"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265" descr=""/>
                                    <pic:cNvPicPr>
                                      <a:picLocks noChangeAspect="1" noChangeArrowheads="1"/>
                                    </pic:cNvPicPr>
                                  </pic:nvPicPr>
                                  <pic:blipFill>
                                    <a:blip r:embed="rId271"/>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lineRule="auto" w:line="240" w:before="0" w:after="0"/>
        <w:ind w:left="0" w:right="0" w:firstLine="720"/>
        <w:rPr/>
      </w:pPr>
      <w:r>
        <w:rPr/>
        <w:drawing>
          <wp:inline distT="0" distB="63500" distL="0" distR="0">
            <wp:extent cx="5438775" cy="14605"/>
            <wp:effectExtent l="0" t="0" r="0" b="0"/>
            <wp:docPr id="501"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266" descr=""/>
                    <pic:cNvPicPr>
                      <a:picLocks noChangeAspect="1" noChangeArrowheads="1"/>
                    </pic:cNvPicPr>
                  </pic:nvPicPr>
                  <pic:blipFill>
                    <a:blip r:embed="rId272"/>
                    <a:stretch>
                      <a:fillRect/>
                    </a:stretch>
                  </pic:blipFill>
                  <pic:spPr bwMode="auto">
                    <a:xfrm>
                      <a:off x="0" y="0"/>
                      <a:ext cx="5438775" cy="14605"/>
                    </a:xfrm>
                    <a:prstGeom prst="rect">
                      <a:avLst/>
                    </a:prstGeom>
                  </pic:spPr>
                </pic:pic>
              </a:graphicData>
            </a:graphic>
          </wp:inline>
        </w:drawing>
      </w:r>
      <w:r>
        <w:rPr/>
        <w:drawing>
          <wp:inline distT="0" distB="63500" distL="0" distR="0">
            <wp:extent cx="14605" cy="285750"/>
            <wp:effectExtent l="0" t="0" r="0" b="0"/>
            <wp:docPr id="502"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267" descr=""/>
                    <pic:cNvPicPr>
                      <a:picLocks noChangeAspect="1" noChangeArrowheads="1"/>
                    </pic:cNvPicPr>
                  </pic:nvPicPr>
                  <pic:blipFill>
                    <a:blip r:embed="rId273"/>
                    <a:stretch>
                      <a:fillRect/>
                    </a:stretch>
                  </pic:blipFill>
                  <pic:spPr bwMode="auto">
                    <a:xfrm>
                      <a:off x="0" y="0"/>
                      <a:ext cx="14605" cy="285750"/>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Total Liabilities</w:t>
      </w:r>
      <w:r>
        <w:rPr>
          <w:color w:val="0000FF"/>
          <w:u w:val="single"/>
        </w:rPr>
        <w:t xml:space="preserve">” </w:t>
      </w:r>
      <w:r>
        <w:rPr>
          <w:rFonts w:ascii="Times New Roman;sans-serif" w:hAnsi="Times New Roman;sans-serif"/>
          <w:b w:val="false"/>
          <w:color w:val="0000FF"/>
          <w:sz w:val="20"/>
          <w:u w:val="single"/>
        </w:rPr>
        <w:t>is on any day, obligations that should, under GAAP, be classified as liabilities on</w:t>
      </w:r>
      <w:r>
        <w:rPr>
          <w:color w:val="0000FF"/>
        </w:rPr>
        <w:t xml:space="preserve"> </w:t>
      </w:r>
      <w:r>
        <w:rPr>
          <w:rFonts w:ascii="Times New Roman;sans-serif" w:hAnsi="Times New Roman;sans-serif"/>
          <w:b w:val="false"/>
          <w:color w:val="0000FF"/>
          <w:sz w:val="20"/>
          <w:u w:val="single"/>
        </w:rPr>
        <w:t>Borrower’s consolidated balance sheet, including all Indebtedness, but excluding all Subordinated Debt.</w:t>
      </w:r>
    </w:p>
    <w:p>
      <w:pPr>
        <w:pStyle w:val="TextBody"/>
        <w:spacing w:before="6" w:after="283"/>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Trademarks</w:t>
      </w:r>
      <w:r>
        <w:rPr>
          <w:color w:val="000000"/>
        </w:rPr>
        <w:t xml:space="preserve">” </w:t>
      </w:r>
      <w:r>
        <w:rPr>
          <w:rFonts w:ascii="Times New Roman;sans-serif" w:hAnsi="Times New Roman;sans-serif"/>
          <w:b w:val="false"/>
          <w:color w:val="000000"/>
          <w:sz w:val="20"/>
        </w:rPr>
        <w:t>means, with respect to any Person, any trademark and servicemark rights, whether registered or not, applications to register and registrations of the same and like protections, and the entire goodwill of the business of such Person connected with and symbolized by such trademarks.</w:t>
      </w:r>
    </w:p>
    <w:p>
      <w:pPr>
        <w:pStyle w:val="TextBody"/>
        <w:spacing w:before="0" w:after="0"/>
        <w:rPr/>
      </w:pPr>
      <w:r>
        <w:rPr/>
      </w:r>
    </w:p>
    <w:p>
      <w:pPr>
        <w:pStyle w:val="TextBody"/>
        <w:spacing w:lineRule="auto" w:line="240" w:before="0" w:after="0"/>
        <w:rPr/>
      </w:pPr>
      <w:r>
        <w:rPr>
          <w:color w:val="000000"/>
        </w:rPr>
        <w:t>“</w:t>
      </w:r>
      <w:r>
        <w:rPr>
          <w:rFonts w:ascii="Times New Roman;sans-serif" w:hAnsi="Times New Roman;sans-serif"/>
          <w:b/>
          <w:color w:val="000000"/>
          <w:sz w:val="20"/>
        </w:rPr>
        <w:t>Transfer</w:t>
      </w:r>
      <w:r>
        <w:rPr>
          <w:color w:val="000000"/>
        </w:rPr>
        <w:t xml:space="preserve">” </w:t>
      </w:r>
      <w:r>
        <w:rPr>
          <w:rFonts w:ascii="Times New Roman;sans-serif" w:hAnsi="Times New Roman;sans-serif"/>
          <w:b w:val="false"/>
          <w:color w:val="000000"/>
          <w:sz w:val="20"/>
        </w:rPr>
        <w:t>is defined in Section 6.1.</w:t>
      </w:r>
    </w:p>
    <w:p>
      <w:pPr>
        <w:pStyle w:val="TextBody"/>
        <w:spacing w:before="10" w:after="283"/>
        <w:rPr/>
      </w:pPr>
      <w:r>
        <w:rPr/>
      </w:r>
    </w:p>
    <w:p>
      <w:pPr>
        <w:pStyle w:val="TextBody"/>
        <w:spacing w:lineRule="auto" w:line="240" w:before="1" w:after="283"/>
        <w:rPr/>
      </w:pPr>
      <w:r>
        <w:rPr/>
        <w:drawing>
          <wp:inline distT="0" distB="63500" distL="0" distR="0">
            <wp:extent cx="14605" cy="142875"/>
            <wp:effectExtent l="0" t="0" r="0" b="0"/>
            <wp:docPr id="503"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268" descr=""/>
                    <pic:cNvPicPr>
                      <a:picLocks noChangeAspect="1" noChangeArrowheads="1"/>
                    </pic:cNvPicPr>
                  </pic:nvPicPr>
                  <pic:blipFill>
                    <a:blip r:embed="rId274"/>
                    <a:stretch>
                      <a:fillRect/>
                    </a:stretch>
                  </pic:blipFill>
                  <pic:spPr bwMode="auto">
                    <a:xfrm>
                      <a:off x="0" y="0"/>
                      <a:ext cx="14605" cy="142875"/>
                    </a:xfrm>
                    <a:prstGeom prst="rect">
                      <a:avLst/>
                    </a:prstGeom>
                  </pic:spPr>
                </pic:pic>
              </a:graphicData>
            </a:graphic>
          </wp:inline>
        </w:drawing>
      </w:r>
      <w:r>
        <w:rPr>
          <w:color w:val="0000FF"/>
          <w:u w:val="single"/>
        </w:rPr>
        <w:t>“</w:t>
      </w:r>
      <w:r>
        <w:rPr>
          <w:rFonts w:ascii="Times New Roman;sans-serif" w:hAnsi="Times New Roman;sans-serif"/>
          <w:b/>
          <w:color w:val="0000FF"/>
          <w:sz w:val="20"/>
          <w:u w:val="single"/>
        </w:rPr>
        <w:t>Uncommitted Accordion</w:t>
      </w:r>
      <w:r>
        <w:rPr>
          <w:color w:val="0000FF"/>
          <w:u w:val="single"/>
        </w:rPr>
        <w:t xml:space="preserve">” </w:t>
      </w:r>
      <w:r>
        <w:rPr>
          <w:rFonts w:ascii="Times New Roman;sans-serif" w:hAnsi="Times New Roman;sans-serif"/>
          <w:b w:val="false"/>
          <w:color w:val="0000FF"/>
          <w:sz w:val="20"/>
          <w:u w:val="single"/>
        </w:rPr>
        <w:t>is defined in Section 1.1(a) of this Agreement.</w:t>
      </w:r>
    </w:p>
    <w:p>
      <w:pPr>
        <w:pStyle w:val="TextBody"/>
        <w:spacing w:before="0" w:after="0"/>
        <w:rPr/>
      </w:pPr>
      <w:r>
        <w:rPr/>
      </w:r>
    </w:p>
    <w:p>
      <w:pPr>
        <w:pStyle w:val="TextBody"/>
        <w:spacing w:lineRule="auto" w:line="240" w:before="91" w:after="283"/>
        <w:ind w:left="0" w:right="0" w:firstLine="720"/>
        <w:jc w:val="both"/>
        <w:rPr/>
      </w:pPr>
      <w:r>
        <w:rPr>
          <w:color w:val="000000"/>
        </w:rPr>
        <w:t>“</w:t>
      </w:r>
      <w:r>
        <w:rPr>
          <w:rFonts w:ascii="Times New Roman;sans-serif" w:hAnsi="Times New Roman;sans-serif"/>
          <w:b/>
          <w:color w:val="000000"/>
          <w:sz w:val="20"/>
        </w:rPr>
        <w:t>USA Patriot Act</w:t>
      </w:r>
      <w:r>
        <w:rPr>
          <w:color w:val="000000"/>
        </w:rPr>
        <w:t xml:space="preserve">” </w:t>
      </w:r>
      <w:r>
        <w:rPr>
          <w:rFonts w:ascii="Times New Roman;sans-serif" w:hAnsi="Times New Roman;sans-serif"/>
          <w:b w:val="false"/>
          <w:color w:val="000000"/>
          <w:sz w:val="20"/>
        </w:rPr>
        <w:t>means the “Uniting and Strengthening America by Providing Appropriate Tools Required to Intercept and Obstruct Terrorism Act of 2001” (Public Law 107-56, signed into law on October 26, 2001), as amended from time to time.</w:t>
      </w:r>
    </w:p>
    <w:p>
      <w:pPr>
        <w:pStyle w:val="TextBody"/>
        <w:spacing w:before="11" w:after="283"/>
        <w:rPr/>
      </w:pPr>
      <w:r>
        <w:rPr/>
      </w:r>
    </w:p>
    <w:p>
      <w:pPr>
        <w:pStyle w:val="TextBody"/>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follows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251710"/>
                <wp:effectExtent l="0" t="0" r="0" b="0"/>
                <wp:wrapNone/>
                <wp:docPr id="504" name="Frame185"/>
                <a:graphic xmlns:a="http://schemas.openxmlformats.org/drawingml/2006/main">
                  <a:graphicData uri="http://schemas.microsoft.com/office/word/2010/wordprocessingShape">
                    <wps:wsp>
                      <wps:cNvSpPr txBox="1"/>
                      <wps:spPr>
                        <a:xfrm>
                          <a:off x="0" y="0"/>
                          <a:ext cx="6480175" cy="2251710"/>
                        </a:xfrm>
                        <a:prstGeom prst="rect"/>
                      </wps:spPr>
                      <wps:txbx>
                        <w:txbxContent>
                          <w:p>
                            <w:pPr>
                              <w:pStyle w:val="TextBody"/>
                              <w:spacing w:before="0" w:after="0"/>
                              <w:rPr/>
                            </w:pPr>
                            <w:r>
                              <w:rPr/>
                              <w:drawing>
                                <wp:inline distT="0" distB="63500" distL="0" distR="0">
                                  <wp:extent cx="14605" cy="161925"/>
                                  <wp:effectExtent l="0" t="0" r="0" b="0"/>
                                  <wp:docPr id="505"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269" descr=""/>
                                          <pic:cNvPicPr>
                                            <a:picLocks noChangeAspect="1" noChangeArrowheads="1"/>
                                          </pic:cNvPicPr>
                                        </pic:nvPicPr>
                                        <pic:blipFill>
                                          <a:blip r:embed="rId27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161925"/>
                            <wp:effectExtent l="0" t="0" r="0" b="0"/>
                            <wp:docPr id="506"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269" descr=""/>
                                    <pic:cNvPicPr>
                                      <a:picLocks noChangeAspect="1" noChangeArrowheads="1"/>
                                    </pic:cNvPicPr>
                                  </pic:nvPicPr>
                                  <pic:blipFill>
                                    <a:blip r:embed="rId275"/>
                                    <a:stretch>
                                      <a:fillRect/>
                                    </a:stretch>
                                  </pic:blipFill>
                                  <pic:spPr bwMode="auto">
                                    <a:xfrm>
                                      <a:off x="0" y="0"/>
                                      <a:ext cx="14605" cy="161925"/>
                                    </a:xfrm>
                                    <a:prstGeom prst="rect">
                                      <a:avLst/>
                                    </a:prstGeom>
                                  </pic:spPr>
                                </pic:pic>
                              </a:graphicData>
                            </a:graphic>
                          </wp:inline>
                        </w:drawing>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53</w:t>
                            </w:r>
                          </w:p>
                        </w:tc>
                      </w:tr>
                    </w:tbl>
                    <w:tbl>
                      <w:tblPr>
                        <w:tblW w:w="1034" w:type="dxa"/>
                        <w:jc w:val="left"/>
                        <w:tblInd w:w="0" w:type="dxa"/>
                        <w:tblCellMar>
                          <w:top w:w="28" w:type="dxa"/>
                          <w:left w:w="28" w:type="dxa"/>
                          <w:bottom w:w="28" w:type="dxa"/>
                          <w:right w:w="28" w:type="dxa"/>
                        </w:tblCellMar>
                      </w:tblPr>
                      <w:tblGrid>
                        <w:gridCol w:w="331"/>
                        <w:gridCol w:w="290"/>
                        <w:gridCol w:w="413"/>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spacing w:lineRule="auto" w:line="240" w:before="1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tbl>
                      <w:tblPr>
                        <w:tblW w:w="2639" w:type="dxa"/>
                        <w:jc w:val="left"/>
                        <w:tblInd w:w="0" w:type="dxa"/>
                        <w:tblCellMar>
                          <w:top w:w="28" w:type="dxa"/>
                          <w:left w:w="28" w:type="dxa"/>
                          <w:bottom w:w="28" w:type="dxa"/>
                          <w:right w:w="28" w:type="dxa"/>
                        </w:tblCellMar>
                      </w:tblPr>
                      <w:tblGrid>
                        <w:gridCol w:w="843"/>
                        <w:gridCol w:w="741"/>
                        <w:gridCol w:w="1055"/>
                      </w:tblGrid>
                      <w:tr>
                        <w:trPr/>
                        <w:tc>
                          <w:tcPr>
                            <w:tcW w:w="84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pPr>
                            <w:r>
                              <w:rPr>
                                <w:rFonts w:ascii="Times New Roman;sans-serif" w:hAnsi="Times New Roman;sans-serif"/>
                                <w:b w:val="false"/>
                                <w:color w:val="0000FF"/>
                                <w:sz w:val="18"/>
                                <w:u w:val="single"/>
                              </w:rPr>
                              <w:t>WEST\300615610.6</w:t>
                            </w:r>
                            <w:r>
                              <w:rPr>
                                <w:color w:val="0000FF"/>
                              </w:rPr>
                              <w:t xml:space="preserve"> </w:t>
                            </w:r>
                            <w:r>
                              <w:rPr>
                                <w:rFonts w:ascii="Times New Roman;sans-serif" w:hAnsi="Times New Roman;sans-serif"/>
                                <w:b w:val="false"/>
                                <w:strike/>
                                <w:color w:val="FF0000"/>
                                <w:sz w:val="18"/>
                              </w:rPr>
                              <w:t>295054968.4</w:t>
                            </w:r>
                          </w:p>
                          <w:p>
                            <w:pPr>
                              <w:pStyle w:val="TableContents"/>
                              <w:spacing w:lineRule="auto" w:line="273" w:before="0" w:after="0"/>
                              <w:jc w:val="left"/>
                              <w:rPr>
                                <w:rFonts w:ascii="Times New Roman;sans-serif" w:hAnsi="Times New Roman;sans-serif"/>
                                <w:b w:val="false"/>
                                <w:strike/>
                                <w:color w:val="FF0000"/>
                                <w:sz w:val="18"/>
                              </w:rPr>
                            </w:pPr>
                            <w:r>
                              <w:rPr>
                                <w:rFonts w:ascii="Times New Roman;sans-serif" w:hAnsi="Times New Roman;sans-serif"/>
                                <w:b w:val="false"/>
                                <w:strik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ind w:left="0" w:right="0" w:firstLine="720"/>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hereto have caused this Agreement to be executed as of the Effective Date.</w:t>
      </w:r>
    </w:p>
    <w:p>
      <w:pPr>
        <w:pStyle w:val="TextBody"/>
        <w:spacing w:before="10" w:after="283"/>
        <w:rPr/>
      </w:pPr>
      <w:r>
        <w:rPr/>
      </w:r>
    </w:p>
    <w:p>
      <w:pPr>
        <w:pStyle w:val="TextBody"/>
        <w:spacing w:lineRule="auto" w:line="240" w:before="1" w:after="283"/>
        <w:rPr>
          <w:rFonts w:ascii="Times New Roman;sans-serif" w:hAnsi="Times New Roman;sans-serif"/>
          <w:b/>
          <w:color w:val="000000"/>
          <w:sz w:val="20"/>
        </w:rPr>
      </w:pPr>
      <w:r>
        <w:rPr>
          <w:rFonts w:ascii="Times New Roman;sans-serif" w:hAnsi="Times New Roman;sans-serif"/>
          <w:b/>
          <w:color w:val="000000"/>
          <w:sz w:val="20"/>
        </w:rPr>
        <w:t>BORROWER:</w:t>
      </w:r>
    </w:p>
    <w:p>
      <w:pPr>
        <w:pStyle w:val="TextBody"/>
        <w:spacing w:before="10" w:after="283"/>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SI-BONE, INC.</w:t>
      </w:r>
    </w:p>
    <w:p>
      <w:pPr>
        <w:pStyle w:val="TextBody"/>
        <w:spacing w:before="0" w:after="0"/>
        <w:rPr/>
      </w:pPr>
      <w:r>
        <w:rPr/>
      </w:r>
    </w:p>
    <w:p>
      <w:pPr>
        <w:pStyle w:val="TextBody"/>
        <w:spacing w:before="0" w:after="0"/>
        <w:rPr/>
      </w:pPr>
      <w:r>
        <w:rPr/>
      </w:r>
    </w:p>
    <w:p>
      <w:pPr>
        <w:pStyle w:val="TextBody"/>
        <w:spacing w:before="9" w:after="283"/>
        <w:rPr/>
      </w:pPr>
      <w:r>
        <w:rPr/>
      </w:r>
    </w:p>
    <w:p>
      <w:pPr>
        <w:pStyle w:val="TextBody"/>
        <w:spacing w:lineRule="auto" w:line="240" w:before="0" w:after="0"/>
        <w:rPr/>
      </w:pPr>
      <w:r>
        <w:rPr>
          <w:rFonts w:ascii="Times New Roman;sans-serif" w:hAnsi="Times New Roman;sans-serif"/>
          <w:b w:val="false"/>
          <w:color w:val="000000"/>
          <w:sz w:val="20"/>
        </w:rPr>
        <w:t xml:space="preserve">By: </w:t>
      </w:r>
      <w:r>
        <w:rPr>
          <w:color w:val="000000"/>
          <w:u w:val="single"/>
        </w:rPr>
        <w:t>    </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Anshul Maheshwari</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Chief Financial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8" w:after="283"/>
        <w:rPr/>
      </w:pPr>
      <w:r>
        <w:rPr/>
      </w:r>
    </w:p>
    <w:p>
      <w:pPr>
        <w:pStyle w:val="TextBody"/>
        <w:spacing w:lineRule="auto" w:line="240" w:before="1" w:after="283"/>
        <w:rPr>
          <w:rFonts w:ascii="Times New Roman;sans-serif" w:hAnsi="Times New Roman;sans-serif"/>
          <w:b/>
          <w:color w:val="000000"/>
          <w:sz w:val="20"/>
        </w:rPr>
      </w:pPr>
      <w:r>
        <w:rPr>
          <w:rFonts w:ascii="Times New Roman;sans-serif" w:hAnsi="Times New Roman;sans-serif"/>
          <w:b/>
          <w:color w:val="000000"/>
          <w:sz w:val="20"/>
        </w:rPr>
        <w:t>BANK:</w:t>
      </w:r>
    </w:p>
    <w:p>
      <w:pPr>
        <w:pStyle w:val="TextBody"/>
        <w:spacing w:before="10" w:after="283"/>
        <w:rPr/>
      </w:pPr>
      <w:r>
        <w:rPr/>
      </w: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SILICON VALLEY BANK</w:t>
      </w:r>
    </w:p>
    <w:p>
      <w:pPr>
        <w:pStyle w:val="TextBody"/>
        <w:spacing w:before="0" w:after="0"/>
        <w:rPr/>
      </w:pPr>
      <w:r>
        <w:rPr/>
      </w:r>
    </w:p>
    <w:p>
      <w:pPr>
        <w:pStyle w:val="TextBody"/>
        <w:spacing w:before="0" w:after="0"/>
        <w:rPr/>
      </w:pPr>
      <w:r>
        <w:rPr/>
      </w:r>
    </w:p>
    <w:p>
      <w:pPr>
        <w:pStyle w:val="TextBody"/>
        <w:spacing w:before="9" w:after="283"/>
        <w:rPr/>
      </w:pPr>
      <w:r>
        <w:rPr/>
      </w:r>
    </w:p>
    <w:p>
      <w:pPr>
        <w:pStyle w:val="TextBody"/>
        <w:spacing w:lineRule="auto" w:line="240" w:before="0" w:after="0"/>
        <w:rPr/>
      </w:pPr>
      <w:r>
        <w:rPr>
          <w:rFonts w:ascii="Times New Roman;sans-serif" w:hAnsi="Times New Roman;sans-serif"/>
          <w:b w:val="false"/>
          <w:color w:val="000000"/>
          <w:sz w:val="20"/>
        </w:rPr>
        <w:t xml:space="preserve">By: </w:t>
      </w:r>
      <w:r>
        <w:rPr>
          <w:color w:val="000000"/>
          <w:u w:val="single"/>
        </w:rPr>
        <w:t>    </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Mark Davis</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 xml:space="preserve">Title: </w:t>
      </w:r>
      <w:r>
        <w:rPr>
          <w:rFonts w:ascii="Times New Roman;sans-serif" w:hAnsi="Times New Roman;sans-serif"/>
          <w:b w:val="false"/>
          <w:color w:val="000000"/>
          <w:sz w:val="20"/>
          <w:u w:val="single"/>
        </w:rPr>
        <w:t>Vice President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9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Loan and Security Agreement</w:t>
      </w:r>
    </w:p>
    <w:p>
      <w:pPr>
        <w:pStyle w:val="TextBody"/>
        <w:spacing w:before="1" w:after="283"/>
        <w:rPr/>
      </w:pPr>
      <w:r>
        <w:rPr/>
      </w:r>
    </w:p>
    <w:p>
      <w:pPr>
        <w:pStyle w:val="TextBody"/>
        <w:spacing w:lineRule="auto" w:line="273" w:before="93" w:after="283"/>
        <w:rPr/>
      </w:pPr>
      <w:r>
        <w:rPr/>
        <w:drawing>
          <wp:inline distT="0" distB="63500" distL="0" distR="0">
            <wp:extent cx="14605" cy="381000"/>
            <wp:effectExtent l="0" t="0" r="0" b="0"/>
            <wp:docPr id="507"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270" descr=""/>
                    <pic:cNvPicPr>
                      <a:picLocks noChangeAspect="1" noChangeArrowheads="1"/>
                    </pic:cNvPicPr>
                  </pic:nvPicPr>
                  <pic:blipFill>
                    <a:blip r:embed="rId276"/>
                    <a:stretch>
                      <a:fillRect/>
                    </a:stretch>
                  </pic:blipFill>
                  <pic:spPr bwMode="auto">
                    <a:xfrm>
                      <a:off x="0" y="0"/>
                      <a:ext cx="14605" cy="381000"/>
                    </a:xfrm>
                    <a:prstGeom prst="rect">
                      <a:avLst/>
                    </a:prstGeom>
                  </pic:spPr>
                </pic:pic>
              </a:graphicData>
            </a:graphic>
          </wp:inline>
        </w:drawing>
      </w:r>
      <w:r>
        <w:rPr>
          <w:rFonts w:ascii="Times New Roman;sans-serif" w:hAnsi="Times New Roman;sans-serif"/>
          <w:b w:val="false"/>
          <w:color w:val="0000FF"/>
          <w:sz w:val="18"/>
          <w:u w:val="single"/>
        </w:rPr>
        <w:t>WEST\300615610.6</w:t>
      </w:r>
    </w:p>
    <w:p>
      <w:pPr>
        <w:pStyle w:val="TextBody"/>
        <w:spacing w:lineRule="auto" w:line="609" w:before="0" w:after="0"/>
        <w:rPr/>
      </w:pPr>
      <w:r>
        <w:rPr/>
        <w:drawing>
          <wp:inline distT="0" distB="63500" distL="0" distR="0">
            <wp:extent cx="733425" cy="47625"/>
            <wp:effectExtent l="0" t="0" r="0" b="0"/>
            <wp:docPr id="508"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271" descr=""/>
                    <pic:cNvPicPr>
                      <a:picLocks noChangeAspect="1" noChangeArrowheads="1"/>
                    </pic:cNvPicPr>
                  </pic:nvPicPr>
                  <pic:blipFill>
                    <a:blip r:embed="rId277"/>
                    <a:stretch>
                      <a:fillRect/>
                    </a:stretch>
                  </pic:blipFill>
                  <pic:spPr bwMode="auto">
                    <a:xfrm>
                      <a:off x="0" y="0"/>
                      <a:ext cx="733425" cy="47625"/>
                    </a:xfrm>
                    <a:prstGeom prst="rect">
                      <a:avLst/>
                    </a:prstGeom>
                  </pic:spPr>
                </pic:pic>
              </a:graphicData>
            </a:graphic>
          </wp:inline>
        </w:drawing>
      </w:r>
      <w:r>
        <w:rPr>
          <w:rFonts w:ascii="Arial;sans-serif" w:hAnsi="Arial;sans-serif"/>
          <w:b w:val="false"/>
          <w:color w:val="0000FF"/>
          <w:sz w:val="14"/>
        </w:rPr>
        <w:t>2</w:t>
      </w:r>
      <w:r>
        <w:rPr>
          <w:rFonts w:ascii="Times New Roman;sans-serif" w:hAnsi="Times New Roman;sans-serif"/>
          <w:b w:val="false"/>
          <w:color w:val="FF0000"/>
          <w:sz w:val="18"/>
        </w:rPr>
        <w:t>23</w:t>
      </w:r>
      <w:r>
        <w:rPr>
          <w:rFonts w:ascii="Arial;sans-serif" w:hAnsi="Arial;sans-serif"/>
          <w:b w:val="false"/>
          <w:color w:val="0000FF"/>
          <w:sz w:val="14"/>
        </w:rPr>
        <w:t>7</w:t>
      </w:r>
      <w:r>
        <w:rPr>
          <w:rFonts w:ascii="Times New Roman;sans-serif" w:hAnsi="Times New Roman;sans-serif"/>
          <w:b w:val="false"/>
          <w:color w:val="FF0000"/>
          <w:sz w:val="18"/>
        </w:rPr>
        <w:t>59</w:t>
      </w:r>
      <w:r>
        <w:rPr>
          <w:rFonts w:ascii="Arial;sans-serif" w:hAnsi="Arial;sans-serif"/>
          <w:b w:val="false"/>
          <w:color w:val="0000FF"/>
          <w:sz w:val="14"/>
        </w:rPr>
        <w:t>8</w:t>
      </w:r>
      <w:r>
        <w:rPr>
          <w:rFonts w:ascii="Times New Roman;sans-serif" w:hAnsi="Times New Roman;sans-serif"/>
          <w:b w:val="false"/>
          <w:color w:val="FF0000"/>
          <w:sz w:val="18"/>
        </w:rPr>
        <w:t>45</w:t>
      </w:r>
      <w:r>
        <w:rPr>
          <w:rFonts w:ascii="Arial;sans-serif" w:hAnsi="Arial;sans-serif"/>
          <w:b w:val="false"/>
          <w:color w:val="0000FF"/>
          <w:sz w:val="14"/>
        </w:rPr>
        <w:t>6</w:t>
      </w:r>
      <w:r>
        <w:rPr>
          <w:rFonts w:ascii="Times New Roman;sans-serif" w:hAnsi="Times New Roman;sans-serif"/>
          <w:b w:val="false"/>
          <w:color w:val="FF0000"/>
          <w:sz w:val="18"/>
        </w:rPr>
        <w:t>20</w:t>
      </w:r>
      <w:r>
        <w:rPr>
          <w:rFonts w:ascii="Arial;sans-serif" w:hAnsi="Arial;sans-serif"/>
          <w:b w:val="false"/>
          <w:color w:val="0000FF"/>
          <w:sz w:val="14"/>
        </w:rPr>
        <w:t>3</w:t>
      </w:r>
      <w:r>
        <w:rPr>
          <w:rFonts w:ascii="Times New Roman;sans-serif" w:hAnsi="Times New Roman;sans-serif"/>
          <w:b w:val="false"/>
          <w:color w:val="FF0000"/>
          <w:sz w:val="18"/>
        </w:rPr>
        <w:t>75</w:t>
      </w:r>
      <w:r>
        <w:rPr>
          <w:rFonts w:ascii="Arial;sans-serif" w:hAnsi="Arial;sans-serif"/>
          <w:b w:val="false"/>
          <w:color w:val="0000FF"/>
          <w:sz w:val="14"/>
        </w:rPr>
        <w:t>8</w:t>
      </w:r>
      <w:r>
        <w:rPr>
          <w:rFonts w:ascii="Times New Roman;sans-serif" w:hAnsi="Times New Roman;sans-serif"/>
          <w:b w:val="false"/>
          <w:color w:val="FF0000"/>
          <w:sz w:val="18"/>
        </w:rPr>
        <w:t>14</w:t>
      </w:r>
      <w:r>
        <w:rPr>
          <w:rFonts w:ascii="Arial;sans-serif" w:hAnsi="Arial;sans-serif"/>
          <w:b w:val="false"/>
          <w:color w:val="0000FF"/>
          <w:sz w:val="14"/>
        </w:rPr>
        <w:t>01</w:t>
      </w:r>
      <w:r>
        <w:rPr>
          <w:rFonts w:ascii="Times New Roman;sans-serif" w:hAnsi="Times New Roman;sans-serif"/>
          <w:b w:val="false"/>
          <w:color w:val="FF0000"/>
          <w:sz w:val="18"/>
        </w:rPr>
        <w:t>-90</w:t>
      </w:r>
      <w:r>
        <w:rPr>
          <w:rFonts w:ascii="Arial;sans-serif" w:hAnsi="Arial;sans-serif"/>
          <w:b w:val="false"/>
          <w:color w:val="0000FF"/>
          <w:sz w:val="14"/>
        </w:rPr>
        <w:t>9</w:t>
      </w:r>
      <w:r>
        <w:rPr>
          <w:rFonts w:ascii="Times New Roman;sans-serif" w:hAnsi="Times New Roman;sans-serif"/>
          <w:b w:val="false"/>
          <w:color w:val="FF0000"/>
          <w:sz w:val="18"/>
        </w:rPr>
        <w:t>608</w:t>
      </w:r>
      <w:r>
        <w:rPr>
          <w:rFonts w:ascii="Arial;sans-serif" w:hAnsi="Arial;sans-serif"/>
          <w:b w:val="false"/>
          <w:color w:val="0000FF"/>
          <w:sz w:val="14"/>
        </w:rPr>
        <w:t>v</w:t>
      </w:r>
      <w:r>
        <w:rPr>
          <w:rFonts w:ascii="Times New Roman;sans-serif" w:hAnsi="Times New Roman;sans-serif"/>
          <w:b w:val="false"/>
          <w:color w:val="FF0000"/>
          <w:sz w:val="18"/>
        </w:rPr>
        <w:t>0</w:t>
      </w:r>
      <w:r>
        <w:rPr>
          <w:rFonts w:ascii="Arial;sans-serif" w:hAnsi="Arial;sans-serif"/>
          <w:b w:val="false"/>
          <w:color w:val="0000FF"/>
          <w:sz w:val="14"/>
        </w:rPr>
        <w:t>5</w:t>
      </w:r>
      <w:r>
        <w:rPr>
          <w:rFonts w:ascii="Times New Roman;sans-serif" w:hAnsi="Times New Roman;sans-serif"/>
          <w:b w:val="false"/>
          <w:color w:val="FF0000"/>
          <w:sz w:val="18"/>
        </w:rPr>
        <w:t>.499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509" name="Frame18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I</w:t>
      </w:r>
    </w:p>
    <w:p>
      <w:pPr>
        <w:pStyle w:val="TextBody"/>
        <w:spacing w:before="0" w:after="0"/>
        <w:rPr/>
      </w:pPr>
      <w:r>
        <w:rPr/>
      </w:r>
    </w:p>
    <w:p>
      <w:pPr>
        <w:pStyle w:val="TextBody"/>
        <w:spacing w:lineRule="auto" w:line="240" w:before="91" w:after="283"/>
        <w:jc w:val="center"/>
        <w:rPr/>
      </w:pPr>
      <w:r>
        <w:rPr/>
        <w:drawing>
          <wp:inline distT="0" distB="63500" distL="0" distR="0">
            <wp:extent cx="14605" cy="581025"/>
            <wp:effectExtent l="0" t="0" r="0" b="0"/>
            <wp:docPr id="510"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272" descr=""/>
                    <pic:cNvPicPr>
                      <a:picLocks noChangeAspect="1" noChangeArrowheads="1"/>
                    </pic:cNvPicPr>
                  </pic:nvPicPr>
                  <pic:blipFill>
                    <a:blip r:embed="rId278"/>
                    <a:stretch>
                      <a:fillRect/>
                    </a:stretch>
                  </pic:blipFill>
                  <pic:spPr bwMode="auto">
                    <a:xfrm>
                      <a:off x="0" y="0"/>
                      <a:ext cx="14605" cy="581025"/>
                    </a:xfrm>
                    <a:prstGeom prst="rect">
                      <a:avLst/>
                    </a:prstGeom>
                  </pic:spPr>
                </pic:pic>
              </a:graphicData>
            </a:graphic>
          </wp:inline>
        </w:drawing>
      </w:r>
      <w:r>
        <w:rPr>
          <w:rFonts w:ascii="Times New Roman;sans-serif" w:hAnsi="Times New Roman;sans-serif"/>
          <w:b/>
          <w:color w:val="000000"/>
          <w:sz w:val="20"/>
          <w:u w:val="single"/>
        </w:rPr>
        <w:t>LSA PROVISIONS</w:t>
      </w:r>
    </w:p>
    <w:p>
      <w:pPr>
        <w:pStyle w:val="TextBody"/>
        <w:spacing w:before="0" w:after="0"/>
        <w:rPr/>
      </w:pPr>
      <w:r>
        <w:rPr/>
      </w:r>
    </w:p>
    <w:p>
      <w:pPr>
        <w:pStyle w:val="TextBody"/>
        <w:spacing w:before="0" w:after="0"/>
        <w:rPr/>
      </w:pPr>
      <w:r>
        <w:rPr/>
      </w:r>
    </w:p>
    <w:p>
      <w:pPr>
        <w:pStyle w:val="TextBody"/>
        <w:spacing w:before="8" w:after="1"/>
        <w:rPr/>
      </w:pPr>
      <w:r>
        <w:rPr/>
      </w:r>
    </w:p>
    <w:tbl>
      <w:tblPr>
        <w:tblW w:w="10205" w:type="dxa"/>
        <w:jc w:val="left"/>
        <w:tblInd w:w="0" w:type="dxa"/>
        <w:tblCellMar>
          <w:top w:w="28" w:type="dxa"/>
          <w:left w:w="28" w:type="dxa"/>
          <w:bottom w:w="28" w:type="dxa"/>
          <w:right w:w="28" w:type="dxa"/>
        </w:tblCellMar>
      </w:tblPr>
      <w:tblGrid>
        <w:gridCol w:w="1083"/>
        <w:gridCol w:w="562"/>
        <w:gridCol w:w="531"/>
        <w:gridCol w:w="2514"/>
        <w:gridCol w:w="2273"/>
        <w:gridCol w:w="3242"/>
      </w:tblGrid>
      <w:tr>
        <w:trPr/>
        <w:tc>
          <w:tcPr>
            <w:tcW w:w="1083"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c>
          <w:tcPr>
            <w:tcW w:w="3242" w:type="dxa"/>
            <w:tcBorders/>
            <w:shd w:fill="auto" w:val="clear"/>
            <w:vAlign w:val="center"/>
          </w:tcPr>
          <w:p>
            <w:pPr>
              <w:pStyle w:val="TableContents"/>
              <w:spacing w:before="0" w:after="283"/>
              <w:rPr>
                <w:sz w:val="4"/>
                <w:szCs w:val="4"/>
              </w:rPr>
            </w:pPr>
            <w:r>
              <w:rPr>
                <w:sz w:val="4"/>
                <w:szCs w:val="4"/>
              </w:rPr>
            </w:r>
          </w:p>
        </w:tc>
      </w:tr>
      <w:tr>
        <w:trPr/>
        <w:tc>
          <w:tcPr>
            <w:tcW w:w="2176"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Section</w:t>
            </w:r>
          </w:p>
        </w:tc>
        <w:tc>
          <w:tcPr>
            <w:tcW w:w="802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Provision</w:t>
            </w:r>
          </w:p>
        </w:tc>
      </w:tr>
      <w:tr>
        <w:trPr/>
        <w:tc>
          <w:tcPr>
            <w:tcW w:w="2176" w:type="dxa"/>
            <w:gridSpan w:val="3"/>
            <w:tcBorders>
              <w:top w:val="single" w:sz="8"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FF"/>
                <w:sz w:val="20"/>
                <w:u w:val="single"/>
              </w:rPr>
              <w:t>1.1A(a) – Revolving Line -</w:t>
            </w:r>
            <w:r>
              <w:rPr>
                <w:color w:val="0000FF"/>
              </w:rPr>
              <w:t xml:space="preserve"> </w:t>
            </w:r>
            <w:r>
              <w:rPr>
                <w:rFonts w:ascii="Times New Roman;sans-serif" w:hAnsi="Times New Roman;sans-serif"/>
                <w:b w:val="false"/>
                <w:color w:val="0000FF"/>
                <w:sz w:val="20"/>
                <w:u w:val="single"/>
              </w:rPr>
              <w:t>Availability</w:t>
            </w:r>
          </w:p>
        </w:tc>
        <w:tc>
          <w:tcPr>
            <w:tcW w:w="8029" w:type="dxa"/>
            <w:gridSpan w:val="3"/>
            <w:tcBorders>
              <w:top w:val="single" w:sz="8"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FF"/>
                <w:sz w:val="20"/>
                <w:u w:val="single"/>
              </w:rPr>
              <w:t>Amounts borrowed under the Revolving Line may be prepaid or repaid</w:t>
            </w:r>
            <w:r>
              <w:rPr>
                <w:color w:val="0000FF"/>
              </w:rPr>
              <w:t xml:space="preserve"> </w:t>
            </w:r>
            <w:r>
              <w:rPr>
                <w:rFonts w:ascii="Times New Roman;sans-serif" w:hAnsi="Times New Roman;sans-serif"/>
                <w:b w:val="false"/>
                <w:color w:val="0000FF"/>
                <w:sz w:val="20"/>
                <w:u w:val="single"/>
              </w:rPr>
              <w:t>and, prior to the Revolving Line Maturity Date, reborrowed, subject to the</w:t>
            </w:r>
            <w:r>
              <w:rPr>
                <w:color w:val="0000FF"/>
              </w:rPr>
              <w:t xml:space="preserve"> </w:t>
            </w:r>
            <w:r>
              <w:rPr>
                <w:rFonts w:ascii="Times New Roman;sans-serif" w:hAnsi="Times New Roman;sans-serif"/>
                <w:b w:val="false"/>
                <w:color w:val="0000FF"/>
                <w:sz w:val="20"/>
                <w:u w:val="single"/>
              </w:rPr>
              <w:t>applicable terms and conditions precedent herein, without penalty or</w:t>
            </w:r>
            <w:r>
              <w:rPr>
                <w:color w:val="0000FF"/>
              </w:rPr>
              <w:t xml:space="preserve"> </w:t>
            </w:r>
            <w:r>
              <w:rPr>
                <w:rFonts w:ascii="Times New Roman;sans-serif" w:hAnsi="Times New Roman;sans-serif"/>
                <w:b w:val="false"/>
                <w:color w:val="0000FF"/>
                <w:sz w:val="20"/>
                <w:u w:val="single"/>
              </w:rPr>
              <w:t>premium.</w:t>
            </w:r>
          </w:p>
        </w:tc>
      </w:tr>
      <w:tr>
        <w:trPr/>
        <w:tc>
          <w:tcPr>
            <w:tcW w:w="2176"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1.1(a) – Term Loan – Availability</w:t>
            </w:r>
          </w:p>
        </w:tc>
        <w:tc>
          <w:tcPr>
            <w:tcW w:w="802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FF"/>
                <w:sz w:val="20"/>
                <w:u w:val="single"/>
              </w:rPr>
              <w:t>initial</w:t>
            </w:r>
            <w:r>
              <w:rPr>
                <w:color w:val="0000FF"/>
              </w:rPr>
              <w:t xml:space="preserve"> </w:t>
            </w:r>
            <w:r>
              <w:rPr>
                <w:rFonts w:ascii="Times New Roman;sans-serif" w:hAnsi="Times New Roman;sans-serif"/>
                <w:b w:val="false"/>
                <w:color w:val="000000"/>
                <w:sz w:val="20"/>
              </w:rPr>
              <w:t xml:space="preserve">Term Loan Advance must be in an amount equal to the </w:t>
            </w:r>
            <w:r>
              <w:rPr>
                <w:rFonts w:ascii="Times New Roman;sans-serif" w:hAnsi="Times New Roman;sans-serif"/>
                <w:b w:val="false"/>
                <w:color w:val="0000FF"/>
                <w:sz w:val="20"/>
                <w:u w:val="single"/>
              </w:rPr>
              <w:t>initial</w:t>
            </w:r>
            <w:r>
              <w:rPr>
                <w:color w:val="0000FF"/>
              </w:rPr>
              <w:t xml:space="preserve"> </w:t>
            </w:r>
            <w:r>
              <w:rPr>
                <w:rFonts w:ascii="Times New Roman;sans-serif" w:hAnsi="Times New Roman;sans-serif"/>
                <w:b w:val="false"/>
                <w:color w:val="000000"/>
                <w:sz w:val="20"/>
              </w:rPr>
              <w:t>Term Loan Availability Amount</w:t>
            </w:r>
            <w:r>
              <w:rPr>
                <w:color w:val="0000FF"/>
                <w:u w:val="single"/>
              </w:rPr>
              <w:t xml:space="preserve"> </w:t>
            </w:r>
            <w:r>
              <w:rPr>
                <w:rFonts w:ascii="Times New Roman;sans-serif" w:hAnsi="Times New Roman;sans-serif"/>
                <w:b w:val="false"/>
                <w:color w:val="0000FF"/>
                <w:sz w:val="20"/>
                <w:u w:val="single"/>
              </w:rPr>
              <w:t>available on the First Amendment</w:t>
            </w:r>
            <w:r>
              <w:rPr>
                <w:color w:val="0000FF"/>
              </w:rPr>
              <w:t xml:space="preserve"> </w:t>
            </w:r>
            <w:r>
              <w:rPr>
                <w:rFonts w:ascii="Times New Roman;sans-serif" w:hAnsi="Times New Roman;sans-serif"/>
                <w:b w:val="false"/>
                <w:color w:val="0000FF"/>
                <w:sz w:val="20"/>
                <w:u w:val="single"/>
              </w:rPr>
              <w:t>Effective Date (excluding the Uncommitted Accordion, for the avoidance</w:t>
            </w:r>
            <w:r>
              <w:rPr>
                <w:color w:val="0000FF"/>
              </w:rPr>
              <w:t xml:space="preserve"> </w:t>
            </w:r>
            <w:r>
              <w:rPr>
                <w:rFonts w:ascii="Times New Roman;sans-serif" w:hAnsi="Times New Roman;sans-serif"/>
                <w:b w:val="false"/>
                <w:color w:val="0000FF"/>
                <w:sz w:val="20"/>
                <w:u w:val="single"/>
              </w:rPr>
              <w:t>of doubt)</w:t>
            </w:r>
            <w:r>
              <w:rPr>
                <w:rFonts w:ascii="Times New Roman;sans-serif" w:hAnsi="Times New Roman;sans-serif"/>
                <w:b w:val="false"/>
                <w:color w:val="000000"/>
                <w:sz w:val="20"/>
              </w:rPr>
              <w:t>. After repayment, the Term Loan Advance (or any portion thereof) may not be reborrowed.</w:t>
            </w:r>
          </w:p>
        </w:tc>
      </w:tr>
      <w:tr>
        <w:trPr/>
        <w:tc>
          <w:tcPr>
            <w:tcW w:w="2176"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1.1(b) – Term Loan – Repayment</w:t>
            </w:r>
          </w:p>
        </w:tc>
        <w:tc>
          <w:tcPr>
            <w:tcW w:w="802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Commencing on the Term Loan Amortization Date, and continuing on each Payment Date thereafter until the Term Loan Advance is paid in full, Borrower shall repay the </w:t>
            </w:r>
            <w:r>
              <w:rPr>
                <w:rFonts w:ascii="Times New Roman;sans-serif" w:hAnsi="Times New Roman;sans-serif"/>
                <w:b w:val="false"/>
                <w:color w:val="0000FF"/>
                <w:sz w:val="20"/>
                <w:u w:val="single"/>
              </w:rPr>
              <w:t>outstanding</w:t>
            </w:r>
            <w:r>
              <w:rPr>
                <w:color w:val="0000FF"/>
              </w:rPr>
              <w:t xml:space="preserve"> </w:t>
            </w:r>
            <w:r>
              <w:rPr>
                <w:rFonts w:ascii="Times New Roman;sans-serif" w:hAnsi="Times New Roman;sans-serif"/>
                <w:b w:val="false"/>
                <w:color w:val="000000"/>
                <w:sz w:val="20"/>
              </w:rPr>
              <w:t xml:space="preserve">Term Loan Advance in (i) </w:t>
            </w:r>
            <w:r>
              <w:rPr>
                <w:rFonts w:ascii="Times New Roman;sans-serif" w:hAnsi="Times New Roman;sans-serif"/>
                <w:b w:val="false"/>
                <w:color w:val="0000FF"/>
                <w:sz w:val="20"/>
                <w:u w:val="single"/>
              </w:rPr>
              <w:t>thirty</w:t>
            </w:r>
            <w:r>
              <w:rPr>
                <w:color w:val="0000FF"/>
              </w:rPr>
              <w:t xml:space="preserve"> </w:t>
            </w:r>
            <w:r>
              <w:rPr>
                <w:rFonts w:ascii="Times New Roman;sans-serif" w:hAnsi="Times New Roman;sans-serif"/>
                <w:b w:val="false"/>
                <w:color w:val="000000"/>
                <w:sz w:val="20"/>
              </w:rPr>
              <w:t>(</w:t>
            </w:r>
            <w:r>
              <w:rPr>
                <w:rFonts w:ascii="Times New Roman;sans-serif" w:hAnsi="Times New Roman;sans-serif"/>
                <w:b w:val="false"/>
                <w:strike/>
                <w:color w:val="FF0000"/>
                <w:sz w:val="20"/>
              </w:rPr>
              <w:t>a)</w:t>
            </w:r>
            <w:r>
              <w:rPr>
                <w:color w:val="FF0000"/>
              </w:rPr>
              <w:t xml:space="preserve"> </w:t>
            </w:r>
            <w:r>
              <w:rPr>
                <w:rFonts w:ascii="Times New Roman;sans-serif" w:hAnsi="Times New Roman;sans-serif"/>
                <w:b w:val="false"/>
                <w:strike/>
                <w:color w:val="FF0000"/>
                <w:sz w:val="20"/>
              </w:rPr>
              <w:t>twenty-four (24</w:t>
            </w:r>
            <w:r>
              <w:rPr>
                <w:rFonts w:ascii="Times New Roman;sans-serif" w:hAnsi="Times New Roman;sans-serif"/>
                <w:b w:val="false"/>
                <w:color w:val="0000FF"/>
                <w:sz w:val="20"/>
                <w:u w:val="single"/>
              </w:rPr>
              <w:t>30</w:t>
            </w:r>
            <w:r>
              <w:rPr>
                <w:rFonts w:ascii="Times New Roman;sans-serif" w:hAnsi="Times New Roman;sans-serif"/>
                <w:b w:val="false"/>
                <w:color w:val="000000"/>
                <w:sz w:val="20"/>
              </w:rPr>
              <w:t>) equal monthly installments of principal</w:t>
            </w:r>
            <w:r>
              <w:rPr>
                <w:strike/>
                <w:color w:val="FF0000"/>
              </w:rPr>
              <w:t xml:space="preserve"> </w:t>
            </w:r>
            <w:r>
              <w:rPr>
                <w:rFonts w:ascii="Times New Roman;sans-serif" w:hAnsi="Times New Roman;sans-serif"/>
                <w:b w:val="false"/>
                <w:strike/>
                <w:color w:val="FF0000"/>
                <w:sz w:val="20"/>
              </w:rPr>
              <w:t>if the</w:t>
            </w:r>
            <w:r>
              <w:rPr>
                <w:color w:val="FF0000"/>
              </w:rPr>
              <w:t xml:space="preserve"> </w:t>
            </w:r>
            <w:r>
              <w:rPr>
                <w:rFonts w:ascii="Times New Roman;sans-serif" w:hAnsi="Times New Roman;sans-serif"/>
                <w:b w:val="false"/>
                <w:strike/>
                <w:color w:val="FF0000"/>
                <w:sz w:val="20"/>
              </w:rPr>
              <w:t>Performance Milestone does not occur, or (b) thirty-six (36) equal monthly</w:t>
            </w:r>
            <w:r>
              <w:rPr>
                <w:color w:val="FF0000"/>
              </w:rPr>
              <w:t xml:space="preserve"> </w:t>
            </w:r>
            <w:r>
              <w:rPr>
                <w:rFonts w:ascii="Times New Roman;sans-serif" w:hAnsi="Times New Roman;sans-serif"/>
                <w:b w:val="false"/>
                <w:strike/>
                <w:color w:val="FF0000"/>
                <w:sz w:val="20"/>
              </w:rPr>
              <w:t>installments of principal if the Performance Milestone occurs</w:t>
            </w:r>
            <w:r>
              <w:rPr>
                <w:rFonts w:ascii="Times New Roman;sans-serif" w:hAnsi="Times New Roman;sans-serif"/>
                <w:b w:val="false"/>
                <w:color w:val="000000"/>
                <w:sz w:val="20"/>
              </w:rPr>
              <w:t>, plus (ii) monthly payments of accrued interest in accordance with Section 1.2(a)</w:t>
            </w:r>
            <w:r>
              <w:rPr>
                <w:rFonts w:ascii="Times New Roman;sans-serif" w:hAnsi="Times New Roman;sans-serif"/>
                <w:b w:val="false"/>
                <w:color w:val="0000FF"/>
                <w:sz w:val="20"/>
                <w:u w:val="single"/>
              </w:rPr>
              <w:t>(ii)</w:t>
            </w:r>
            <w:r>
              <w:rPr>
                <w:color w:val="0000FF"/>
              </w:rPr>
              <w:t xml:space="preserve"> </w:t>
            </w:r>
            <w:r>
              <w:rPr>
                <w:rFonts w:ascii="Times New Roman;sans-serif" w:hAnsi="Times New Roman;sans-serif"/>
                <w:b w:val="false"/>
                <w:color w:val="000000"/>
                <w:sz w:val="20"/>
              </w:rPr>
              <w:t xml:space="preserve">at the rate set forth in Section </w:t>
            </w:r>
            <w:r>
              <w:rPr>
                <w:rFonts w:ascii="Times New Roman;sans-serif" w:hAnsi="Times New Roman;sans-serif"/>
                <w:b w:val="false"/>
                <w:strike/>
                <w:color w:val="FF0000"/>
                <w:sz w:val="20"/>
              </w:rPr>
              <w:t>1.2(b)(i)</w:t>
            </w:r>
            <w:r>
              <w:rPr>
                <w:rFonts w:ascii="Times New Roman;sans-serif" w:hAnsi="Times New Roman;sans-serif"/>
                <w:b w:val="false"/>
                <w:color w:val="0000FF"/>
                <w:sz w:val="20"/>
                <w:u w:val="single"/>
              </w:rPr>
              <w:t>1.2(b)(ii)</w:t>
            </w:r>
            <w:r>
              <w:rPr>
                <w:rFonts w:ascii="Times New Roman;sans-serif" w:hAnsi="Times New Roman;sans-serif"/>
                <w:b w:val="false"/>
                <w:color w:val="000000"/>
                <w:sz w:val="20"/>
              </w:rPr>
              <w:t>.</w:t>
            </w:r>
          </w:p>
        </w:tc>
      </w:tr>
      <w:tr>
        <w:trPr/>
        <w:tc>
          <w:tcPr>
            <w:tcW w:w="2176"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FF"/>
                <w:sz w:val="20"/>
                <w:u w:val="single"/>
              </w:rPr>
              <w:t>1.2(a)(i) – Interest Payments -</w:t>
            </w:r>
            <w:r>
              <w:rPr>
                <w:color w:val="0000FF"/>
              </w:rPr>
              <w:t xml:space="preserve"> </w:t>
            </w:r>
            <w:r>
              <w:rPr>
                <w:rFonts w:ascii="Times New Roman;sans-serif" w:hAnsi="Times New Roman;sans-serif"/>
                <w:b w:val="false"/>
                <w:color w:val="0000FF"/>
                <w:sz w:val="20"/>
                <w:u w:val="single"/>
              </w:rPr>
              <w:t>Advances</w:t>
            </w:r>
          </w:p>
        </w:tc>
        <w:tc>
          <w:tcPr>
            <w:tcW w:w="8029"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FF"/>
                <w:sz w:val="20"/>
                <w:u w:val="single"/>
              </w:rPr>
              <w:t>Interest on the outstanding principal amount of each Advance is payable in</w:t>
            </w:r>
            <w:r>
              <w:rPr>
                <w:color w:val="0000FF"/>
              </w:rPr>
              <w:t xml:space="preserve"> </w:t>
            </w:r>
            <w:r>
              <w:rPr>
                <w:rFonts w:ascii="Times New Roman;sans-serif" w:hAnsi="Times New Roman;sans-serif"/>
                <w:b w:val="false"/>
                <w:color w:val="0000FF"/>
                <w:sz w:val="20"/>
                <w:u w:val="single"/>
              </w:rPr>
              <w:t>arrears monthly (A) on each Payment Date, (B) on the date of any</w:t>
            </w:r>
            <w:r>
              <w:rPr>
                <w:color w:val="0000FF"/>
              </w:rPr>
              <w:t xml:space="preserve"> </w:t>
            </w:r>
            <w:r>
              <w:rPr>
                <w:rFonts w:ascii="Times New Roman;sans-serif" w:hAnsi="Times New Roman;sans-serif"/>
                <w:b w:val="false"/>
                <w:color w:val="0000FF"/>
                <w:sz w:val="20"/>
                <w:u w:val="single"/>
              </w:rPr>
              <w:t>prepayment and (C) on the Revolving Line Maturity Date.</w:t>
            </w:r>
          </w:p>
        </w:tc>
      </w:tr>
      <w:tr>
        <w:trPr/>
        <w:tc>
          <w:tcPr>
            <w:tcW w:w="2176"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1.2(a)</w:t>
            </w:r>
            <w:r>
              <w:rPr>
                <w:rFonts w:ascii="Times New Roman;sans-serif" w:hAnsi="Times New Roman;sans-serif"/>
                <w:b w:val="false"/>
                <w:color w:val="0000FF"/>
                <w:sz w:val="20"/>
                <w:u w:val="single"/>
              </w:rPr>
              <w:t>(ii)</w:t>
            </w:r>
            <w:r>
              <w:rPr>
                <w:color w:val="0000FF"/>
              </w:rPr>
              <w:t xml:space="preserve"> </w:t>
            </w:r>
            <w:r>
              <w:rPr>
                <w:color w:val="000000"/>
              </w:rPr>
              <w:t xml:space="preserve">– </w:t>
            </w:r>
            <w:r>
              <w:rPr>
                <w:rFonts w:ascii="Times New Roman;sans-serif" w:hAnsi="Times New Roman;sans-serif"/>
                <w:b w:val="false"/>
                <w:color w:val="000000"/>
                <w:sz w:val="20"/>
              </w:rPr>
              <w:t xml:space="preserve">Interest Payments – Term Loan </w:t>
            </w:r>
            <w:r>
              <w:rPr>
                <w:rFonts w:ascii="Times New Roman;sans-serif" w:hAnsi="Times New Roman;sans-serif"/>
                <w:b w:val="false"/>
                <w:strike/>
                <w:color w:val="FF0000"/>
                <w:sz w:val="20"/>
              </w:rPr>
              <w:t>Advance</w:t>
            </w:r>
            <w:r>
              <w:rPr>
                <w:rFonts w:ascii="Times New Roman;sans-serif" w:hAnsi="Times New Roman;sans-serif"/>
                <w:b w:val="false"/>
                <w:color w:val="0000FF"/>
                <w:sz w:val="20"/>
                <w:u w:val="single"/>
              </w:rPr>
              <w:t>Advances</w:t>
            </w:r>
          </w:p>
        </w:tc>
        <w:tc>
          <w:tcPr>
            <w:tcW w:w="802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on the outstanding principal amount of the Term Loan Advance is payable in arrears monthly (i) on each Payment Date commencing on the first Payment Date following the Funding Date of each such Term Loan Advance, (ii) on the date of any prepayment of the Term Loan Advance, and (iii) on the Term Loan Maturity Date.</w:t>
            </w:r>
          </w:p>
        </w:tc>
      </w:tr>
      <w:tr>
        <w:trPr/>
        <w:tc>
          <w:tcPr>
            <w:tcW w:w="2176"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1.2(b)(i) – Interest Rate - Advances</w:t>
            </w:r>
          </w:p>
        </w:tc>
        <w:tc>
          <w:tcPr>
            <w:tcW w:w="8029"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FF"/>
                <w:sz w:val="20"/>
                <w:u w:val="single"/>
              </w:rPr>
              <w:t>The outstanding principal amount of any Advance shall accrue interest at a</w:t>
            </w:r>
            <w:r>
              <w:rPr>
                <w:color w:val="0000FF"/>
              </w:rPr>
              <w:t xml:space="preserve"> </w:t>
            </w:r>
            <w:r>
              <w:rPr>
                <w:rFonts w:ascii="Times New Roman;sans-serif" w:hAnsi="Times New Roman;sans-serif"/>
                <w:b w:val="false"/>
                <w:color w:val="0000FF"/>
                <w:sz w:val="20"/>
                <w:u w:val="single"/>
              </w:rPr>
              <w:t>floating rate per annum equal to the greater of (A) six and one quarter of</w:t>
            </w:r>
            <w:r>
              <w:rPr>
                <w:color w:val="0000FF"/>
              </w:rPr>
              <w:t xml:space="preserve"> </w:t>
            </w:r>
            <w:r>
              <w:rPr>
                <w:rFonts w:ascii="Times New Roman;sans-serif" w:hAnsi="Times New Roman;sans-serif"/>
                <w:b w:val="false"/>
                <w:color w:val="0000FF"/>
                <w:sz w:val="20"/>
                <w:u w:val="single"/>
              </w:rPr>
              <w:t>one percent (6.25%) and (B) the Prime Rate plus the applicable Prime Rate</w:t>
            </w:r>
            <w:r>
              <w:rPr>
                <w:color w:val="0000FF"/>
              </w:rPr>
              <w:t xml:space="preserve"> </w:t>
            </w:r>
            <w:r>
              <w:rPr>
                <w:rFonts w:ascii="Times New Roman;sans-serif" w:hAnsi="Times New Roman;sans-serif"/>
                <w:b w:val="false"/>
                <w:color w:val="0000FF"/>
                <w:sz w:val="20"/>
                <w:u w:val="single"/>
              </w:rPr>
              <w:t>Margin, which interest shall be payable in accordance with Section</w:t>
            </w:r>
            <w:r>
              <w:rPr>
                <w:color w:val="0000FF"/>
              </w:rPr>
              <w:t xml:space="preserve"> </w:t>
            </w:r>
            <w:r>
              <w:rPr>
                <w:rFonts w:ascii="Times New Roman;sans-serif" w:hAnsi="Times New Roman;sans-serif"/>
                <w:b w:val="false"/>
                <w:color w:val="0000FF"/>
                <w:sz w:val="20"/>
                <w:u w:val="single"/>
              </w:rPr>
              <w:t>1.2(a)(i).</w:t>
            </w:r>
          </w:p>
        </w:tc>
      </w:tr>
      <w:tr>
        <w:trPr/>
        <w:tc>
          <w:tcPr>
            <w:tcW w:w="2176"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1.2(b)(</w:t>
            </w:r>
            <w:r>
              <w:rPr>
                <w:rFonts w:ascii="Times New Roman;sans-serif" w:hAnsi="Times New Roman;sans-serif"/>
                <w:b w:val="false"/>
                <w:color w:val="FF0000"/>
                <w:sz w:val="20"/>
              </w:rPr>
              <w:t>i</w:t>
            </w:r>
            <w:r>
              <w:rPr>
                <w:rFonts w:ascii="Times New Roman;sans-serif" w:hAnsi="Times New Roman;sans-serif"/>
                <w:b w:val="false"/>
                <w:color w:val="0000FF"/>
                <w:sz w:val="20"/>
                <w:u w:val="single"/>
              </w:rPr>
              <w:t>ii</w:t>
            </w:r>
            <w:r>
              <w:rPr>
                <w:rFonts w:ascii="Times New Roman;sans-serif" w:hAnsi="Times New Roman;sans-serif"/>
                <w:b w:val="false"/>
                <w:color w:val="000000"/>
                <w:sz w:val="20"/>
              </w:rPr>
              <w:t xml:space="preserve">) – Interest Rate – Term Loan </w:t>
            </w:r>
            <w:r>
              <w:rPr>
                <w:rFonts w:ascii="Times New Roman;sans-serif" w:hAnsi="Times New Roman;sans-serif"/>
                <w:b w:val="false"/>
                <w:strike/>
                <w:color w:val="FF0000"/>
                <w:sz w:val="20"/>
              </w:rPr>
              <w:t>Advance</w:t>
            </w:r>
            <w:r>
              <w:rPr>
                <w:rFonts w:ascii="Times New Roman;sans-serif" w:hAnsi="Times New Roman;sans-serif"/>
                <w:b w:val="false"/>
                <w:color w:val="0000FF"/>
                <w:sz w:val="20"/>
                <w:u w:val="single"/>
              </w:rPr>
              <w:t>Advances</w:t>
            </w:r>
          </w:p>
        </w:tc>
        <w:tc>
          <w:tcPr>
            <w:tcW w:w="802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The outstanding principal amount of the Term Loan Advance shall accrue interest at a floating rate per annum equal to the greater of (A) </w:t>
            </w:r>
            <w:r>
              <w:rPr>
                <w:rFonts w:ascii="Times New Roman;sans-serif" w:hAnsi="Times New Roman;sans-serif"/>
                <w:b w:val="false"/>
                <w:strike/>
                <w:color w:val="FF0000"/>
                <w:sz w:val="20"/>
              </w:rPr>
              <w:t>five</w:t>
            </w:r>
            <w:r>
              <w:rPr>
                <w:rFonts w:ascii="Times New Roman;sans-serif" w:hAnsi="Times New Roman;sans-serif"/>
                <w:b w:val="false"/>
                <w:color w:val="0000FF"/>
                <w:sz w:val="20"/>
                <w:u w:val="single"/>
              </w:rPr>
              <w:t>six</w:t>
            </w:r>
            <w:r>
              <w:rPr>
                <w:color w:val="0000FF"/>
              </w:rPr>
              <w:t xml:space="preserve"> </w:t>
            </w:r>
            <w:r>
              <w:rPr>
                <w:rFonts w:ascii="Times New Roman;sans-serif" w:hAnsi="Times New Roman;sans-serif"/>
                <w:b w:val="false"/>
                <w:color w:val="000000"/>
                <w:sz w:val="20"/>
              </w:rPr>
              <w:t>and three quarters of one percent (</w:t>
            </w:r>
            <w:r>
              <w:rPr>
                <w:rFonts w:ascii="Times New Roman;sans-serif" w:hAnsi="Times New Roman;sans-serif"/>
                <w:b w:val="false"/>
                <w:strike/>
                <w:color w:val="FF0000"/>
                <w:sz w:val="20"/>
              </w:rPr>
              <w:t>5.75</w:t>
            </w:r>
            <w:r>
              <w:rPr>
                <w:rFonts w:ascii="Times New Roman;sans-serif" w:hAnsi="Times New Roman;sans-serif"/>
                <w:b w:val="false"/>
                <w:color w:val="0000FF"/>
                <w:sz w:val="20"/>
                <w:u w:val="single"/>
              </w:rPr>
              <w:t>6.75</w:t>
            </w:r>
            <w:r>
              <w:rPr>
                <w:rFonts w:ascii="Times New Roman;sans-serif" w:hAnsi="Times New Roman;sans-serif"/>
                <w:b w:val="false"/>
                <w:color w:val="000000"/>
                <w:sz w:val="20"/>
              </w:rPr>
              <w:t xml:space="preserve">%) and (B) the Prime Rate plus the </w:t>
            </w:r>
            <w:r>
              <w:rPr>
                <w:rFonts w:ascii="Times New Roman;sans-serif" w:hAnsi="Times New Roman;sans-serif"/>
                <w:b w:val="false"/>
                <w:color w:val="0000FF"/>
                <w:sz w:val="20"/>
                <w:u w:val="single"/>
              </w:rPr>
              <w:t xml:space="preserve">applicable </w:t>
            </w:r>
            <w:r>
              <w:rPr>
                <w:rFonts w:ascii="Times New Roman;sans-serif" w:hAnsi="Times New Roman;sans-serif"/>
                <w:b w:val="false"/>
                <w:color w:val="000000"/>
                <w:sz w:val="20"/>
              </w:rPr>
              <w:t>Prime Rate Margin, which interest shall be payable in accordance with Section 1.2(a)</w:t>
            </w:r>
            <w:r>
              <w:rPr>
                <w:rFonts w:ascii="Times New Roman;sans-serif" w:hAnsi="Times New Roman;sans-serif"/>
                <w:b w:val="false"/>
                <w:color w:val="0000FF"/>
                <w:sz w:val="20"/>
                <w:u w:val="single"/>
              </w:rPr>
              <w:t>(ii)</w:t>
            </w:r>
            <w:r>
              <w:rPr>
                <w:rFonts w:ascii="Times New Roman;sans-serif" w:hAnsi="Times New Roman;sans-serif"/>
                <w:b w:val="false"/>
                <w:color w:val="000000"/>
                <w:sz w:val="20"/>
              </w:rPr>
              <w:t>.</w:t>
            </w:r>
          </w:p>
        </w:tc>
      </w:tr>
      <w:tr>
        <w:trPr/>
        <w:tc>
          <w:tcPr>
            <w:tcW w:w="2176" w:type="dxa"/>
            <w:gridSpan w:val="3"/>
            <w:tcBorders>
              <w:top w:val="single" w:sz="4" w:space="0" w:color="010101"/>
              <w:left w:val="single" w:sz="4" w:space="0" w:color="010101"/>
              <w:bottom w:val="single" w:sz="4" w:space="0" w:color="010101"/>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1.2(e) – Interest Computation</w:t>
            </w:r>
          </w:p>
        </w:tc>
        <w:tc>
          <w:tcPr>
            <w:tcW w:w="8029" w:type="dxa"/>
            <w:gridSpan w:val="3"/>
            <w:tcBorders>
              <w:top w:val="single" w:sz="4" w:space="0" w:color="010101"/>
              <w:left w:val="single" w:sz="4" w:space="0" w:color="010101"/>
              <w:bottom w:val="single" w:sz="4" w:space="0" w:color="010101"/>
              <w:right w:val="single" w:sz="6" w:space="0" w:color="010101"/>
            </w:tcBorders>
            <w:shd w:fill="auto" w:val="clear"/>
            <w:tcMar>
              <w:top w:w="30" w:type="dxa"/>
              <w:bottom w:w="3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shall be computed on the basis of the actual number of days elapsed and a 360-day year for any Credit Extension outstanding.</w:t>
            </w:r>
          </w:p>
        </w:tc>
      </w:tr>
    </w:tbl>
    <w:p>
      <w:pPr>
        <w:pStyle w:val="TextBody"/>
        <w:spacing w:before="5" w:after="283"/>
        <w:rPr/>
      </w:pPr>
      <w:r>
        <w:rPr/>
      </w:r>
    </w:p>
    <w:p>
      <w:pPr>
        <w:pStyle w:val="TextBody"/>
        <w:spacing w:lineRule="auto" w:line="240" w:before="91" w:after="283"/>
        <w:jc w:val="center"/>
        <w:rPr/>
      </w:pPr>
      <w:r>
        <w:rPr/>
        <w:drawing>
          <wp:inline distT="0" distB="63500" distL="0" distR="0">
            <wp:extent cx="14605" cy="723900"/>
            <wp:effectExtent l="0" t="0" r="0" b="0"/>
            <wp:docPr id="511"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273" descr=""/>
                    <pic:cNvPicPr>
                      <a:picLocks noChangeAspect="1" noChangeArrowheads="1"/>
                    </pic:cNvPicPr>
                  </pic:nvPicPr>
                  <pic:blipFill>
                    <a:blip r:embed="rId279"/>
                    <a:stretch>
                      <a:fillRect/>
                    </a:stretch>
                  </pic:blipFill>
                  <pic:spPr bwMode="auto">
                    <a:xfrm>
                      <a:off x="0" y="0"/>
                      <a:ext cx="14605" cy="723900"/>
                    </a:xfrm>
                    <a:prstGeom prst="rect">
                      <a:avLst/>
                    </a:prstGeom>
                  </pic:spPr>
                </pic:pic>
              </a:graphicData>
            </a:graphic>
          </wp:inline>
        </w:drawing>
      </w:r>
      <w:r>
        <w:rPr>
          <w:rFonts w:ascii="Times New Roman;sans-serif" w:hAnsi="Times New Roman;sans-serif"/>
          <w:b w:val="false"/>
          <w:color w:val="000000"/>
          <w:sz w:val="20"/>
        </w:rPr>
        <w:t>I-1</w:t>
      </w:r>
    </w:p>
    <w:p>
      <w:pPr>
        <w:pStyle w:val="TextBody"/>
        <w:spacing w:before="1" w:after="283"/>
        <w:rPr/>
      </w:pPr>
      <w:r>
        <w:rPr/>
      </w:r>
    </w:p>
    <w:p>
      <w:pPr>
        <w:pStyle w:val="TextBody"/>
        <w:spacing w:lineRule="auto" w:line="240" w:before="92" w:after="283"/>
        <w:rPr/>
      </w:pPr>
      <w:r>
        <w:rPr/>
        <w:drawing>
          <wp:inline distT="0" distB="63500" distL="0" distR="0">
            <wp:extent cx="14605" cy="400050"/>
            <wp:effectExtent l="0" t="0" r="0" b="0"/>
            <wp:docPr id="512"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274" descr=""/>
                    <pic:cNvPicPr>
                      <a:picLocks noChangeAspect="1" noChangeArrowheads="1"/>
                    </pic:cNvPicPr>
                  </pic:nvPicPr>
                  <pic:blipFill>
                    <a:blip r:embed="rId280"/>
                    <a:stretch>
                      <a:fillRect/>
                    </a:stretch>
                  </pic:blipFill>
                  <pic:spPr bwMode="auto">
                    <a:xfrm>
                      <a:off x="0" y="0"/>
                      <a:ext cx="14605" cy="400050"/>
                    </a:xfrm>
                    <a:prstGeom prst="rect">
                      <a:avLst/>
                    </a:prstGeom>
                  </pic:spPr>
                </pic:pic>
              </a:graphicData>
            </a:graphic>
          </wp:inline>
        </w:drawing>
      </w:r>
      <w:r>
        <w:rPr>
          <w:rFonts w:ascii="Times New Roman;sans-serif" w:hAnsi="Times New Roman;sans-serif"/>
          <w:b w:val="false"/>
          <w:color w:val="0000FF"/>
          <w:sz w:val="18"/>
          <w:u w:val="single"/>
        </w:rPr>
        <w:t>WEST\300615610.6</w:t>
      </w:r>
    </w:p>
    <w:p>
      <w:pPr>
        <w:pStyle w:val="TextBody"/>
        <w:spacing w:lineRule="auto" w:line="345" w:before="1" w:after="283"/>
        <w:rPr/>
      </w:pPr>
      <w:r>
        <w:rPr/>
        <w:drawing>
          <wp:inline distT="0" distB="63500" distL="0" distR="0">
            <wp:extent cx="552450" cy="14605"/>
            <wp:effectExtent l="0" t="0" r="0" b="0"/>
            <wp:docPr id="513"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275" descr=""/>
                    <pic:cNvPicPr>
                      <a:picLocks noChangeAspect="1" noChangeArrowheads="1"/>
                    </pic:cNvPicPr>
                  </pic:nvPicPr>
                  <pic:blipFill>
                    <a:blip r:embed="rId281"/>
                    <a:stretch>
                      <a:fillRect/>
                    </a:stretch>
                  </pic:blipFill>
                  <pic:spPr bwMode="auto">
                    <a:xfrm>
                      <a:off x="0" y="0"/>
                      <a:ext cx="552450" cy="14605"/>
                    </a:xfrm>
                    <a:prstGeom prst="rect">
                      <a:avLst/>
                    </a:prstGeom>
                  </pic:spPr>
                </pic:pic>
              </a:graphicData>
            </a:graphic>
          </wp:inline>
        </w:drawing>
      </w: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Calibri;sans-serif" w:hAnsi="Calibri;sans-serif"/>
          <w:b w:val="false"/>
          <w:color w:val="FF0000"/>
          <w:sz w:val="18"/>
        </w:rPr>
        <w:t>.4</w:t>
      </w:r>
    </w:p>
    <w:p>
      <w:pPr>
        <w:pStyle w:val="TextBody"/>
        <w:spacing w:lineRule="auto" w:line="213" w:before="0" w:after="0"/>
        <w:rPr>
          <w:rFonts w:ascii="Calibri;sans-serif" w:hAnsi="Calibri;sans-serif"/>
          <w:b w:val="false"/>
          <w:strike/>
          <w:color w:val="FF0000"/>
          <w:sz w:val="18"/>
        </w:rPr>
      </w:pPr>
      <w:r>
        <w:rPr>
          <w:rFonts w:ascii="Calibri;sans-serif" w:hAnsi="Calibri;sans-serif"/>
          <w:b w:val="false"/>
          <w:strike/>
          <w:color w:val="FF0000"/>
          <w:sz w:val="18"/>
        </w:rPr>
        <w:t>354271-000499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260"/>
                <wp:effectExtent l="0" t="0" r="0" b="0"/>
                <wp:wrapNone/>
                <wp:docPr id="514" name="Frame18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drawing>
          <wp:inline distT="0" distB="63500" distL="0" distR="0">
            <wp:extent cx="14605" cy="438150"/>
            <wp:effectExtent l="0" t="0" r="0" b="0"/>
            <wp:docPr id="515"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276" descr=""/>
                    <pic:cNvPicPr>
                      <a:picLocks noChangeAspect="1" noChangeArrowheads="1"/>
                    </pic:cNvPicPr>
                  </pic:nvPicPr>
                  <pic:blipFill>
                    <a:blip r:embed="rId282"/>
                    <a:stretch>
                      <a:fillRect/>
                    </a:stretch>
                  </pic:blipFill>
                  <pic:spPr bwMode="auto">
                    <a:xfrm>
                      <a:off x="0" y="0"/>
                      <a:ext cx="14605" cy="438150"/>
                    </a:xfrm>
                    <a:prstGeom prst="rect">
                      <a:avLst/>
                    </a:prstGeom>
                  </pic:spPr>
                </pic:pic>
              </a:graphicData>
            </a:graphic>
          </wp:inline>
        </w:drawing>
      </w:r>
      <w:r>
        <w:rPr/>
        <w:drawing>
          <wp:inline distT="0" distB="63500" distL="0" distR="0">
            <wp:extent cx="14605" cy="285750"/>
            <wp:effectExtent l="0" t="0" r="0" b="0"/>
            <wp:docPr id="516"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277" descr=""/>
                    <pic:cNvPicPr>
                      <a:picLocks noChangeAspect="1" noChangeArrowheads="1"/>
                    </pic:cNvPicPr>
                  </pic:nvPicPr>
                  <pic:blipFill>
                    <a:blip r:embed="rId283"/>
                    <a:stretch>
                      <a:fillRect/>
                    </a:stretch>
                  </pic:blipFill>
                  <pic:spPr bwMode="auto">
                    <a:xfrm>
                      <a:off x="0" y="0"/>
                      <a:ext cx="14605" cy="285750"/>
                    </a:xfrm>
                    <a:prstGeom prst="rect">
                      <a:avLst/>
                    </a:prstGeom>
                  </pic:spPr>
                </pic:pic>
              </a:graphicData>
            </a:graphic>
          </wp:inline>
        </w:drawing>
      </w:r>
      <w:r>
        <w:rPr/>
        <w:drawing>
          <wp:inline distT="0" distB="63500" distL="0" distR="0">
            <wp:extent cx="14605" cy="876300"/>
            <wp:effectExtent l="0" t="0" r="0" b="0"/>
            <wp:docPr id="517"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278" descr=""/>
                    <pic:cNvPicPr>
                      <a:picLocks noChangeAspect="1" noChangeArrowheads="1"/>
                    </pic:cNvPicPr>
                  </pic:nvPicPr>
                  <pic:blipFill>
                    <a:blip r:embed="rId284"/>
                    <a:stretch>
                      <a:fillRect/>
                    </a:stretch>
                  </pic:blipFill>
                  <pic:spPr bwMode="auto">
                    <a:xfrm>
                      <a:off x="0" y="0"/>
                      <a:ext cx="14605" cy="876300"/>
                    </a:xfrm>
                    <a:prstGeom prst="rect">
                      <a:avLst/>
                    </a:prstGeom>
                  </pic:spPr>
                </pic:pic>
              </a:graphicData>
            </a:graphic>
          </wp:inline>
        </w:drawing>
      </w:r>
      <w:r>
        <w:rPr/>
        <w:drawing>
          <wp:inline distT="0" distB="63500" distL="0" distR="0">
            <wp:extent cx="14605" cy="285750"/>
            <wp:effectExtent l="0" t="0" r="0" b="0"/>
            <wp:docPr id="518"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279" descr=""/>
                    <pic:cNvPicPr>
                      <a:picLocks noChangeAspect="1" noChangeArrowheads="1"/>
                    </pic:cNvPicPr>
                  </pic:nvPicPr>
                  <pic:blipFill>
                    <a:blip r:embed="rId285"/>
                    <a:stretch>
                      <a:fillRect/>
                    </a:stretch>
                  </pic:blipFill>
                  <pic:spPr bwMode="auto">
                    <a:xfrm>
                      <a:off x="0" y="0"/>
                      <a:ext cx="14605" cy="285750"/>
                    </a:xfrm>
                    <a:prstGeom prst="rect">
                      <a:avLst/>
                    </a:prstGeom>
                  </pic:spPr>
                </pic:pic>
              </a:graphicData>
            </a:graphic>
          </wp:inline>
        </w:drawing>
      </w:r>
      <w:r>
        <w:rPr/>
        <w:drawing>
          <wp:inline distT="0" distB="63500" distL="0" distR="0">
            <wp:extent cx="14605" cy="438150"/>
            <wp:effectExtent l="0" t="0" r="0" b="0"/>
            <wp:docPr id="519"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280" descr=""/>
                    <pic:cNvPicPr>
                      <a:picLocks noChangeAspect="1" noChangeArrowheads="1"/>
                    </pic:cNvPicPr>
                  </pic:nvPicPr>
                  <pic:blipFill>
                    <a:blip r:embed="rId286"/>
                    <a:stretch>
                      <a:fillRect/>
                    </a:stretch>
                  </pic:blipFill>
                  <pic:spPr bwMode="auto">
                    <a:xfrm>
                      <a:off x="0" y="0"/>
                      <a:ext cx="14605" cy="438150"/>
                    </a:xfrm>
                    <a:prstGeom prst="rect">
                      <a:avLst/>
                    </a:prstGeom>
                  </pic:spPr>
                </pic:pic>
              </a:graphicData>
            </a:graphic>
          </wp:inline>
        </w:drawing>
      </w:r>
      <w:r>
        <w:rPr/>
        <w:drawing>
          <wp:inline distT="0" distB="63500" distL="0" distR="0">
            <wp:extent cx="14605" cy="876300"/>
            <wp:effectExtent l="0" t="0" r="0" b="0"/>
            <wp:docPr id="520"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281" descr=""/>
                    <pic:cNvPicPr>
                      <a:picLocks noChangeAspect="1" noChangeArrowheads="1"/>
                    </pic:cNvPicPr>
                  </pic:nvPicPr>
                  <pic:blipFill>
                    <a:blip r:embed="rId287"/>
                    <a:stretch>
                      <a:fillRect/>
                    </a:stretch>
                  </pic:blipFill>
                  <pic:spPr bwMode="auto">
                    <a:xfrm>
                      <a:off x="0" y="0"/>
                      <a:ext cx="14605" cy="876300"/>
                    </a:xfrm>
                    <a:prstGeom prst="rect">
                      <a:avLst/>
                    </a:prstGeom>
                  </pic:spPr>
                </pic:pic>
              </a:graphicData>
            </a:graphic>
          </wp:inline>
        </w:drawing>
      </w:r>
      <w:r>
        <w:rPr/>
        <w:drawing>
          <wp:inline distT="0" distB="63500" distL="0" distR="0">
            <wp:extent cx="14605" cy="285750"/>
            <wp:effectExtent l="0" t="0" r="0" b="0"/>
            <wp:docPr id="521"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282" descr=""/>
                    <pic:cNvPicPr>
                      <a:picLocks noChangeAspect="1" noChangeArrowheads="1"/>
                    </pic:cNvPicPr>
                  </pic:nvPicPr>
                  <pic:blipFill>
                    <a:blip r:embed="rId288"/>
                    <a:stretch>
                      <a:fillRect/>
                    </a:stretch>
                  </pic:blipFill>
                  <pic:spPr bwMode="auto">
                    <a:xfrm>
                      <a:off x="0" y="0"/>
                      <a:ext cx="14605" cy="285750"/>
                    </a:xfrm>
                    <a:prstGeom prst="rect">
                      <a:avLst/>
                    </a:prstGeom>
                  </pic:spPr>
                </pic:pic>
              </a:graphicData>
            </a:graphic>
          </wp:inline>
        </w:drawing>
      </w:r>
    </w:p>
    <w:p>
      <w:pPr>
        <w:pStyle w:val="TextBody"/>
        <w:spacing w:before="0" w:after="0"/>
        <w:rPr/>
      </w:pPr>
      <w:r>
        <w:rPr/>
      </w:r>
    </w:p>
    <w:p>
      <w:pPr>
        <w:pStyle w:val="TextBody"/>
        <w:spacing w:before="9" w:after="283"/>
        <w:rPr/>
      </w:pPr>
      <w:r>
        <w:rPr/>
      </w:r>
    </w:p>
    <w:tbl>
      <w:tblPr>
        <w:tblW w:w="10205" w:type="dxa"/>
        <w:jc w:val="left"/>
        <w:tblInd w:w="0" w:type="dxa"/>
        <w:tblCellMar>
          <w:top w:w="28" w:type="dxa"/>
          <w:left w:w="28" w:type="dxa"/>
          <w:bottom w:w="28" w:type="dxa"/>
          <w:right w:w="28" w:type="dxa"/>
        </w:tblCellMar>
      </w:tblPr>
      <w:tblGrid>
        <w:gridCol w:w="552"/>
        <w:gridCol w:w="450"/>
        <w:gridCol w:w="455"/>
        <w:gridCol w:w="3036"/>
        <w:gridCol w:w="2414"/>
        <w:gridCol w:w="3298"/>
      </w:tblGrid>
      <w:tr>
        <w:trPr/>
        <w:tc>
          <w:tcPr>
            <w:tcW w:w="55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3036" w:type="dxa"/>
            <w:tcBorders/>
            <w:shd w:fill="auto" w:val="clear"/>
            <w:vAlign w:val="center"/>
          </w:tcPr>
          <w:p>
            <w:pPr>
              <w:pStyle w:val="TableContents"/>
              <w:spacing w:before="0" w:after="283"/>
              <w:rPr>
                <w:sz w:val="4"/>
                <w:szCs w:val="4"/>
              </w:rPr>
            </w:pPr>
            <w:r>
              <w:rPr>
                <w:sz w:val="4"/>
                <w:szCs w:val="4"/>
              </w:rPr>
            </w:r>
          </w:p>
        </w:tc>
        <w:tc>
          <w:tcPr>
            <w:tcW w:w="2414" w:type="dxa"/>
            <w:tcBorders/>
            <w:shd w:fill="auto" w:val="clear"/>
            <w:vAlign w:val="center"/>
          </w:tcPr>
          <w:p>
            <w:pPr>
              <w:pStyle w:val="TableContents"/>
              <w:spacing w:before="0" w:after="283"/>
              <w:rPr>
                <w:sz w:val="4"/>
                <w:szCs w:val="4"/>
              </w:rPr>
            </w:pPr>
            <w:r>
              <w:rPr>
                <w:sz w:val="4"/>
                <w:szCs w:val="4"/>
              </w:rPr>
            </w:r>
          </w:p>
        </w:tc>
        <w:tc>
          <w:tcPr>
            <w:tcW w:w="3298" w:type="dxa"/>
            <w:tcBorders/>
            <w:shd w:fill="auto" w:val="clear"/>
            <w:vAlign w:val="center"/>
          </w:tcPr>
          <w:p>
            <w:pPr>
              <w:pStyle w:val="TableContents"/>
              <w:spacing w:before="0" w:after="283"/>
              <w:rPr>
                <w:sz w:val="4"/>
                <w:szCs w:val="4"/>
              </w:rPr>
            </w:pPr>
            <w:r>
              <w:rPr>
                <w:sz w:val="4"/>
                <w:szCs w:val="4"/>
              </w:rPr>
            </w:r>
          </w:p>
        </w:tc>
      </w:tr>
      <w:tr>
        <w:trPr/>
        <w:tc>
          <w:tcPr>
            <w:tcW w:w="145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Section</w:t>
            </w:r>
          </w:p>
        </w:tc>
        <w:tc>
          <w:tcPr>
            <w:tcW w:w="874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Provision</w:t>
            </w:r>
          </w:p>
        </w:tc>
      </w:tr>
      <w:tr>
        <w:trPr/>
        <w:tc>
          <w:tcPr>
            <w:tcW w:w="1457" w:type="dxa"/>
            <w:gridSpan w:val="3"/>
            <w:tcBorders>
              <w:top w:val="single" w:sz="8"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FF"/>
                <w:sz w:val="20"/>
                <w:u w:val="single"/>
              </w:rPr>
              <w:t>1.3(c) – Revolving Line Commitment</w:t>
            </w:r>
            <w:r>
              <w:rPr>
                <w:color w:val="0000FF"/>
              </w:rPr>
              <w:t xml:space="preserve"> </w:t>
            </w:r>
            <w:r>
              <w:rPr>
                <w:rFonts w:ascii="Times New Roman;sans-serif" w:hAnsi="Times New Roman;sans-serif"/>
                <w:b w:val="false"/>
                <w:color w:val="0000FF"/>
                <w:sz w:val="20"/>
                <w:u w:val="single"/>
              </w:rPr>
              <w:t>Fee</w:t>
            </w:r>
          </w:p>
        </w:tc>
        <w:tc>
          <w:tcPr>
            <w:tcW w:w="8748" w:type="dxa"/>
            <w:gridSpan w:val="3"/>
            <w:tcBorders>
              <w:top w:val="single" w:sz="8"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both"/>
              <w:rPr/>
            </w:pPr>
            <w:r>
              <w:rPr>
                <w:rFonts w:ascii="Times New Roman;sans-serif" w:hAnsi="Times New Roman;sans-serif"/>
                <w:b w:val="false"/>
                <w:color w:val="0000FF"/>
                <w:sz w:val="20"/>
                <w:u w:val="single"/>
              </w:rPr>
              <w:t>A fully earned, non-refundable commitment fee of (i) Seventy-Five</w:t>
            </w:r>
            <w:r>
              <w:rPr>
                <w:color w:val="0000FF"/>
              </w:rPr>
              <w:t xml:space="preserve"> </w:t>
            </w:r>
            <w:r>
              <w:rPr>
                <w:rFonts w:ascii="Times New Roman;sans-serif" w:hAnsi="Times New Roman;sans-serif"/>
                <w:b w:val="false"/>
                <w:color w:val="0000FF"/>
                <w:sz w:val="20"/>
                <w:u w:val="single"/>
              </w:rPr>
              <w:t>Thousand Dollars ($75,000) on the First Amendment Effective Date, (ii)</w:t>
            </w:r>
            <w:r>
              <w:rPr>
                <w:color w:val="0000FF"/>
              </w:rPr>
              <w:t xml:space="preserve"> </w:t>
            </w:r>
            <w:r>
              <w:rPr>
                <w:rFonts w:ascii="Times New Roman;sans-serif" w:hAnsi="Times New Roman;sans-serif"/>
                <w:b w:val="false"/>
                <w:color w:val="0000FF"/>
                <w:sz w:val="20"/>
                <w:u w:val="single"/>
              </w:rPr>
              <w:t>Seventy-Five Thousand Dollars ($75,000) on the first anniversary of the</w:t>
            </w:r>
            <w:r>
              <w:rPr>
                <w:color w:val="0000FF"/>
              </w:rPr>
              <w:t xml:space="preserve"> </w:t>
            </w:r>
            <w:r>
              <w:rPr>
                <w:rFonts w:ascii="Times New Roman;sans-serif" w:hAnsi="Times New Roman;sans-serif"/>
                <w:b w:val="false"/>
                <w:color w:val="0000FF"/>
                <w:sz w:val="20"/>
                <w:u w:val="single"/>
              </w:rPr>
              <w:t>First Amendment Effective Date, and (iii) Thirty-Seven Thousand Five</w:t>
            </w:r>
            <w:r>
              <w:rPr>
                <w:color w:val="0000FF"/>
              </w:rPr>
              <w:t xml:space="preserve"> </w:t>
            </w:r>
            <w:r>
              <w:rPr>
                <w:rFonts w:ascii="Times New Roman;sans-serif" w:hAnsi="Times New Roman;sans-serif"/>
                <w:b w:val="false"/>
                <w:color w:val="0000FF"/>
                <w:sz w:val="20"/>
                <w:u w:val="single"/>
              </w:rPr>
              <w:t>Hundred ($37,500) on the second anniversary of the First Amendment</w:t>
            </w:r>
            <w:r>
              <w:rPr>
                <w:color w:val="0000FF"/>
              </w:rPr>
              <w:t xml:space="preserve"> </w:t>
            </w:r>
            <w:r>
              <w:rPr>
                <w:rFonts w:ascii="Times New Roman;sans-serif" w:hAnsi="Times New Roman;sans-serif"/>
                <w:b w:val="false"/>
                <w:color w:val="0000FF"/>
                <w:sz w:val="20"/>
                <w:u w:val="single"/>
              </w:rPr>
              <w:t>Effective Date.</w:t>
            </w:r>
          </w:p>
        </w:tc>
      </w:tr>
      <w:tr>
        <w:trPr/>
        <w:tc>
          <w:tcPr>
            <w:tcW w:w="145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“Borrower”</w:t>
            </w:r>
          </w:p>
        </w:tc>
        <w:tc>
          <w:tcPr>
            <w:tcW w:w="874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Borrower</w:t>
            </w:r>
            <w:r>
              <w:rPr>
                <w:color w:val="000000"/>
              </w:rPr>
              <w:t xml:space="preserve">” </w:t>
            </w:r>
            <w:r>
              <w:rPr>
                <w:rFonts w:ascii="Times New Roman;sans-serif" w:hAnsi="Times New Roman;sans-serif"/>
                <w:b w:val="false"/>
                <w:color w:val="000000"/>
                <w:sz w:val="20"/>
              </w:rPr>
              <w:t xml:space="preserve">means (i) </w:t>
            </w:r>
            <w:r>
              <w:rPr>
                <w:rFonts w:ascii="Times New Roman;sans-serif" w:hAnsi="Times New Roman;sans-serif"/>
                <w:b/>
                <w:color w:val="000000"/>
                <w:sz w:val="20"/>
              </w:rPr>
              <w:t>SI-BONE, INC.</w:t>
            </w:r>
            <w:r>
              <w:rPr>
                <w:rFonts w:ascii="Times New Roman;sans-serif" w:hAnsi="Times New Roman;sans-serif"/>
                <w:b w:val="false"/>
                <w:color w:val="000000"/>
                <w:sz w:val="20"/>
              </w:rPr>
              <w:t>, a Delaware corporation.</w:t>
            </w:r>
          </w:p>
        </w:tc>
      </w:tr>
      <w:tr>
        <w:trPr/>
        <w:tc>
          <w:tcPr>
            <w:tcW w:w="145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“Effective Date”</w:t>
            </w:r>
          </w:p>
        </w:tc>
        <w:tc>
          <w:tcPr>
            <w:tcW w:w="874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is August 12, 2021.</w:t>
            </w:r>
          </w:p>
        </w:tc>
      </w:tr>
      <w:tr>
        <w:trPr/>
        <w:tc>
          <w:tcPr>
            <w:tcW w:w="145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“Payment Date”</w:t>
            </w:r>
          </w:p>
        </w:tc>
        <w:tc>
          <w:tcPr>
            <w:tcW w:w="874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both"/>
              <w:rPr/>
            </w:pPr>
            <w:r>
              <w:rPr>
                <w:color w:val="000000"/>
              </w:rPr>
              <w:t>“</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 xml:space="preserve">is </w:t>
            </w:r>
            <w:r>
              <w:rPr>
                <w:rFonts w:ascii="Times New Roman;sans-serif" w:hAnsi="Times New Roman;sans-serif"/>
                <w:b w:val="false"/>
                <w:color w:val="0000FF"/>
                <w:sz w:val="20"/>
                <w:u w:val="single"/>
              </w:rPr>
              <w:t>(a) with respect to Term Loan Advances,</w:t>
            </w:r>
            <w:r>
              <w:rPr>
                <w:color w:val="0000FF"/>
              </w:rPr>
              <w:t xml:space="preserve"> </w:t>
            </w:r>
            <w:r>
              <w:rPr>
                <w:rFonts w:ascii="Times New Roman;sans-serif" w:hAnsi="Times New Roman;sans-serif"/>
                <w:b w:val="false"/>
                <w:color w:val="000000"/>
                <w:sz w:val="20"/>
              </w:rPr>
              <w:t>the first (1st) calendar day of each month</w:t>
            </w:r>
            <w:r>
              <w:rPr>
                <w:color w:val="0000FF"/>
                <w:u w:val="single"/>
              </w:rPr>
              <w:t xml:space="preserve"> </w:t>
            </w:r>
            <w:r>
              <w:rPr>
                <w:rFonts w:ascii="Times New Roman;sans-serif" w:hAnsi="Times New Roman;sans-serif"/>
                <w:b w:val="false"/>
                <w:color w:val="0000FF"/>
                <w:sz w:val="20"/>
                <w:u w:val="single"/>
              </w:rPr>
              <w:t>and (b) with respect to Advances, the last</w:t>
            </w:r>
            <w:r>
              <w:rPr>
                <w:color w:val="0000FF"/>
              </w:rPr>
              <w:t xml:space="preserve"> </w:t>
            </w:r>
            <w:r>
              <w:rPr>
                <w:rFonts w:ascii="Times New Roman;sans-serif" w:hAnsi="Times New Roman;sans-serif"/>
                <w:b w:val="false"/>
                <w:color w:val="0000FF"/>
                <w:sz w:val="20"/>
                <w:u w:val="single"/>
              </w:rPr>
              <w:t>calendar day of each month</w:t>
            </w:r>
            <w:r>
              <w:rPr>
                <w:rFonts w:ascii="Times New Roman;sans-serif" w:hAnsi="Times New Roman;sans-serif"/>
                <w:b w:val="false"/>
                <w:color w:val="000000"/>
                <w:sz w:val="20"/>
              </w:rPr>
              <w:t>.</w:t>
            </w:r>
          </w:p>
        </w:tc>
      </w:tr>
      <w:tr>
        <w:trPr/>
        <w:tc>
          <w:tcPr>
            <w:tcW w:w="145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“Prime Rate”</w:t>
            </w:r>
          </w:p>
        </w:tc>
        <w:tc>
          <w:tcPr>
            <w:tcW w:w="874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both"/>
              <w:rPr/>
            </w:pPr>
            <w:r>
              <w:rPr>
                <w:color w:val="000000"/>
              </w:rPr>
              <w:t>“</w:t>
            </w:r>
            <w:r>
              <w:rPr>
                <w:rFonts w:ascii="Times New Roman;sans-serif" w:hAnsi="Times New Roman;sans-serif"/>
                <w:b/>
                <w:color w:val="000000"/>
                <w:sz w:val="20"/>
              </w:rPr>
              <w:t>Prime Rate</w:t>
            </w:r>
            <w:r>
              <w:rPr>
                <w:color w:val="000000"/>
              </w:rPr>
              <w:t xml:space="preserve">” </w:t>
            </w:r>
            <w:r>
              <w:rPr>
                <w:rFonts w:ascii="Times New Roman;sans-serif" w:hAnsi="Times New Roman;sans-serif"/>
                <w:b w:val="false"/>
                <w:color w:val="000000"/>
                <w:sz w:val="20"/>
              </w:rPr>
              <w:t xml:space="preserve">is the rate of interest per annum from time to time published in the money rates section of </w:t>
            </w:r>
            <w:r>
              <w:rPr>
                <w:rFonts w:ascii="Times New Roman;sans-serif" w:hAnsi="Times New Roman;sans-serif"/>
                <w:b w:val="false"/>
                <w:color w:val="000000"/>
                <w:sz w:val="20"/>
                <w:u w:val="single"/>
              </w:rPr>
              <w:t>The Wall Street Journal</w:t>
            </w:r>
            <w:r>
              <w:rPr>
                <w:color w:val="000000"/>
              </w:rPr>
              <w:t xml:space="preserve"> </w:t>
            </w:r>
            <w:r>
              <w:rPr>
                <w:rFonts w:ascii="Times New Roman;sans-serif" w:hAnsi="Times New Roman;sans-serif"/>
                <w:b w:val="false"/>
                <w:color w:val="000000"/>
                <w:sz w:val="20"/>
              </w:rPr>
              <w:t xml:space="preserve">or any successor publication thereto as the “prime rate” then in effect; provided that if such rate of interest, as set forth from time to time in the money rates section of </w:t>
            </w:r>
            <w:r>
              <w:rPr>
                <w:rFonts w:ascii="Times New Roman;sans-serif" w:hAnsi="Times New Roman;sans-serif"/>
                <w:b w:val="false"/>
                <w:color w:val="000000"/>
                <w:sz w:val="20"/>
                <w:u w:val="single"/>
              </w:rPr>
              <w:t>The Wall Street Journal</w:t>
            </w:r>
            <w:r>
              <w:rPr>
                <w:rFonts w:ascii="Times New Roman;sans-serif" w:hAnsi="Times New Roman;sans-serif"/>
                <w:b w:val="false"/>
                <w:color w:val="000000"/>
                <w:sz w:val="20"/>
              </w:rPr>
              <w:t>,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percent (0.0%) per annum, such rate shall be deemed to be zero percent (0.0%) per annum for purposes of this Agreement.</w:t>
            </w:r>
          </w:p>
        </w:tc>
      </w:tr>
      <w:tr>
        <w:trPr/>
        <w:tc>
          <w:tcPr>
            <w:tcW w:w="145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“Prime Rate Margin”</w:t>
            </w:r>
          </w:p>
        </w:tc>
        <w:tc>
          <w:tcPr>
            <w:tcW w:w="874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both"/>
              <w:rPr/>
            </w:pPr>
            <w:r>
              <w:rPr>
                <w:color w:val="000000"/>
              </w:rPr>
              <w:t>“</w:t>
            </w:r>
            <w:r>
              <w:rPr>
                <w:rFonts w:ascii="Times New Roman;sans-serif" w:hAnsi="Times New Roman;sans-serif"/>
                <w:b/>
                <w:color w:val="000000"/>
                <w:sz w:val="20"/>
              </w:rPr>
              <w:t>Prime Rate Margin</w:t>
            </w:r>
            <w:r>
              <w:rPr>
                <w:color w:val="000000"/>
              </w:rPr>
              <w:t xml:space="preserve">” </w:t>
            </w:r>
            <w:r>
              <w:rPr>
                <w:rFonts w:ascii="Times New Roman;sans-serif" w:hAnsi="Times New Roman;sans-serif"/>
                <w:b w:val="false"/>
                <w:color w:val="000000"/>
                <w:sz w:val="20"/>
              </w:rPr>
              <w:t xml:space="preserve">is </w:t>
            </w:r>
            <w:r>
              <w:rPr>
                <w:rFonts w:ascii="Times New Roman;sans-serif" w:hAnsi="Times New Roman;sans-serif"/>
                <w:b w:val="false"/>
                <w:strike/>
                <w:color w:val="FF0000"/>
                <w:sz w:val="20"/>
              </w:rPr>
              <w:t>two and</w:t>
            </w:r>
            <w:r>
              <w:rPr>
                <w:rFonts w:ascii="Times New Roman;sans-serif" w:hAnsi="Times New Roman;sans-serif"/>
                <w:b w:val="false"/>
                <w:color w:val="0000FF"/>
                <w:sz w:val="20"/>
                <w:u w:val="single"/>
              </w:rPr>
              <w:t>(a) for Advances, (i) zero percent</w:t>
            </w:r>
            <w:r>
              <w:rPr>
                <w:color w:val="0000FF"/>
              </w:rPr>
              <w:t xml:space="preserve"> </w:t>
            </w:r>
            <w:r>
              <w:rPr>
                <w:rFonts w:ascii="Times New Roman;sans-serif" w:hAnsi="Times New Roman;sans-serif"/>
                <w:b w:val="false"/>
                <w:color w:val="0000FF"/>
                <w:sz w:val="20"/>
                <w:u w:val="single"/>
              </w:rPr>
              <w:t>(0.00%), and (b) for Term Loan Advances,</w:t>
            </w:r>
            <w:r>
              <w:rPr>
                <w:color w:val="0000FF"/>
              </w:rPr>
              <w:t xml:space="preserve"> </w:t>
            </w:r>
            <w:r>
              <w:rPr>
                <w:rFonts w:ascii="Times New Roman;sans-serif" w:hAnsi="Times New Roman;sans-serif"/>
                <w:b w:val="false"/>
                <w:color w:val="000000"/>
                <w:sz w:val="20"/>
              </w:rPr>
              <w:t>one half of one percent (</w:t>
            </w:r>
            <w:r>
              <w:rPr>
                <w:rFonts w:ascii="Times New Roman;sans-serif" w:hAnsi="Times New Roman;sans-serif"/>
                <w:b w:val="false"/>
                <w:strike/>
                <w:color w:val="FF0000"/>
                <w:sz w:val="20"/>
              </w:rPr>
              <w:t>2.50</w:t>
            </w:r>
            <w:r>
              <w:rPr>
                <w:rFonts w:ascii="Times New Roman;sans-serif" w:hAnsi="Times New Roman;sans-serif"/>
                <w:b w:val="false"/>
                <w:color w:val="0000FF"/>
                <w:sz w:val="20"/>
                <w:u w:val="single"/>
              </w:rPr>
              <w:t>0.50</w:t>
            </w:r>
            <w:r>
              <w:rPr>
                <w:rFonts w:ascii="Times New Roman;sans-serif" w:hAnsi="Times New Roman;sans-serif"/>
                <w:b w:val="false"/>
                <w:color w:val="000000"/>
                <w:sz w:val="20"/>
              </w:rPr>
              <w:t>%).</w:t>
            </w:r>
          </w:p>
        </w:tc>
      </w:tr>
      <w:tr>
        <w:trPr/>
        <w:tc>
          <w:tcPr>
            <w:tcW w:w="1457"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12.2 – “Revolving Line”</w:t>
            </w:r>
          </w:p>
        </w:tc>
        <w:tc>
          <w:tcPr>
            <w:tcW w:w="8748"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left"/>
              <w:rPr/>
            </w:pPr>
            <w:r>
              <w:rPr>
                <w:color w:val="0000FF"/>
                <w:u w:val="single"/>
              </w:rPr>
              <w:t>“</w:t>
            </w:r>
            <w:r>
              <w:rPr>
                <w:rFonts w:ascii="Times New Roman;sans-serif" w:hAnsi="Times New Roman;sans-serif"/>
                <w:b/>
                <w:color w:val="0000FF"/>
                <w:sz w:val="20"/>
                <w:u w:val="single"/>
              </w:rPr>
              <w:t>Revolving Line</w:t>
            </w:r>
            <w:r>
              <w:rPr>
                <w:color w:val="0000FF"/>
                <w:u w:val="single"/>
              </w:rPr>
              <w:t xml:space="preserve">” </w:t>
            </w:r>
            <w:r>
              <w:rPr>
                <w:rFonts w:ascii="Times New Roman;sans-serif" w:hAnsi="Times New Roman;sans-serif"/>
                <w:b w:val="false"/>
                <w:color w:val="0000FF"/>
                <w:sz w:val="20"/>
                <w:u w:val="single"/>
              </w:rPr>
              <w:t>is an aggregate principal amount equal to Fifteen</w:t>
            </w:r>
            <w:r>
              <w:rPr>
                <w:color w:val="0000FF"/>
              </w:rPr>
              <w:t xml:space="preserve"> </w:t>
            </w:r>
            <w:r>
              <w:rPr>
                <w:rFonts w:ascii="Times New Roman;sans-serif" w:hAnsi="Times New Roman;sans-serif"/>
                <w:b w:val="false"/>
                <w:color w:val="0000FF"/>
                <w:sz w:val="20"/>
                <w:u w:val="single"/>
              </w:rPr>
              <w:t>Million Dollars ($15,000,000).</w:t>
            </w:r>
          </w:p>
        </w:tc>
      </w:tr>
      <w:tr>
        <w:trPr/>
        <w:tc>
          <w:tcPr>
            <w:tcW w:w="145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“Term Loan Amortization Date”</w:t>
            </w:r>
          </w:p>
        </w:tc>
        <w:tc>
          <w:tcPr>
            <w:tcW w:w="874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left"/>
              <w:rPr/>
            </w:pPr>
            <w:r>
              <w:rPr>
                <w:color w:val="000000"/>
              </w:rPr>
              <w:t>“</w:t>
            </w:r>
            <w:r>
              <w:rPr>
                <w:rFonts w:ascii="Times New Roman;sans-serif" w:hAnsi="Times New Roman;sans-serif"/>
                <w:b/>
                <w:color w:val="000000"/>
                <w:sz w:val="20"/>
              </w:rPr>
              <w:t>Term Loan Amortization Date</w:t>
            </w:r>
            <w:r>
              <w:rPr>
                <w:color w:val="000000"/>
              </w:rPr>
              <w:t xml:space="preserve">” </w:t>
            </w:r>
            <w:r>
              <w:rPr>
                <w:rFonts w:ascii="Times New Roman;sans-serif" w:hAnsi="Times New Roman;sans-serif"/>
                <w:b w:val="false"/>
                <w:color w:val="000000"/>
                <w:sz w:val="20"/>
              </w:rPr>
              <w:t xml:space="preserve">is </w:t>
            </w:r>
            <w:r>
              <w:rPr>
                <w:rFonts w:ascii="Times New Roman;sans-serif" w:hAnsi="Times New Roman;sans-serif"/>
                <w:b w:val="false"/>
                <w:strike/>
                <w:color w:val="FF0000"/>
                <w:sz w:val="20"/>
              </w:rPr>
              <w:t>September</w:t>
            </w:r>
            <w:r>
              <w:rPr>
                <w:rFonts w:ascii="Times New Roman;sans-serif" w:hAnsi="Times New Roman;sans-serif"/>
                <w:b w:val="false"/>
                <w:color w:val="0000FF"/>
                <w:sz w:val="20"/>
                <w:u w:val="single"/>
              </w:rPr>
              <w:t>July</w:t>
            </w:r>
            <w:r>
              <w:rPr>
                <w:color w:val="0000FF"/>
              </w:rPr>
              <w:t xml:space="preserve"> </w:t>
            </w:r>
            <w:r>
              <w:rPr>
                <w:rFonts w:ascii="Times New Roman;sans-serif" w:hAnsi="Times New Roman;sans-serif"/>
                <w:b w:val="false"/>
                <w:color w:val="000000"/>
                <w:sz w:val="20"/>
              </w:rPr>
              <w:t xml:space="preserve">1, </w:t>
            </w:r>
            <w:r>
              <w:rPr>
                <w:rFonts w:ascii="Times New Roman;sans-serif" w:hAnsi="Times New Roman;sans-serif"/>
                <w:b w:val="false"/>
                <w:strike/>
                <w:color w:val="FF0000"/>
                <w:sz w:val="20"/>
              </w:rPr>
              <w:t>2023</w:t>
            </w:r>
            <w:r>
              <w:rPr>
                <w:rFonts w:ascii="Times New Roman;sans-serif" w:hAnsi="Times New Roman;sans-serif"/>
                <w:b w:val="false"/>
                <w:color w:val="0000FF"/>
                <w:sz w:val="20"/>
                <w:u w:val="single"/>
              </w:rPr>
              <w:t>2025</w:t>
            </w:r>
            <w:r>
              <w:rPr>
                <w:rFonts w:ascii="Times New Roman;sans-serif" w:hAnsi="Times New Roman;sans-serif"/>
                <w:b w:val="false"/>
                <w:color w:val="000000"/>
                <w:sz w:val="20"/>
              </w:rPr>
              <w:t>.</w:t>
            </w:r>
          </w:p>
        </w:tc>
      </w:tr>
      <w:tr>
        <w:trPr/>
        <w:tc>
          <w:tcPr>
            <w:tcW w:w="1457"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FF"/>
                <w:sz w:val="20"/>
                <w:u w:val="single"/>
              </w:rPr>
              <w:t>12.2 – “Revolving Line Maturity</w:t>
            </w:r>
            <w:r>
              <w:rPr>
                <w:color w:val="0000FF"/>
              </w:rPr>
              <w:t xml:space="preserve"> </w:t>
            </w:r>
            <w:r>
              <w:rPr>
                <w:rFonts w:ascii="Times New Roman;sans-serif" w:hAnsi="Times New Roman;sans-serif"/>
                <w:b w:val="false"/>
                <w:color w:val="0000FF"/>
                <w:sz w:val="20"/>
                <w:u w:val="single"/>
              </w:rPr>
              <w:t>Date”</w:t>
            </w:r>
          </w:p>
        </w:tc>
        <w:tc>
          <w:tcPr>
            <w:tcW w:w="8748"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left"/>
              <w:rPr/>
            </w:pPr>
            <w:r>
              <w:rPr>
                <w:color w:val="0000FF"/>
                <w:u w:val="single"/>
              </w:rPr>
              <w:t>“</w:t>
            </w:r>
            <w:r>
              <w:rPr>
                <w:rFonts w:ascii="Times New Roman;sans-serif" w:hAnsi="Times New Roman;sans-serif"/>
                <w:b/>
                <w:color w:val="0000FF"/>
                <w:sz w:val="20"/>
                <w:u w:val="single"/>
              </w:rPr>
              <w:t>Revolving Line Maturity Date</w:t>
            </w:r>
            <w:r>
              <w:rPr>
                <w:color w:val="0000FF"/>
                <w:u w:val="single"/>
              </w:rPr>
              <w:t xml:space="preserve">” </w:t>
            </w:r>
            <w:r>
              <w:rPr>
                <w:rFonts w:ascii="Times New Roman;sans-serif" w:hAnsi="Times New Roman;sans-serif"/>
                <w:b w:val="false"/>
                <w:color w:val="0000FF"/>
                <w:sz w:val="20"/>
                <w:u w:val="single"/>
              </w:rPr>
              <w:t>is the date that is thirty (30) months</w:t>
            </w:r>
            <w:r>
              <w:rPr>
                <w:color w:val="0000FF"/>
              </w:rPr>
              <w:t xml:space="preserve"> </w:t>
            </w:r>
            <w:r>
              <w:rPr>
                <w:rFonts w:ascii="Times New Roman;sans-serif" w:hAnsi="Times New Roman;sans-serif"/>
                <w:b w:val="false"/>
                <w:color w:val="0000FF"/>
                <w:sz w:val="20"/>
                <w:u w:val="single"/>
              </w:rPr>
              <w:t>after the First Amendment Effective Date.</w:t>
            </w:r>
          </w:p>
        </w:tc>
      </w:tr>
      <w:tr>
        <w:trPr/>
        <w:tc>
          <w:tcPr>
            <w:tcW w:w="145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“Term Loan Availability Amount”</w:t>
            </w:r>
          </w:p>
        </w:tc>
        <w:tc>
          <w:tcPr>
            <w:tcW w:w="874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both"/>
              <w:rPr/>
            </w:pPr>
            <w:r>
              <w:rPr>
                <w:color w:val="000000"/>
              </w:rPr>
              <w:t>“</w:t>
            </w:r>
            <w:r>
              <w:rPr>
                <w:rFonts w:ascii="Times New Roman;sans-serif" w:hAnsi="Times New Roman;sans-serif"/>
                <w:b/>
                <w:color w:val="000000"/>
                <w:sz w:val="20"/>
              </w:rPr>
              <w:t>Term Loan Availability Amount</w:t>
            </w:r>
            <w:r>
              <w:rPr>
                <w:color w:val="000000"/>
              </w:rPr>
              <w:t xml:space="preserve">” </w:t>
            </w:r>
            <w:r>
              <w:rPr>
                <w:rFonts w:ascii="Times New Roman;sans-serif" w:hAnsi="Times New Roman;sans-serif"/>
                <w:b w:val="false"/>
                <w:color w:val="000000"/>
                <w:sz w:val="20"/>
              </w:rPr>
              <w:t xml:space="preserve">is </w:t>
            </w:r>
            <w:r>
              <w:rPr>
                <w:rFonts w:ascii="Times New Roman;sans-serif" w:hAnsi="Times New Roman;sans-serif"/>
                <w:b w:val="false"/>
                <w:strike/>
                <w:color w:val="FF0000"/>
                <w:sz w:val="20"/>
              </w:rPr>
              <w:t>Thirty-Five</w:t>
            </w:r>
            <w:r>
              <w:rPr>
                <w:rFonts w:ascii="Times New Roman;sans-serif" w:hAnsi="Times New Roman;sans-serif"/>
                <w:b w:val="false"/>
                <w:color w:val="0000FF"/>
                <w:sz w:val="20"/>
                <w:u w:val="single"/>
              </w:rPr>
              <w:t>Thirty-Six</w:t>
            </w:r>
            <w:r>
              <w:rPr>
                <w:color w:val="0000FF"/>
              </w:rPr>
              <w:t xml:space="preserve"> </w:t>
            </w:r>
            <w:r>
              <w:rPr>
                <w:rFonts w:ascii="Times New Roman;sans-serif" w:hAnsi="Times New Roman;sans-serif"/>
                <w:b w:val="false"/>
                <w:color w:val="000000"/>
                <w:sz w:val="20"/>
              </w:rPr>
              <w:t>Million Dollars ($</w:t>
            </w:r>
            <w:r>
              <w:rPr>
                <w:rFonts w:ascii="Times New Roman;sans-serif" w:hAnsi="Times New Roman;sans-serif"/>
                <w:b w:val="false"/>
                <w:strike/>
                <w:color w:val="FF0000"/>
                <w:sz w:val="20"/>
              </w:rPr>
              <w:t>35,000,000)</w:t>
            </w:r>
            <w:r>
              <w:rPr>
                <w:rFonts w:ascii="Times New Roman;sans-serif" w:hAnsi="Times New Roman;sans-serif"/>
                <w:b w:val="false"/>
                <w:color w:val="0000FF"/>
                <w:sz w:val="20"/>
                <w:u w:val="single"/>
              </w:rPr>
              <w:t>36,000,000); provided however, upon Borrower’s</w:t>
            </w:r>
            <w:r>
              <w:rPr>
                <w:color w:val="0000FF"/>
              </w:rPr>
              <w:t xml:space="preserve"> </w:t>
            </w:r>
            <w:r>
              <w:rPr>
                <w:rFonts w:ascii="Times New Roman;sans-serif" w:hAnsi="Times New Roman;sans-serif"/>
                <w:b w:val="false"/>
                <w:color w:val="0000FF"/>
                <w:sz w:val="20"/>
                <w:u w:val="single"/>
              </w:rPr>
              <w:t>request, if Bank, in its sole and absolute discretion, grant Borrower’s</w:t>
            </w:r>
            <w:r>
              <w:rPr>
                <w:color w:val="0000FF"/>
              </w:rPr>
              <w:t xml:space="preserve"> </w:t>
            </w:r>
            <w:r>
              <w:rPr>
                <w:rFonts w:ascii="Times New Roman;sans-serif" w:hAnsi="Times New Roman;sans-serif"/>
                <w:b w:val="false"/>
                <w:color w:val="0000FF"/>
                <w:sz w:val="20"/>
                <w:u w:val="single"/>
              </w:rPr>
              <w:t>request to make the Uncommitted Accordion available to Borrower, then</w:t>
            </w:r>
            <w:r>
              <w:rPr>
                <w:color w:val="0000FF"/>
              </w:rPr>
              <w:t xml:space="preserve"> </w:t>
            </w:r>
            <w:r>
              <w:rPr>
                <w:color w:val="0000FF"/>
                <w:u w:val="single"/>
              </w:rPr>
              <w:t>“</w:t>
            </w:r>
            <w:r>
              <w:rPr>
                <w:rFonts w:ascii="Times New Roman;sans-serif" w:hAnsi="Times New Roman;sans-serif"/>
                <w:b/>
                <w:color w:val="0000FF"/>
                <w:sz w:val="20"/>
                <w:u w:val="single"/>
              </w:rPr>
              <w:t>Term Loan Availability Amount</w:t>
            </w:r>
            <w:r>
              <w:rPr>
                <w:color w:val="0000FF"/>
                <w:u w:val="single"/>
              </w:rPr>
              <w:t xml:space="preserve">” </w:t>
            </w:r>
            <w:r>
              <w:rPr>
                <w:rFonts w:ascii="Times New Roman;sans-serif" w:hAnsi="Times New Roman;sans-serif"/>
                <w:b w:val="false"/>
                <w:color w:val="0000FF"/>
                <w:sz w:val="20"/>
                <w:u w:val="single"/>
              </w:rPr>
              <w:t>shall mean an aggregate principal</w:t>
            </w:r>
            <w:r>
              <w:rPr>
                <w:color w:val="0000FF"/>
              </w:rPr>
              <w:t xml:space="preserve"> </w:t>
            </w:r>
            <w:r>
              <w:rPr>
                <w:rFonts w:ascii="Times New Roman;sans-serif" w:hAnsi="Times New Roman;sans-serif"/>
                <w:b w:val="false"/>
                <w:color w:val="0000FF"/>
                <w:sz w:val="20"/>
                <w:u w:val="single"/>
              </w:rPr>
              <w:t>amount equal to Fifty-One Million Dollars ($51,000,000)</w:t>
            </w:r>
            <w:r>
              <w:rPr>
                <w:rFonts w:ascii="Times New Roman;sans-serif" w:hAnsi="Times New Roman;sans-serif"/>
                <w:b w:val="false"/>
                <w:color w:val="000000"/>
                <w:sz w:val="20"/>
              </w:rPr>
              <w:t>.</w:t>
            </w:r>
          </w:p>
        </w:tc>
      </w:tr>
      <w:tr>
        <w:trPr/>
        <w:tc>
          <w:tcPr>
            <w:tcW w:w="1457" w:type="dxa"/>
            <w:gridSpan w:val="3"/>
            <w:tcBorders>
              <w:top w:val="single" w:sz="4" w:space="0" w:color="010101"/>
              <w:left w:val="single" w:sz="4" w:space="0" w:color="010101"/>
              <w:bottom w:val="single" w:sz="4" w:space="0" w:color="010101"/>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12.2 – “Term Loan Maturity Date”</w:t>
            </w:r>
          </w:p>
        </w:tc>
        <w:tc>
          <w:tcPr>
            <w:tcW w:w="8748" w:type="dxa"/>
            <w:gridSpan w:val="3"/>
            <w:tcBorders>
              <w:top w:val="single" w:sz="4" w:space="0" w:color="010101"/>
              <w:left w:val="single" w:sz="4" w:space="0" w:color="010101"/>
              <w:bottom w:val="single" w:sz="4" w:space="0" w:color="010101"/>
              <w:right w:val="single" w:sz="6" w:space="0" w:color="010101"/>
            </w:tcBorders>
            <w:shd w:fill="auto" w:val="clear"/>
            <w:tcMar>
              <w:top w:w="30" w:type="dxa"/>
              <w:bottom w:w="30" w:type="dxa"/>
            </w:tcMar>
            <w:vAlign w:val="center"/>
          </w:tcPr>
          <w:p>
            <w:pPr>
              <w:pStyle w:val="TableContents"/>
              <w:spacing w:lineRule="auto" w:line="319" w:before="0" w:after="0"/>
              <w:jc w:val="left"/>
              <w:rPr/>
            </w:pPr>
            <w:r>
              <w:rPr>
                <w:color w:val="000000"/>
              </w:rPr>
              <w:t>“</w:t>
            </w:r>
            <w:r>
              <w:rPr>
                <w:rFonts w:ascii="Times New Roman;sans-serif" w:hAnsi="Times New Roman;sans-serif"/>
                <w:b/>
                <w:color w:val="000000"/>
                <w:sz w:val="20"/>
              </w:rPr>
              <w:t>Term Loan Maturity Date</w:t>
            </w:r>
            <w:r>
              <w:rPr>
                <w:color w:val="000000"/>
              </w:rPr>
              <w:t xml:space="preserve">” </w:t>
            </w:r>
            <w:r>
              <w:rPr>
                <w:rFonts w:ascii="Times New Roman;sans-serif" w:hAnsi="Times New Roman;sans-serif"/>
                <w:b w:val="false"/>
                <w:color w:val="000000"/>
                <w:sz w:val="20"/>
              </w:rPr>
              <w:t xml:space="preserve">is </w:t>
            </w:r>
            <w:r>
              <w:rPr>
                <w:rFonts w:ascii="Times New Roman;sans-serif" w:hAnsi="Times New Roman;sans-serif"/>
                <w:b w:val="false"/>
                <w:strike/>
                <w:color w:val="FF0000"/>
                <w:sz w:val="20"/>
              </w:rPr>
              <w:t>August</w:t>
            </w:r>
            <w:r>
              <w:rPr>
                <w:rFonts w:ascii="Times New Roman;sans-serif" w:hAnsi="Times New Roman;sans-serif"/>
                <w:b w:val="false"/>
                <w:color w:val="0000FF"/>
                <w:sz w:val="20"/>
                <w:u w:val="single"/>
              </w:rPr>
              <w:t>December</w:t>
            </w:r>
            <w:r>
              <w:rPr>
                <w:color w:val="0000FF"/>
              </w:rPr>
              <w:t xml:space="preserve"> </w:t>
            </w:r>
            <w:r>
              <w:rPr>
                <w:rFonts w:ascii="Times New Roman;sans-serif" w:hAnsi="Times New Roman;sans-serif"/>
                <w:b w:val="false"/>
                <w:color w:val="000000"/>
                <w:sz w:val="20"/>
              </w:rPr>
              <w:t xml:space="preserve">1, </w:t>
            </w:r>
            <w:r>
              <w:rPr>
                <w:rFonts w:ascii="Times New Roman;sans-serif" w:hAnsi="Times New Roman;sans-serif"/>
                <w:b w:val="false"/>
                <w:strike/>
                <w:color w:val="FF0000"/>
                <w:sz w:val="20"/>
              </w:rPr>
              <w:t>2025; provided,</w:t>
            </w:r>
            <w:r>
              <w:rPr>
                <w:color w:val="FF0000"/>
              </w:rPr>
              <w:t xml:space="preserve"> </w:t>
            </w:r>
            <w:r>
              <w:rPr>
                <w:rFonts w:ascii="Times New Roman;sans-serif" w:hAnsi="Times New Roman;sans-serif"/>
                <w:b w:val="false"/>
                <w:strike/>
                <w:color w:val="FF0000"/>
                <w:sz w:val="20"/>
              </w:rPr>
              <w:t>however, if Borrower achieves the Performance Milestone, then the Term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271395"/>
                <wp:effectExtent l="0" t="0" r="0" b="0"/>
                <wp:wrapNone/>
                <wp:docPr id="522" name="Frame188"/>
                <a:graphic xmlns:a="http://schemas.openxmlformats.org/drawingml/2006/main">
                  <a:graphicData uri="http://schemas.microsoft.com/office/word/2010/wordprocessingShape">
                    <wps:wsp>
                      <wps:cNvSpPr txBox="1"/>
                      <wps:spPr>
                        <a:xfrm>
                          <a:off x="0" y="0"/>
                          <a:ext cx="6480175" cy="2271395"/>
                        </a:xfrm>
                        <a:prstGeom prst="rect"/>
                      </wps:spPr>
                      <wps:txbx>
                        <w:txbxContent>
                          <w:p>
                            <w:pPr>
                              <w:pStyle w:val="TextBody"/>
                              <w:spacing w:before="0" w:after="0"/>
                              <w:rPr/>
                            </w:pPr>
                            <w:r>
                              <w:rPr/>
                              <w:drawing>
                                <wp:inline distT="0" distB="63500" distL="0" distR="0">
                                  <wp:extent cx="14605" cy="390525"/>
                                  <wp:effectExtent l="0" t="0" r="0" b="0"/>
                                  <wp:docPr id="52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283" descr=""/>
                                          <pic:cNvPicPr>
                                            <a:picLocks noChangeAspect="1" noChangeArrowheads="1"/>
                                          </pic:cNvPicPr>
                                        </pic:nvPicPr>
                                        <pic:blipFill>
                                          <a:blip r:embed="rId289"/>
                                          <a:stretch>
                                            <a:fillRect/>
                                          </a:stretch>
                                        </pic:blipFill>
                                        <pic:spPr bwMode="auto">
                                          <a:xfrm>
                                            <a:off x="0" y="0"/>
                                            <a:ext cx="14605" cy="390525"/>
                                          </a:xfrm>
                                          <a:prstGeom prst="rect">
                                            <a:avLst/>
                                          </a:prstGeom>
                                        </pic:spPr>
                                      </pic:pic>
                                    </a:graphicData>
                                  </a:graphic>
                                </wp:inline>
                              </w:drawing>
                            </w:r>
                          </w:p>
                          <w:tbl>
                            <w:tblPr>
                              <w:tblW w:w="390" w:type="dxa"/>
                              <w:jc w:val="left"/>
                              <w:tblInd w:w="0" w:type="dxa"/>
                              <w:tblCellMar>
                                <w:top w:w="28" w:type="dxa"/>
                                <w:left w:w="28" w:type="dxa"/>
                                <w:bottom w:w="28" w:type="dxa"/>
                                <w:right w:w="28" w:type="dxa"/>
                              </w:tblCellMar>
                            </w:tblPr>
                            <w:tblGrid>
                              <w:gridCol w:w="125"/>
                              <w:gridCol w:w="110"/>
                              <w:gridCol w:w="155"/>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0"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I-2</w:t>
                                  </w:r>
                                </w:p>
                              </w:tc>
                            </w:tr>
                          </w:tbl>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5" w:before="2" w:after="283"/>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40"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8.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390525"/>
                            <wp:effectExtent l="0" t="0" r="0" b="0"/>
                            <wp:docPr id="524"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283" descr=""/>
                                    <pic:cNvPicPr>
                                      <a:picLocks noChangeAspect="1" noChangeArrowheads="1"/>
                                    </pic:cNvPicPr>
                                  </pic:nvPicPr>
                                  <pic:blipFill>
                                    <a:blip r:embed="rId289"/>
                                    <a:stretch>
                                      <a:fillRect/>
                                    </a:stretch>
                                  </pic:blipFill>
                                  <pic:spPr bwMode="auto">
                                    <a:xfrm>
                                      <a:off x="0" y="0"/>
                                      <a:ext cx="14605" cy="390525"/>
                                    </a:xfrm>
                                    <a:prstGeom prst="rect">
                                      <a:avLst/>
                                    </a:prstGeom>
                                  </pic:spPr>
                                </pic:pic>
                              </a:graphicData>
                            </a:graphic>
                          </wp:inline>
                        </w:drawing>
                      </w:r>
                    </w:p>
                    <w:tbl>
                      <w:tblPr>
                        <w:tblW w:w="390" w:type="dxa"/>
                        <w:jc w:val="left"/>
                        <w:tblInd w:w="0" w:type="dxa"/>
                        <w:tblCellMar>
                          <w:top w:w="28" w:type="dxa"/>
                          <w:left w:w="28" w:type="dxa"/>
                          <w:bottom w:w="28" w:type="dxa"/>
                          <w:right w:w="28" w:type="dxa"/>
                        </w:tblCellMar>
                      </w:tblPr>
                      <w:tblGrid>
                        <w:gridCol w:w="125"/>
                        <w:gridCol w:w="110"/>
                        <w:gridCol w:w="155"/>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0" w:type="dxa"/>
                            <w:gridSpan w:val="3"/>
                            <w:tcBorders/>
                            <w:shd w:fill="FFFFFF"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I-2</w:t>
                            </w:r>
                          </w:p>
                        </w:tc>
                      </w:tr>
                    </w:tbl>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5" w:before="2" w:after="283"/>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40"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86"/>
        <w:gridCol w:w="339"/>
        <w:gridCol w:w="342"/>
        <w:gridCol w:w="2671"/>
        <w:gridCol w:w="2671"/>
        <w:gridCol w:w="3796"/>
      </w:tblGrid>
      <w:tr>
        <w:trPr/>
        <w:tc>
          <w:tcPr>
            <w:tcW w:w="38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2671" w:type="dxa"/>
            <w:tcBorders/>
            <w:shd w:fill="auto" w:val="clear"/>
            <w:vAlign w:val="center"/>
          </w:tcPr>
          <w:p>
            <w:pPr>
              <w:pStyle w:val="TableContents"/>
              <w:spacing w:before="0" w:after="283"/>
              <w:rPr>
                <w:sz w:val="4"/>
                <w:szCs w:val="4"/>
              </w:rPr>
            </w:pPr>
            <w:r>
              <w:rPr>
                <w:sz w:val="4"/>
                <w:szCs w:val="4"/>
              </w:rPr>
            </w:r>
          </w:p>
        </w:tc>
        <w:tc>
          <w:tcPr>
            <w:tcW w:w="3796" w:type="dxa"/>
            <w:tcBorders/>
            <w:shd w:fill="auto" w:val="clear"/>
            <w:vAlign w:val="center"/>
          </w:tcPr>
          <w:p>
            <w:pPr>
              <w:pStyle w:val="TableContents"/>
              <w:spacing w:before="0" w:after="283"/>
              <w:rPr>
                <w:sz w:val="4"/>
                <w:szCs w:val="4"/>
              </w:rPr>
            </w:pPr>
            <w:r>
              <w:rPr>
                <w:sz w:val="4"/>
                <w:szCs w:val="4"/>
              </w:rPr>
            </w:r>
          </w:p>
        </w:tc>
      </w:tr>
      <w:tr>
        <w:trPr/>
        <w:tc>
          <w:tcPr>
            <w:tcW w:w="1067"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Section</w:t>
            </w:r>
          </w:p>
        </w:tc>
        <w:tc>
          <w:tcPr>
            <w:tcW w:w="9138"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LSA Provision</w:t>
            </w:r>
          </w:p>
        </w:tc>
      </w:tr>
      <w:tr>
        <w:trPr/>
        <w:tc>
          <w:tcPr>
            <w:tcW w:w="1067" w:type="dxa"/>
            <w:gridSpan w:val="3"/>
            <w:tcBorders>
              <w:top w:val="single" w:sz="8" w:space="0" w:color="010101"/>
              <w:left w:val="single" w:sz="4" w:space="0" w:color="010101"/>
              <w:bottom w:val="single" w:sz="4" w:space="0" w:color="010101"/>
            </w:tcBorders>
            <w:shd w:fill="auto" w:val="clear"/>
            <w:tcMar>
              <w:right w:w="0" w:type="dxa"/>
            </w:tcMar>
            <w:vAlign w:val="center"/>
          </w:tcPr>
          <w:p>
            <w:pPr>
              <w:pStyle w:val="TableContents"/>
              <w:spacing w:before="0" w:after="283"/>
              <w:rPr>
                <w:sz w:val="4"/>
                <w:szCs w:val="4"/>
              </w:rPr>
            </w:pPr>
            <w:r>
              <w:rPr>
                <w:sz w:val="4"/>
                <w:szCs w:val="4"/>
              </w:rPr>
            </w:r>
          </w:p>
        </w:tc>
        <w:tc>
          <w:tcPr>
            <w:tcW w:w="9138" w:type="dxa"/>
            <w:gridSpan w:val="3"/>
            <w:tcBorders>
              <w:top w:val="single" w:sz="8" w:space="0" w:color="010101"/>
              <w:left w:val="single" w:sz="4" w:space="0" w:color="010101"/>
              <w:bottom w:val="single" w:sz="4" w:space="0" w:color="010101"/>
              <w:right w:val="single" w:sz="6" w:space="0" w:color="010101"/>
            </w:tcBorders>
            <w:shd w:fill="auto" w:val="clear"/>
            <w:tcMar>
              <w:top w:w="30" w:type="dxa"/>
              <w:bottom w:w="30" w:type="dxa"/>
            </w:tcMar>
            <w:vAlign w:val="center"/>
          </w:tcPr>
          <w:p>
            <w:pPr>
              <w:pStyle w:val="TableContents"/>
              <w:spacing w:lineRule="auto" w:line="240" w:before="0" w:after="0"/>
              <w:jc w:val="left"/>
              <w:rPr/>
            </w:pPr>
            <w:r>
              <w:rPr>
                <w:rFonts w:ascii="Times New Roman;sans-serif" w:hAnsi="Times New Roman;sans-serif"/>
                <w:b w:val="false"/>
                <w:strike/>
                <w:color w:val="FF0000"/>
                <w:sz w:val="20"/>
              </w:rPr>
              <w:t>Loan Maturity Date shall automatically, with no further action required by the parties hereto, be extended through August 1, 2026</w:t>
            </w:r>
            <w:r>
              <w:rPr>
                <w:rFonts w:ascii="Times New Roman;sans-serif" w:hAnsi="Times New Roman;sans-serif"/>
                <w:b w:val="false"/>
                <w:strike/>
                <w:color w:val="0000FF"/>
                <w:sz w:val="20"/>
                <w:u w:val="single"/>
              </w:rPr>
              <w:t>2027</w:t>
            </w:r>
            <w:r>
              <w:rPr>
                <w:rFonts w:ascii="Times New Roman;sans-serif" w:hAnsi="Times New Roman;sans-serif"/>
                <w:b w:val="false"/>
                <w:strike/>
                <w:color w:val="000000"/>
                <w:sz w:val="20"/>
              </w:rPr>
              <w:t>.</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8" w:after="283"/>
        <w:rPr/>
      </w:pPr>
      <w:r>
        <w:rPr/>
      </w:r>
    </w:p>
    <w:p>
      <w:pPr>
        <w:pStyle w:val="TextBody"/>
        <w:spacing w:lineRule="auto" w:line="240" w:before="9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I-3</w:t>
      </w:r>
    </w:p>
    <w:p>
      <w:pPr>
        <w:pStyle w:val="TextBody"/>
        <w:spacing w:before="0" w:after="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527810"/>
                <wp:effectExtent l="0" t="0" r="0" b="0"/>
                <wp:wrapNone/>
                <wp:docPr id="525" name="Frame189"/>
                <a:graphic xmlns:a="http://schemas.openxmlformats.org/drawingml/2006/main">
                  <a:graphicData uri="http://schemas.microsoft.com/office/word/2010/wordprocessingShape">
                    <wps:wsp>
                      <wps:cNvSpPr txBox="1"/>
                      <wps:spPr>
                        <a:xfrm>
                          <a:off x="0" y="0"/>
                          <a:ext cx="6480175" cy="1527810"/>
                        </a:xfrm>
                        <a:prstGeom prst="rect"/>
                      </wps:spPr>
                      <wps:txbx>
                        <w:txbxContent>
                          <w:p>
                            <w:pPr>
                              <w:pStyle w:val="TextBody"/>
                              <w:spacing w:before="0" w:after="0"/>
                              <w:rPr/>
                            </w:pPr>
                            <w:r>
                              <w:rPr/>
                              <w:drawing>
                                <wp:inline distT="0" distB="63500" distL="0" distR="0">
                                  <wp:extent cx="14605" cy="390525"/>
                                  <wp:effectExtent l="0" t="0" r="0" b="0"/>
                                  <wp:docPr id="526"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284" descr=""/>
                                          <pic:cNvPicPr>
                                            <a:picLocks noChangeAspect="1" noChangeArrowheads="1"/>
                                          </pic:cNvPicPr>
                                        </pic:nvPicPr>
                                        <pic:blipFill>
                                          <a:blip r:embed="rId290"/>
                                          <a:stretch>
                                            <a:fillRect/>
                                          </a:stretch>
                                        </pic:blipFill>
                                        <pic:spPr bwMode="auto">
                                          <a:xfrm>
                                            <a:off x="0" y="0"/>
                                            <a:ext cx="14605" cy="390525"/>
                                          </a:xfrm>
                                          <a:prstGeom prst="rect">
                                            <a:avLst/>
                                          </a:prstGeom>
                                        </pic:spPr>
                                      </pic:pic>
                                    </a:graphicData>
                                  </a:graphic>
                                </wp:inline>
                              </w:drawing>
                            </w:r>
                          </w:p>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73"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3" w:before="0" w:after="0"/>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37"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390525"/>
                            <wp:effectExtent l="0" t="0" r="0" b="0"/>
                            <wp:docPr id="52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284" descr=""/>
                                    <pic:cNvPicPr>
                                      <a:picLocks noChangeAspect="1" noChangeArrowheads="1"/>
                                    </pic:cNvPicPr>
                                  </pic:nvPicPr>
                                  <pic:blipFill>
                                    <a:blip r:embed="rId290"/>
                                    <a:stretch>
                                      <a:fillRect/>
                                    </a:stretch>
                                  </pic:blipFill>
                                  <pic:spPr bwMode="auto">
                                    <a:xfrm>
                                      <a:off x="0" y="0"/>
                                      <a:ext cx="14605" cy="390525"/>
                                    </a:xfrm>
                                    <a:prstGeom prst="rect">
                                      <a:avLst/>
                                    </a:prstGeom>
                                  </pic:spPr>
                                </pic:pic>
                              </a:graphicData>
                            </a:graphic>
                          </wp:inline>
                        </w:drawing>
                      </w:r>
                    </w:p>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73"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3" w:before="0" w:after="0"/>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37"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v:textbox>
              </v:rect>
            </w:pict>
          </mc:Fallback>
        </mc:AlternateContent>
      </w:r>
    </w:p>
    <w:p>
      <w:pPr>
        <w:pStyle w:val="TextBody"/>
        <w:spacing w:before="0" w:after="0"/>
        <w:jc w:val="center"/>
        <w:rPr/>
      </w:pPr>
      <w:r>
        <w:rPr/>
      </w:r>
    </w:p>
    <w:p>
      <w:pPr>
        <w:pStyle w:val="TextBody"/>
        <w:spacing w:before="3" w:after="283"/>
        <w:rPr/>
      </w:pPr>
      <w:r>
        <w:rPr/>
      </w:r>
    </w:p>
    <w:p>
      <w:pPr>
        <w:pStyle w:val="TextBody"/>
        <w:spacing w:lineRule="auto" w:line="240" w:before="9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spacing w:before="0" w:after="0"/>
        <w:rPr/>
      </w:pPr>
      <w:r>
        <w:rPr/>
      </w:r>
    </w:p>
    <w:p>
      <w:pPr>
        <w:pStyle w:val="TextBody"/>
        <w:spacing w:lineRule="auto" w:line="240" w:before="91"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COMPLIANCE STATEMENT</w:t>
      </w:r>
    </w:p>
    <w:p>
      <w:pPr>
        <w:pStyle w:val="TextBody"/>
        <w:spacing w:before="0" w:after="0"/>
        <w:rPr/>
      </w:pPr>
      <w:r>
        <w:rPr/>
      </w:r>
    </w:p>
    <w:p>
      <w:pPr>
        <w:pStyle w:val="TextBody"/>
        <w:spacing w:lineRule="auto" w:line="240" w:before="91" w:after="283"/>
        <w:rPr/>
      </w:pPr>
      <w:r>
        <w:rPr>
          <w:rFonts w:ascii="Times New Roman;sans-serif" w:hAnsi="Times New Roman;sans-serif"/>
          <w:b w:val="false"/>
          <w:color w:val="000000"/>
          <w:sz w:val="20"/>
        </w:rPr>
        <w:t xml:space="preserve">TO:    SILICON VALLEY BANK    Date: </w:t>
      </w:r>
      <w:r>
        <w:rPr>
          <w:color w:val="000000"/>
          <w:u w:val="single"/>
        </w:rPr>
        <w:t>    </w:t>
      </w:r>
    </w:p>
    <w:p>
      <w:pPr>
        <w:pStyle w:val="TextBody"/>
        <w:spacing w:lineRule="auto" w:line="240" w:before="1" w:after="283"/>
        <w:rPr>
          <w:rFonts w:ascii="Times New Roman;sans-serif" w:hAnsi="Times New Roman;sans-serif"/>
          <w:b w:val="false"/>
          <w:color w:val="000000"/>
          <w:sz w:val="20"/>
        </w:rPr>
      </w:pPr>
      <w:r>
        <w:rPr>
          <w:rFonts w:ascii="Times New Roman;sans-serif" w:hAnsi="Times New Roman;sans-serif"/>
          <w:b w:val="false"/>
          <w:color w:val="000000"/>
          <w:sz w:val="20"/>
        </w:rPr>
        <w:t>FROM:    SI-BONE, INC.</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Under the terms and conditions of the Loan and Security Agreement between Borrower and Bank (as amended, modified, supplemented and/or restated from time to time,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Borrower is in complete compliance for the period ending </w:t>
      </w:r>
      <w:r>
        <w:rPr>
          <w:color w:val="000000"/>
          <w:u w:val="single"/>
        </w:rPr>
        <w:t>    </w:t>
      </w:r>
      <w:r>
        <w:rPr>
          <w:rFonts w:ascii="Times New Roman;sans-serif" w:hAnsi="Times New Roman;sans-serif"/>
          <w:b w:val="false"/>
          <w:color w:val="000000"/>
          <w:sz w:val="20"/>
        </w:rPr>
        <w:t>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(and except for with respect to unaudited financial statements for the absence of footnotes and subject to year-end audit adjustments). Capitalized terms used but not otherwise defined herein shall have the meanings given them in the Agreement.</w:t>
      </w:r>
    </w:p>
    <w:p>
      <w:pPr>
        <w:pStyle w:val="TextBody"/>
        <w:spacing w:before="3" w:after="283"/>
        <w:rPr/>
      </w:pPr>
      <w:r>
        <w:rPr/>
      </w:r>
    </w:p>
    <w:p>
      <w:pPr>
        <w:pStyle w:val="TextBody"/>
        <w:spacing w:lineRule="auto" w:line="240" w:before="91" w:after="283"/>
        <w:rPr/>
      </w:pPr>
      <w:r>
        <w:rPr/>
        <w:drawing>
          <wp:inline distT="0" distB="63500" distL="0" distR="0">
            <wp:extent cx="14605" cy="2152650"/>
            <wp:effectExtent l="0" t="0" r="0" b="0"/>
            <wp:docPr id="52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285" descr=""/>
                    <pic:cNvPicPr>
                      <a:picLocks noChangeAspect="1" noChangeArrowheads="1"/>
                    </pic:cNvPicPr>
                  </pic:nvPicPr>
                  <pic:blipFill>
                    <a:blip r:embed="rId291"/>
                    <a:stretch>
                      <a:fillRect/>
                    </a:stretch>
                  </pic:blipFill>
                  <pic:spPr bwMode="auto">
                    <a:xfrm>
                      <a:off x="0" y="0"/>
                      <a:ext cx="14605" cy="2152650"/>
                    </a:xfrm>
                    <a:prstGeom prst="rect">
                      <a:avLst/>
                    </a:prstGeom>
                  </pic:spPr>
                </pic:pic>
              </a:graphicData>
            </a:graphic>
          </wp:inline>
        </w:drawing>
      </w:r>
      <w:r>
        <w:rPr>
          <w:rFonts w:ascii="Times New Roman;sans-serif" w:hAnsi="Times New Roman;sans-serif"/>
          <w:b/>
          <w:color w:val="000000"/>
          <w:sz w:val="20"/>
        </w:rPr>
        <w:t>Please indicate compliance status by circling Yes/No under “Complies” column.</w:t>
      </w:r>
    </w:p>
    <w:p>
      <w:pPr>
        <w:pStyle w:val="TextBody"/>
        <w:spacing w:before="2" w:after="1"/>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527810"/>
                <wp:effectExtent l="0" t="0" r="0" b="0"/>
                <wp:wrapNone/>
                <wp:docPr id="529" name="Frame190"/>
                <a:graphic xmlns:a="http://schemas.openxmlformats.org/drawingml/2006/main">
                  <a:graphicData uri="http://schemas.microsoft.com/office/word/2010/wordprocessingShape">
                    <wps:wsp>
                      <wps:cNvSpPr txBox="1"/>
                      <wps:spPr>
                        <a:xfrm>
                          <a:off x="0" y="0"/>
                          <a:ext cx="6480175" cy="1527810"/>
                        </a:xfrm>
                        <a:prstGeom prst="rect"/>
                      </wps:spPr>
                      <wps:txbx>
                        <w:txbxContent>
                          <w:p>
                            <w:pPr>
                              <w:pStyle w:val="TextBody"/>
                              <w:spacing w:before="0" w:after="0"/>
                              <w:rPr/>
                            </w:pPr>
                            <w:r>
                              <w:rPr/>
                              <w:drawing>
                                <wp:inline distT="0" distB="63500" distL="0" distR="0">
                                  <wp:extent cx="14605" cy="390525"/>
                                  <wp:effectExtent l="0" t="0" r="0" b="0"/>
                                  <wp:docPr id="53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286" descr=""/>
                                          <pic:cNvPicPr>
                                            <a:picLocks noChangeAspect="1" noChangeArrowheads="1"/>
                                          </pic:cNvPicPr>
                                        </pic:nvPicPr>
                                        <pic:blipFill>
                                          <a:blip r:embed="rId292"/>
                                          <a:stretch>
                                            <a:fillRect/>
                                          </a:stretch>
                                        </pic:blipFill>
                                        <pic:spPr bwMode="auto">
                                          <a:xfrm>
                                            <a:off x="0" y="0"/>
                                            <a:ext cx="14605" cy="390525"/>
                                          </a:xfrm>
                                          <a:prstGeom prst="rect">
                                            <a:avLst/>
                                          </a:prstGeom>
                                        </pic:spPr>
                                      </pic:pic>
                                    </a:graphicData>
                                  </a:graphic>
                                </wp:inline>
                              </w:drawing>
                            </w:r>
                          </w:p>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73"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3" w:before="0" w:after="0"/>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37"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390525"/>
                            <wp:effectExtent l="0" t="0" r="0" b="0"/>
                            <wp:docPr id="531"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286" descr=""/>
                                    <pic:cNvPicPr>
                                      <a:picLocks noChangeAspect="1" noChangeArrowheads="1"/>
                                    </pic:cNvPicPr>
                                  </pic:nvPicPr>
                                  <pic:blipFill>
                                    <a:blip r:embed="rId292"/>
                                    <a:stretch>
                                      <a:fillRect/>
                                    </a:stretch>
                                  </pic:blipFill>
                                  <pic:spPr bwMode="auto">
                                    <a:xfrm>
                                      <a:off x="0" y="0"/>
                                      <a:ext cx="14605" cy="390525"/>
                                    </a:xfrm>
                                    <a:prstGeom prst="rect">
                                      <a:avLst/>
                                    </a:prstGeom>
                                  </pic:spPr>
                                </pic:pic>
                              </a:graphicData>
                            </a:graphic>
                          </wp:inline>
                        </w:drawing>
                      </w:r>
                    </w:p>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73"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3" w:before="0" w:after="0"/>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37"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539"/>
        <w:gridCol w:w="1267"/>
        <w:gridCol w:w="1275"/>
        <w:gridCol w:w="327"/>
        <w:gridCol w:w="327"/>
        <w:gridCol w:w="327"/>
        <w:gridCol w:w="1299"/>
        <w:gridCol w:w="750"/>
        <w:gridCol w:w="750"/>
        <w:gridCol w:w="691"/>
        <w:gridCol w:w="327"/>
        <w:gridCol w:w="327"/>
        <w:gridCol w:w="290"/>
        <w:gridCol w:w="290"/>
        <w:gridCol w:w="419"/>
      </w:tblGrid>
      <w:tr>
        <w:trPr/>
        <w:tc>
          <w:tcPr>
            <w:tcW w:w="1539" w:type="dxa"/>
            <w:tcBorders/>
            <w:shd w:fill="auto" w:val="clear"/>
            <w:vAlign w:val="center"/>
          </w:tcPr>
          <w:p>
            <w:pPr>
              <w:pStyle w:val="TableContents"/>
              <w:spacing w:before="0" w:after="283"/>
              <w:rPr>
                <w:sz w:val="4"/>
                <w:szCs w:val="4"/>
              </w:rPr>
            </w:pPr>
            <w:r>
              <w:rPr>
                <w:sz w:val="4"/>
                <w:szCs w:val="4"/>
              </w:rPr>
            </w:r>
          </w:p>
        </w:tc>
        <w:tc>
          <w:tcPr>
            <w:tcW w:w="1267"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r>
      <w:tr>
        <w:trPr/>
        <w:tc>
          <w:tcPr>
            <w:tcW w:w="4081"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66" w:before="2"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Reporting Covenants</w:t>
            </w:r>
          </w:p>
        </w:tc>
        <w:tc>
          <w:tcPr>
            <w:tcW w:w="5125" w:type="dxa"/>
            <w:gridSpan w:val="9"/>
            <w:tcBorders>
              <w:top w:val="single" w:sz="4" w:space="0" w:color="010101"/>
              <w:left w:val="single" w:sz="4" w:space="0" w:color="010101"/>
              <w:bottom w:val="single" w:sz="4" w:space="0" w:color="010101"/>
            </w:tcBorders>
            <w:shd w:fill="auto" w:val="clear"/>
            <w:tcMar>
              <w:top w:w="30" w:type="dxa"/>
              <w:bottom w:w="30" w:type="dxa"/>
              <w:right w:w="0" w:type="dxa"/>
            </w:tcMar>
            <w:vAlign w:val="center"/>
          </w:tcPr>
          <w:p>
            <w:pPr>
              <w:pStyle w:val="TableContents"/>
              <w:spacing w:lineRule="auto" w:line="266" w:before="2"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Required</w:t>
            </w:r>
          </w:p>
        </w:tc>
        <w:tc>
          <w:tcPr>
            <w:tcW w:w="99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66" w:before="2"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Complies</w:t>
            </w:r>
          </w:p>
        </w:tc>
      </w:tr>
      <w:tr>
        <w:trPr/>
        <w:tc>
          <w:tcPr>
            <w:tcW w:w="4081"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Quarterly Financial Statements with Compliance Statement</w:t>
            </w:r>
          </w:p>
        </w:tc>
        <w:tc>
          <w:tcPr>
            <w:tcW w:w="5125" w:type="dxa"/>
            <w:gridSpan w:val="9"/>
            <w:tcBorders>
              <w:top w:val="single" w:sz="4" w:space="0" w:color="010101"/>
              <w:left w:val="single" w:sz="4" w:space="0" w:color="010101"/>
              <w:bottom w:val="single" w:sz="4" w:space="0" w:color="010101"/>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Quarterly within 45 days and FYE within 90 days</w:t>
            </w:r>
          </w:p>
        </w:tc>
        <w:tc>
          <w:tcPr>
            <w:tcW w:w="99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4081"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 financial statements (CPA Audited)</w:t>
            </w:r>
          </w:p>
        </w:tc>
        <w:tc>
          <w:tcPr>
            <w:tcW w:w="5125" w:type="dxa"/>
            <w:gridSpan w:val="9"/>
            <w:tcBorders>
              <w:top w:val="single" w:sz="4" w:space="0" w:color="010101"/>
              <w:left w:val="single" w:sz="4" w:space="0" w:color="010101"/>
              <w:bottom w:val="single" w:sz="4" w:space="0" w:color="010101"/>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FYE within 180 days</w:t>
            </w:r>
          </w:p>
        </w:tc>
        <w:tc>
          <w:tcPr>
            <w:tcW w:w="99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4081"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10-Q, 10-K and 8-K</w:t>
            </w:r>
          </w:p>
        </w:tc>
        <w:tc>
          <w:tcPr>
            <w:tcW w:w="5125" w:type="dxa"/>
            <w:gridSpan w:val="9"/>
            <w:tcBorders>
              <w:top w:val="single" w:sz="4" w:space="0" w:color="010101"/>
              <w:left w:val="single" w:sz="4" w:space="0" w:color="010101"/>
              <w:bottom w:val="single" w:sz="4" w:space="0" w:color="010101"/>
            </w:tcBorders>
            <w:shd w:fill="auto" w:val="clear"/>
            <w:tcMar>
              <w:top w:w="30" w:type="dxa"/>
              <w:bottom w:w="3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5 Business Days after filing with SEC</w:t>
            </w:r>
          </w:p>
        </w:tc>
        <w:tc>
          <w:tcPr>
            <w:tcW w:w="99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 N/A</w:t>
            </w:r>
          </w:p>
        </w:tc>
      </w:tr>
      <w:tr>
        <w:trPr/>
        <w:tc>
          <w:tcPr>
            <w:tcW w:w="4081" w:type="dxa"/>
            <w:gridSpan w:val="3"/>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Board approved projections</w:t>
            </w:r>
          </w:p>
        </w:tc>
        <w:tc>
          <w:tcPr>
            <w:tcW w:w="5125" w:type="dxa"/>
            <w:gridSpan w:val="9"/>
            <w:tcBorders>
              <w:top w:val="single" w:sz="4" w:space="0" w:color="010101"/>
              <w:left w:val="single" w:sz="4" w:space="0" w:color="010101"/>
            </w:tcBorders>
            <w:shd w:fill="auto" w:val="clear"/>
            <w:tcMar>
              <w:top w:w="30" w:type="dxa"/>
              <w:bottom w:w="0" w:type="dxa"/>
              <w:right w:w="0" w:type="dxa"/>
            </w:tcMar>
            <w:vAlign w:val="center"/>
          </w:tcPr>
          <w:p>
            <w:pPr>
              <w:pStyle w:val="TableContents"/>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FYE within 30 days and within 30 days, as amended/updated, in each case as approved by the Board</w:t>
            </w:r>
          </w:p>
        </w:tc>
        <w:tc>
          <w:tcPr>
            <w:tcW w:w="999" w:type="dxa"/>
            <w:gridSpan w:val="3"/>
            <w:tcBorders>
              <w:top w:val="single" w:sz="4" w:space="0" w:color="010101"/>
              <w:left w:val="single" w:sz="4" w:space="0" w:color="010101"/>
              <w:right w:val="single" w:sz="6" w:space="0" w:color="010101"/>
            </w:tcBorders>
            <w:shd w:fill="auto" w:val="clear"/>
            <w:tcMar>
              <w:top w:w="30" w:type="dxa"/>
              <w:bottom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 No</w:t>
            </w:r>
          </w:p>
        </w:tc>
      </w:tr>
      <w:tr>
        <w:trPr/>
        <w:tc>
          <w:tcPr>
            <w:tcW w:w="4081" w:type="dxa"/>
            <w:gridSpan w:val="3"/>
            <w:vMerge w:val="restart"/>
            <w:tcBorders>
              <w:top w:val="single" w:sz="4" w:space="0" w:color="010101"/>
              <w:left w:val="single" w:sz="4" w:space="0" w:color="010101"/>
              <w:right w:val="single" w:sz="4" w:space="0" w:color="010101"/>
            </w:tcBorders>
            <w:shd w:fill="C0C0C0" w:val="clear"/>
            <w:tcMar>
              <w:top w:w="30" w:type="dxa"/>
              <w:bottom w:w="0" w:type="dxa"/>
            </w:tcMar>
            <w:vAlign w:val="center"/>
          </w:tcPr>
          <w:p>
            <w:pPr>
              <w:pStyle w:val="TableContents"/>
              <w:spacing w:before="7" w:after="283"/>
              <w:jc w:val="left"/>
              <w:rPr/>
            </w:pPr>
            <w:r>
              <w:rPr/>
            </w:r>
          </w:p>
          <w:p>
            <w:pPr>
              <w:pStyle w:val="TableContents"/>
              <w:spacing w:lineRule="auto" w:line="240" w:before="0" w:after="0"/>
              <w:jc w:val="left"/>
              <w:rPr>
                <w:rFonts w:ascii="Times New Roman;sans-serif" w:hAnsi="Times New Roman;sans-serif"/>
                <w:b/>
                <w:strike/>
                <w:color w:val="FF0000"/>
                <w:sz w:val="20"/>
                <w:u w:val="single"/>
              </w:rPr>
            </w:pPr>
            <w:r>
              <w:rPr>
                <w:rFonts w:ascii="Times New Roman;sans-serif" w:hAnsi="Times New Roman;sans-serif"/>
                <w:b/>
                <w:strike/>
                <w:color w:val="FF0000"/>
                <w:sz w:val="20"/>
                <w:u w:val="single"/>
              </w:rPr>
              <w:t>Other Matters</w:t>
            </w:r>
          </w:p>
          <w:p>
            <w:pPr>
              <w:pStyle w:val="TableContents"/>
              <w:spacing w:lineRule="auto" w:line="240" w:before="1"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Borrowing Base Reports</w:t>
            </w:r>
          </w:p>
        </w:tc>
        <w:tc>
          <w:tcPr>
            <w:tcW w:w="981" w:type="dxa"/>
            <w:gridSpan w:val="3"/>
            <w:vMerge w:val="restart"/>
            <w:tcBorders>
              <w:top w:val="single" w:sz="8" w:space="0" w:color="010101"/>
              <w:left w:val="single" w:sz="4" w:space="0" w:color="010101"/>
            </w:tcBorders>
            <w:shd w:fill="C0C0C0" w:val="clear"/>
            <w:tcMar>
              <w:bottom w:w="0" w:type="dxa"/>
              <w:right w:w="0" w:type="dxa"/>
            </w:tcMar>
            <w:vAlign w:val="center"/>
          </w:tcPr>
          <w:p>
            <w:pPr>
              <w:pStyle w:val="TableContents"/>
              <w:spacing w:before="0" w:after="283"/>
              <w:rPr>
                <w:sz w:val="4"/>
                <w:szCs w:val="4"/>
              </w:rPr>
            </w:pPr>
            <w:r>
              <w:rPr>
                <w:sz w:val="4"/>
                <w:szCs w:val="4"/>
              </w:rPr>
            </w:r>
          </w:p>
        </w:tc>
        <w:tc>
          <w:tcPr>
            <w:tcW w:w="2799" w:type="dxa"/>
            <w:gridSpan w:val="3"/>
            <w:tcBorders>
              <w:top w:val="single" w:sz="8" w:space="0" w:color="010101"/>
            </w:tcBorders>
            <w:shd w:fill="C0C0C0" w:val="clear"/>
            <w:tcMar>
              <w:top w:w="30" w:type="dxa"/>
              <w:left w:w="0" w:type="dxa"/>
              <w:bottom w:w="0" w:type="dxa"/>
              <w:right w:w="0" w:type="dxa"/>
            </w:tcMar>
            <w:vAlign w:val="center"/>
          </w:tcPr>
          <w:p>
            <w:pPr>
              <w:pStyle w:val="TableContents"/>
              <w:spacing w:lineRule="auto" w:line="333" w:before="0" w:after="0"/>
              <w:jc w:val="left"/>
              <w:rPr/>
            </w:pPr>
            <w:r>
              <w:rPr>
                <w:rFonts w:ascii="Times New Roman;sans-serif" w:hAnsi="Times New Roman;sans-serif"/>
                <w:b w:val="false"/>
                <w:color w:val="0000FF"/>
                <w:sz w:val="20"/>
                <w:u w:val="single"/>
              </w:rPr>
              <w:t>When Advances are</w:t>
            </w:r>
            <w:r>
              <w:rPr>
                <w:color w:val="0000FF"/>
              </w:rPr>
              <w:t xml:space="preserve"> </w:t>
            </w:r>
            <w:r>
              <w:rPr>
                <w:rFonts w:ascii="Times New Roman;sans-serif" w:hAnsi="Times New Roman;sans-serif"/>
                <w:b w:val="false"/>
                <w:color w:val="0000FF"/>
                <w:sz w:val="20"/>
              </w:rPr>
              <w:t>outstanding or are being</w:t>
            </w:r>
          </w:p>
        </w:tc>
        <w:tc>
          <w:tcPr>
            <w:tcW w:w="1345" w:type="dxa"/>
            <w:gridSpan w:val="3"/>
            <w:vMerge w:val="restart"/>
            <w:tcBorders>
              <w:top w:val="single" w:sz="4" w:space="0" w:color="010101"/>
              <w:left w:val="single" w:sz="4" w:space="0" w:color="010101"/>
              <w:bottom w:val="single" w:sz="8" w:space="0" w:color="010101"/>
              <w:right w:val="single" w:sz="4" w:space="0" w:color="010101"/>
            </w:tcBorders>
            <w:shd w:fill="FFDEAD" w:val="clear"/>
            <w:tcMar>
              <w:top w:w="30" w:type="dxa"/>
              <w:bottom w:w="30" w:type="dxa"/>
            </w:tcMar>
            <w:vAlign w:val="center"/>
          </w:tcPr>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before="0" w:after="0"/>
              <w:jc w:val="left"/>
              <w:rPr/>
            </w:pPr>
            <w:r>
              <w:rPr/>
            </w:r>
          </w:p>
          <w:p>
            <w:pPr>
              <w:pStyle w:val="TableContents"/>
              <w:spacing w:lineRule="auto" w:line="240" w:before="185" w:after="283"/>
              <w:jc w:val="left"/>
              <w:rPr>
                <w:rFonts w:ascii="Times New Roman;sans-serif" w:hAnsi="Times New Roman;sans-serif"/>
                <w:b w:val="false"/>
                <w:color w:val="0000FF"/>
                <w:sz w:val="20"/>
              </w:rPr>
            </w:pPr>
            <w:r>
              <w:rPr>
                <w:rFonts w:ascii="Times New Roman;sans-serif" w:hAnsi="Times New Roman;sans-serif"/>
                <w:b w:val="false"/>
                <w:color w:val="0000FF"/>
                <w:sz w:val="20"/>
              </w:rPr>
              <w:t>h</w:t>
            </w:r>
          </w:p>
        </w:tc>
        <w:tc>
          <w:tcPr>
            <w:tcW w:w="999" w:type="dxa"/>
            <w:gridSpan w:val="3"/>
            <w:vMerge w:val="restart"/>
            <w:tcBorders>
              <w:top w:val="single" w:sz="4" w:space="0" w:color="010101"/>
              <w:left w:val="single" w:sz="4" w:space="0" w:color="010101"/>
              <w:right w:val="single" w:sz="6" w:space="0" w:color="010101"/>
            </w:tcBorders>
            <w:shd w:fill="C0C0C0" w:val="clear"/>
            <w:tcMar>
              <w:top w:w="30" w:type="dxa"/>
              <w:bottom w:w="0" w:type="dxa"/>
            </w:tcMar>
            <w:vAlign w:val="center"/>
          </w:tcPr>
          <w:p>
            <w:pPr>
              <w:pStyle w:val="TableContents"/>
              <w:spacing w:lineRule="auto" w:line="271"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Yes No</w:t>
            </w:r>
          </w:p>
        </w:tc>
      </w:tr>
      <w:tr>
        <w:trPr/>
        <w:tc>
          <w:tcPr>
            <w:tcW w:w="4081" w:type="dxa"/>
            <w:gridSpan w:val="3"/>
            <w:vMerge w:val="continue"/>
            <w:tcBorders>
              <w:top w:val="single" w:sz="4" w:space="0" w:color="010101"/>
              <w:left w:val="single" w:sz="4" w:space="0" w:color="010101"/>
              <w:right w:val="single" w:sz="4" w:space="0" w:color="010101"/>
            </w:tcBorders>
            <w:shd w:fill="C0C0C0" w:val="clear"/>
            <w:tcMar>
              <w:top w:w="30" w:type="dxa"/>
              <w:bottom w:w="0" w:type="dxa"/>
            </w:tcMar>
            <w:vAlign w:val="center"/>
          </w:tcPr>
          <w:p>
            <w:pPr>
              <w:pStyle w:val="Normal"/>
              <w:rPr/>
            </w:pPr>
            <w:r>
              <w:rPr/>
            </w:r>
          </w:p>
        </w:tc>
        <w:tc>
          <w:tcPr>
            <w:tcW w:w="981" w:type="dxa"/>
            <w:gridSpan w:val="3"/>
            <w:vMerge w:val="continue"/>
            <w:tcBorders>
              <w:top w:val="single" w:sz="8" w:space="0" w:color="010101"/>
              <w:left w:val="single" w:sz="4" w:space="0" w:color="010101"/>
            </w:tcBorders>
            <w:shd w:fill="C0C0C0" w:val="clear"/>
            <w:tcMar>
              <w:bottom w:w="0" w:type="dxa"/>
              <w:right w:w="0" w:type="dxa"/>
            </w:tcMar>
            <w:vAlign w:val="center"/>
          </w:tcPr>
          <w:p>
            <w:pPr>
              <w:pStyle w:val="Normal"/>
              <w:rPr/>
            </w:pPr>
            <w:r>
              <w:rPr/>
            </w:r>
          </w:p>
        </w:tc>
        <w:tc>
          <w:tcPr>
            <w:tcW w:w="2799" w:type="dxa"/>
            <w:gridSpan w:val="3"/>
            <w:tcBorders>
              <w:top w:val="double" w:sz="4" w:space="0" w:color="0000FF"/>
              <w:right w:val="single" w:sz="4" w:space="0" w:color="010101"/>
            </w:tcBorders>
            <w:shd w:fill="C0C0C0" w:val="clear"/>
            <w:tcMar>
              <w:top w:w="30" w:type="dxa"/>
              <w:left w:w="0" w:type="dxa"/>
              <w:bottom w:w="0" w:type="dxa"/>
            </w:tcMar>
            <w:vAlign w:val="center"/>
          </w:tcPr>
          <w:p>
            <w:pPr>
              <w:pStyle w:val="TableContents"/>
              <w:spacing w:lineRule="auto" w:line="288" w:before="0" w:after="0"/>
              <w:jc w:val="left"/>
              <w:rPr/>
            </w:pPr>
            <w:r>
              <w:rPr>
                <w:rFonts w:ascii="Times New Roman;sans-serif" w:hAnsi="Times New Roman;sans-serif"/>
                <w:b w:val="false"/>
                <w:color w:val="0000FF"/>
                <w:sz w:val="20"/>
                <w:u w:val="single"/>
              </w:rPr>
              <w:t>requested, weekly on</w:t>
            </w:r>
            <w:r>
              <w:rPr>
                <w:color w:val="0000FF"/>
              </w:rPr>
              <w:t xml:space="preserve"> </w:t>
            </w:r>
            <w:r>
              <w:rPr>
                <w:rFonts w:ascii="Times New Roman;sans-serif" w:hAnsi="Times New Roman;sans-serif"/>
                <w:b w:val="false"/>
                <w:color w:val="0000FF"/>
                <w:sz w:val="20"/>
                <w:u w:val="single"/>
              </w:rPr>
              <w:t>Friday of each week if</w:t>
            </w:r>
            <w:r>
              <w:rPr>
                <w:color w:val="0000FF"/>
              </w:rPr>
              <w:t xml:space="preserve"> </w:t>
            </w:r>
            <w:r>
              <w:rPr>
                <w:rFonts w:ascii="Times New Roman;sans-serif" w:hAnsi="Times New Roman;sans-serif"/>
                <w:b w:val="false"/>
                <w:color w:val="0000FF"/>
                <w:sz w:val="20"/>
                <w:u w:val="single"/>
              </w:rPr>
              <w:t>an Streamline Period is</w:t>
            </w:r>
            <w:r>
              <w:rPr>
                <w:color w:val="0000FF"/>
              </w:rPr>
              <w:t xml:space="preserve"> </w:t>
            </w:r>
            <w:r>
              <w:rPr>
                <w:rFonts w:ascii="Times New Roman;sans-serif" w:hAnsi="Times New Roman;sans-serif"/>
                <w:b w:val="false"/>
                <w:color w:val="0000FF"/>
                <w:sz w:val="20"/>
                <w:u w:val="single"/>
              </w:rPr>
              <w:t>not in effect; monthly</w:t>
            </w:r>
          </w:p>
          <w:p>
            <w:pPr>
              <w:pStyle w:val="TableContents"/>
              <w:spacing w:lineRule="auto" w:line="235" w:before="0" w:after="0"/>
              <w:jc w:val="left"/>
              <w:rPr>
                <w:rFonts w:ascii="Times New Roman;sans-serif" w:hAnsi="Times New Roman;sans-serif"/>
                <w:b w:val="false"/>
                <w:color w:val="0000FF"/>
                <w:sz w:val="20"/>
              </w:rPr>
            </w:pPr>
            <w:r>
              <w:rPr>
                <w:rFonts w:ascii="Times New Roman;sans-serif" w:hAnsi="Times New Roman;sans-serif"/>
                <w:b w:val="false"/>
                <w:color w:val="0000FF"/>
                <w:sz w:val="20"/>
              </w:rPr>
              <w:t>within 30 days of mont</w:t>
            </w:r>
          </w:p>
        </w:tc>
        <w:tc>
          <w:tcPr>
            <w:tcW w:w="1345" w:type="dxa"/>
            <w:gridSpan w:val="3"/>
            <w:vMerge w:val="continue"/>
            <w:tcBorders>
              <w:top w:val="single" w:sz="4" w:space="0" w:color="010101"/>
              <w:left w:val="single" w:sz="4" w:space="0" w:color="010101"/>
              <w:bottom w:val="single" w:sz="8" w:space="0" w:color="010101"/>
              <w:right w:val="single" w:sz="4" w:space="0" w:color="010101"/>
            </w:tcBorders>
            <w:shd w:fill="FFDEAD" w:val="clear"/>
            <w:tcMar>
              <w:top w:w="30" w:type="dxa"/>
              <w:bottom w:w="30" w:type="dxa"/>
            </w:tcMar>
            <w:vAlign w:val="center"/>
          </w:tcPr>
          <w:p>
            <w:pPr>
              <w:pStyle w:val="Normal"/>
              <w:rPr/>
            </w:pPr>
            <w:r>
              <w:rPr/>
            </w:r>
          </w:p>
        </w:tc>
        <w:tc>
          <w:tcPr>
            <w:tcW w:w="999" w:type="dxa"/>
            <w:gridSpan w:val="3"/>
            <w:vMerge w:val="continue"/>
            <w:tcBorders>
              <w:top w:val="single" w:sz="4" w:space="0" w:color="010101"/>
              <w:left w:val="single" w:sz="4" w:space="0" w:color="010101"/>
              <w:right w:val="single" w:sz="6" w:space="0" w:color="010101"/>
            </w:tcBorders>
            <w:shd w:fill="C0C0C0" w:val="clear"/>
            <w:tcMar>
              <w:top w:w="30" w:type="dxa"/>
              <w:bottom w:w="0" w:type="dxa"/>
            </w:tcMar>
            <w:vAlign w:val="center"/>
          </w:tcPr>
          <w:p>
            <w:pPr>
              <w:pStyle w:val="Normal"/>
              <w:rPr/>
            </w:pPr>
            <w:r>
              <w:rPr/>
            </w:r>
          </w:p>
        </w:tc>
      </w:tr>
      <w:tr>
        <w:trPr/>
        <w:tc>
          <w:tcPr>
            <w:tcW w:w="4081" w:type="dxa"/>
            <w:gridSpan w:val="3"/>
            <w:vMerge w:val="continue"/>
            <w:tcBorders>
              <w:top w:val="single" w:sz="4" w:space="0" w:color="010101"/>
              <w:left w:val="single" w:sz="4" w:space="0" w:color="010101"/>
              <w:right w:val="single" w:sz="4" w:space="0" w:color="010101"/>
            </w:tcBorders>
            <w:shd w:fill="C0C0C0" w:val="clear"/>
            <w:tcMar>
              <w:top w:w="30" w:type="dxa"/>
              <w:bottom w:w="0" w:type="dxa"/>
            </w:tcMar>
            <w:vAlign w:val="center"/>
          </w:tcPr>
          <w:p>
            <w:pPr>
              <w:pStyle w:val="Normal"/>
              <w:rPr/>
            </w:pPr>
            <w:r>
              <w:rPr/>
            </w:r>
          </w:p>
        </w:tc>
        <w:tc>
          <w:tcPr>
            <w:tcW w:w="981" w:type="dxa"/>
            <w:gridSpan w:val="3"/>
            <w:vMerge w:val="continue"/>
            <w:tcBorders>
              <w:top w:val="single" w:sz="8" w:space="0" w:color="010101"/>
              <w:left w:val="single" w:sz="4" w:space="0" w:color="010101"/>
            </w:tcBorders>
            <w:shd w:fill="C0C0C0" w:val="clear"/>
            <w:tcMar>
              <w:bottom w:w="0" w:type="dxa"/>
              <w:right w:w="0" w:type="dxa"/>
            </w:tcMar>
            <w:vAlign w:val="center"/>
          </w:tcPr>
          <w:p>
            <w:pPr>
              <w:pStyle w:val="Normal"/>
              <w:rPr/>
            </w:pPr>
            <w:r>
              <w:rPr/>
            </w:r>
          </w:p>
        </w:tc>
        <w:tc>
          <w:tcPr>
            <w:tcW w:w="2799" w:type="dxa"/>
            <w:gridSpan w:val="3"/>
            <w:tcBorders>
              <w:top w:val="double" w:sz="4" w:space="0" w:color="0000FF"/>
              <w:bottom w:val="single" w:sz="8" w:space="0" w:color="010101"/>
              <w:right w:val="single" w:sz="4" w:space="0" w:color="010101"/>
            </w:tcBorders>
            <w:shd w:fill="C0C0C0" w:val="clear"/>
            <w:tcMar>
              <w:top w:w="30" w:type="dxa"/>
              <w:left w:w="0" w:type="dxa"/>
              <w:bottom w:w="30" w:type="dxa"/>
            </w:tcMar>
            <w:vAlign w:val="center"/>
          </w:tcPr>
          <w:p>
            <w:pPr>
              <w:pStyle w:val="TableContents"/>
              <w:spacing w:lineRule="auto" w:line="288" w:before="3" w:after="283"/>
              <w:jc w:val="left"/>
              <w:rPr/>
            </w:pPr>
            <w:r>
              <w:rPr>
                <w:rFonts w:ascii="Times New Roman;sans-serif" w:hAnsi="Times New Roman;sans-serif"/>
                <w:b w:val="false"/>
                <w:color w:val="0000FF"/>
                <w:sz w:val="20"/>
                <w:u w:val="single"/>
              </w:rPr>
              <w:t>End if and Streamline</w:t>
            </w:r>
            <w:r>
              <w:rPr>
                <w:color w:val="0000FF"/>
              </w:rPr>
              <w:t xml:space="preserve"> </w:t>
            </w:r>
            <w:r>
              <w:rPr>
                <w:rFonts w:ascii="Times New Roman;sans-serif" w:hAnsi="Times New Roman;sans-serif"/>
                <w:b w:val="false"/>
                <w:color w:val="0000FF"/>
                <w:sz w:val="20"/>
                <w:u w:val="single"/>
              </w:rPr>
              <w:t>Period</w:t>
            </w:r>
          </w:p>
          <w:p>
            <w:pPr>
              <w:pStyle w:val="TableContents"/>
              <w:spacing w:lineRule="auto" w:line="266"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is in effect; and with</w:t>
            </w:r>
          </w:p>
          <w:p>
            <w:pPr>
              <w:pStyle w:val="TableContents"/>
              <w:spacing w:lineRule="auto" w:line="254" w:before="1"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each Advance</w:t>
            </w:r>
          </w:p>
        </w:tc>
        <w:tc>
          <w:tcPr>
            <w:tcW w:w="1345" w:type="dxa"/>
            <w:gridSpan w:val="3"/>
            <w:vMerge w:val="continue"/>
            <w:tcBorders>
              <w:top w:val="single" w:sz="4" w:space="0" w:color="010101"/>
              <w:left w:val="single" w:sz="4" w:space="0" w:color="010101"/>
              <w:bottom w:val="single" w:sz="8" w:space="0" w:color="010101"/>
              <w:right w:val="single" w:sz="4" w:space="0" w:color="010101"/>
            </w:tcBorders>
            <w:shd w:fill="FFDEAD" w:val="clear"/>
            <w:tcMar>
              <w:top w:w="30" w:type="dxa"/>
              <w:bottom w:w="30" w:type="dxa"/>
            </w:tcMar>
            <w:vAlign w:val="center"/>
          </w:tcPr>
          <w:p>
            <w:pPr>
              <w:pStyle w:val="Normal"/>
              <w:rPr/>
            </w:pPr>
            <w:r>
              <w:rPr/>
            </w:r>
          </w:p>
        </w:tc>
        <w:tc>
          <w:tcPr>
            <w:tcW w:w="999" w:type="dxa"/>
            <w:gridSpan w:val="3"/>
            <w:vMerge w:val="continue"/>
            <w:tcBorders>
              <w:top w:val="single" w:sz="4" w:space="0" w:color="010101"/>
              <w:left w:val="single" w:sz="4" w:space="0" w:color="010101"/>
              <w:right w:val="single" w:sz="6" w:space="0" w:color="010101"/>
            </w:tcBorders>
            <w:shd w:fill="C0C0C0" w:val="clear"/>
            <w:tcMar>
              <w:top w:w="30" w:type="dxa"/>
              <w:bottom w:w="0" w:type="dxa"/>
            </w:tcMar>
            <w:vAlign w:val="center"/>
          </w:tcPr>
          <w:p>
            <w:pPr>
              <w:pStyle w:val="Normal"/>
              <w:rPr/>
            </w:pPr>
            <w:r>
              <w:rPr/>
            </w:r>
          </w:p>
        </w:tc>
      </w:tr>
      <w:tr>
        <w:trPr/>
        <w:tc>
          <w:tcPr>
            <w:tcW w:w="4081"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A/R &amp; A/P Agings and Deferred</w:t>
            </w:r>
          </w:p>
          <w:p>
            <w:pPr>
              <w:pStyle w:val="TableContents"/>
              <w:spacing w:lineRule="auto" w:line="266"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Revenue reports</w:t>
            </w:r>
          </w:p>
        </w:tc>
        <w:tc>
          <w:tcPr>
            <w:tcW w:w="5125" w:type="dxa"/>
            <w:gridSpan w:val="9"/>
            <w:tcBorders>
              <w:top w:val="single" w:sz="8" w:space="0" w:color="010101"/>
              <w:left w:val="single" w:sz="4" w:space="0" w:color="010101"/>
            </w:tcBorders>
            <w:shd w:fill="E6E6F9" w:val="clear"/>
            <w:tcMar>
              <w:top w:w="3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FF"/>
                <w:sz w:val="20"/>
                <w:u w:val="single"/>
              </w:rPr>
              <w:t>When Advances are outstanding or are being</w:t>
            </w:r>
            <w:r>
              <w:rPr>
                <w:color w:val="0000FF"/>
              </w:rPr>
              <w:t xml:space="preserve"> </w:t>
            </w:r>
            <w:r>
              <w:rPr>
                <w:rFonts w:ascii="Times New Roman;sans-serif" w:hAnsi="Times New Roman;sans-serif"/>
                <w:b w:val="false"/>
                <w:color w:val="0000FF"/>
                <w:sz w:val="20"/>
              </w:rPr>
              <w:t>requested, monthly within 30 days</w:t>
            </w:r>
          </w:p>
        </w:tc>
        <w:tc>
          <w:tcPr>
            <w:tcW w:w="999"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68" w:before="0" w:after="0"/>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Yes No</w:t>
            </w:r>
          </w:p>
        </w:tc>
      </w:tr>
      <w:tr>
        <w:trPr/>
        <w:tc>
          <w:tcPr>
            <w:tcW w:w="4081" w:type="dxa"/>
            <w:gridSpan w:val="3"/>
            <w:tcBorders>
              <w:top w:val="single" w:sz="4" w:space="0" w:color="010101"/>
              <w:left w:val="single" w:sz="4" w:space="0" w:color="010101"/>
              <w:bottom w:val="single" w:sz="4" w:space="0" w:color="010101"/>
            </w:tcBorders>
            <w:shd w:fill="C0C0C0" w:val="clear"/>
            <w:tcMar>
              <w:top w:w="30" w:type="dxa"/>
              <w:bottom w:w="30" w:type="dxa"/>
              <w:right w:w="0" w:type="dxa"/>
            </w:tcMar>
            <w:vAlign w:val="center"/>
          </w:tcPr>
          <w:p>
            <w:pPr>
              <w:pStyle w:val="TableContents"/>
              <w:spacing w:lineRule="auto" w:line="23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Have there been any material</w:t>
            </w:r>
          </w:p>
          <w:p>
            <w:pPr>
              <w:pStyle w:val="TableContents"/>
              <w:spacing w:lineRule="auto" w:line="319" w:before="0" w:after="0"/>
              <w:jc w:val="left"/>
              <w:rPr/>
            </w:pPr>
            <w:r>
              <w:rPr>
                <w:rFonts w:ascii="Times New Roman;sans-serif" w:hAnsi="Times New Roman;sans-serif"/>
                <w:b w:val="false"/>
                <w:color w:val="000000"/>
                <w:sz w:val="20"/>
              </w:rPr>
              <w:t>amendments to the Operating Documents of Borrower? If yes, provide copies of any such amendments or changes with this Compliance Statement</w:t>
            </w:r>
            <w:r>
              <w:rPr>
                <w:rFonts w:ascii="Times New Roman;sans-serif" w:hAnsi="Times New Roman;sans-serif"/>
                <w:b w:val="false"/>
                <w:color w:val="FF0000"/>
                <w:sz w:val="20"/>
              </w:rPr>
              <w:t>.</w:t>
            </w:r>
          </w:p>
        </w:tc>
        <w:tc>
          <w:tcPr>
            <w:tcW w:w="3780" w:type="dxa"/>
            <w:gridSpan w:val="6"/>
            <w:tcBorders>
              <w:top w:val="double" w:sz="5" w:space="0" w:color="010101"/>
              <w:left w:val="single" w:sz="4" w:space="0" w:color="010101"/>
              <w:bottom w:val="single" w:sz="4" w:space="0" w:color="010101"/>
            </w:tcBorders>
            <w:shd w:fill="C0C0C0" w:val="clear"/>
            <w:tcMar>
              <w:top w:w="30" w:type="dxa"/>
              <w:left w:w="129"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N/A</w:t>
            </w:r>
          </w:p>
        </w:tc>
        <w:tc>
          <w:tcPr>
            <w:tcW w:w="1345" w:type="dxa"/>
            <w:gridSpan w:val="3"/>
            <w:tcBorders>
              <w:top w:val="double" w:sz="4" w:space="0" w:color="010101"/>
              <w:left w:val="single" w:sz="4" w:space="0" w:color="010101"/>
            </w:tcBorders>
            <w:shd w:fill="FFDEAD" w:val="clear"/>
            <w:tcMar>
              <w:top w:w="30" w:type="dxa"/>
              <w:bottom w:w="0" w:type="dxa"/>
              <w:right w:w="0" w:type="dxa"/>
            </w:tcMar>
            <w:vAlign w:val="center"/>
          </w:tcPr>
          <w:p>
            <w:pPr>
              <w:pStyle w:val="TableContents"/>
              <w:spacing w:lineRule="auto" w:line="230" w:before="0" w:after="0"/>
              <w:jc w:val="left"/>
              <w:rPr>
                <w:rFonts w:ascii="Times New Roman;sans-serif" w:hAnsi="Times New Roman;sans-serif"/>
                <w:b w:val="false"/>
                <w:strike/>
                <w:color w:val="FF0000"/>
                <w:sz w:val="20"/>
              </w:rPr>
            </w:pPr>
            <w:r>
              <w:rPr>
                <w:rFonts w:ascii="Times New Roman;sans-serif" w:hAnsi="Times New Roman;sans-serif"/>
                <w:b w:val="false"/>
                <w:strike/>
                <w:color w:val="FF0000"/>
                <w:sz w:val="20"/>
              </w:rPr>
              <w:t>Yes    No</w:t>
            </w:r>
          </w:p>
        </w:tc>
        <w:tc>
          <w:tcPr>
            <w:tcW w:w="999" w:type="dxa"/>
            <w:gridSpan w:val="3"/>
            <w:tcBorders>
              <w:top w:val="single" w:sz="4" w:space="0" w:color="010101"/>
              <w:left w:val="single" w:sz="4" w:space="0" w:color="010101"/>
              <w:bottom w:val="single" w:sz="4" w:space="0" w:color="010101"/>
              <w:right w:val="single" w:sz="6" w:space="0" w:color="010101"/>
            </w:tcBorders>
            <w:shd w:fill="C0C0C0" w:val="clear"/>
            <w:tcMar>
              <w:top w:w="30" w:type="dxa"/>
              <w:bottom w:w="30" w:type="dxa"/>
            </w:tcMar>
            <w:vAlign w:val="center"/>
          </w:tcPr>
          <w:p>
            <w:pPr>
              <w:pStyle w:val="TableContents"/>
              <w:spacing w:lineRule="auto" w:line="237" w:before="0" w:after="0"/>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Yes No</w:t>
            </w:r>
          </w:p>
        </w:tc>
      </w:tr>
    </w:tbl>
    <w:p>
      <w:pPr>
        <w:pStyle w:val="TextBody"/>
        <w:spacing w:before="2" w:after="283"/>
        <w:rPr/>
      </w:pPr>
      <w:r>
        <w:rPr/>
      </w:r>
    </w:p>
    <w:tbl>
      <w:tblPr>
        <w:tblW w:w="8083" w:type="dxa"/>
        <w:jc w:val="left"/>
        <w:tblInd w:w="0" w:type="dxa"/>
        <w:tblCellMar>
          <w:top w:w="28" w:type="dxa"/>
          <w:left w:w="28" w:type="dxa"/>
          <w:bottom w:w="28" w:type="dxa"/>
          <w:right w:w="28" w:type="dxa"/>
        </w:tblCellMar>
      </w:tblPr>
      <w:tblGrid>
        <w:gridCol w:w="2527"/>
        <w:gridCol w:w="2217"/>
        <w:gridCol w:w="2231"/>
        <w:gridCol w:w="109"/>
        <w:gridCol w:w="109"/>
        <w:gridCol w:w="109"/>
        <w:gridCol w:w="228"/>
        <w:gridCol w:w="228"/>
        <w:gridCol w:w="325"/>
      </w:tblGrid>
      <w:tr>
        <w:trPr/>
        <w:tc>
          <w:tcPr>
            <w:tcW w:w="2527"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2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6975" w:type="dxa"/>
            <w:gridSpan w:val="3"/>
            <w:tcBorders>
              <w:top w:val="single" w:sz="4" w:space="0" w:color="010101"/>
              <w:left w:val="single" w:sz="4" w:space="0" w:color="010101"/>
            </w:tcBorders>
            <w:shd w:fill="C0C0C0" w:val="clear"/>
            <w:tcMar>
              <w:top w:w="3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Streamline Period</w:t>
            </w:r>
          </w:p>
          <w:p>
            <w:pPr>
              <w:pStyle w:val="TableContents"/>
              <w:spacing w:lineRule="auto" w:line="333" w:before="0" w:after="0"/>
              <w:ind w:left="0" w:right="0" w:hanging="466"/>
              <w:jc w:val="left"/>
              <w:rPr/>
            </w:pPr>
            <w:r>
              <w:rPr>
                <w:rFonts w:ascii="Times New Roman;sans-serif" w:hAnsi="Times New Roman;sans-serif"/>
                <w:b w:val="false"/>
                <w:color w:val="0000FF"/>
                <w:sz w:val="20"/>
                <w:u w:val="single"/>
              </w:rPr>
              <w:t>(Measured only when Advances are outstanding</w:t>
            </w:r>
            <w:r>
              <w:rPr>
                <w:color w:val="0000FF"/>
              </w:rPr>
              <w:t xml:space="preserve"> </w:t>
            </w:r>
            <w:r>
              <w:rPr>
                <w:rFonts w:ascii="Times New Roman;sans-serif" w:hAnsi="Times New Roman;sans-serif"/>
                <w:b w:val="false"/>
                <w:color w:val="0000FF"/>
                <w:sz w:val="20"/>
                <w:u w:val="single"/>
              </w:rPr>
              <w:t>or are being requested by Borrower)</w:t>
            </w:r>
          </w:p>
        </w:tc>
        <w:tc>
          <w:tcPr>
            <w:tcW w:w="327" w:type="dxa"/>
            <w:gridSpan w:val="3"/>
            <w:tcBorders>
              <w:left w:val="single" w:sz="4" w:space="0" w:color="010101"/>
              <w:bottom w:val="single" w:sz="8" w:space="0" w:color="010101"/>
            </w:tcBorders>
            <w:shd w:fill="FFDEAD" w:val="clear"/>
            <w:tcMar>
              <w:top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4" w:space="0" w:color="010101"/>
              <w:left w:val="single" w:sz="4" w:space="0" w:color="010101"/>
              <w:right w:val="single" w:sz="6" w:space="0" w:color="010101"/>
            </w:tcBorders>
            <w:shd w:fill="C0C0C0" w:val="clear"/>
            <w:tcMar>
              <w:top w:w="30" w:type="dxa"/>
              <w:bottom w:w="0" w:type="dxa"/>
            </w:tcMar>
            <w:vAlign w:val="center"/>
          </w:tcPr>
          <w:p>
            <w:pPr>
              <w:pStyle w:val="TableContents"/>
              <w:spacing w:lineRule="auto" w:line="240" w:before="10" w:after="283"/>
              <w:jc w:val="righ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Applies</w:t>
            </w:r>
          </w:p>
        </w:tc>
      </w:tr>
      <w:tr>
        <w:trPr/>
        <w:tc>
          <w:tcPr>
            <w:tcW w:w="7302" w:type="dxa"/>
            <w:gridSpan w:val="6"/>
            <w:tcBorders>
              <w:top w:val="single" w:sz="8" w:space="0" w:color="010101"/>
              <w:left w:val="single" w:sz="4" w:space="0" w:color="010101"/>
              <w:bottom w:val="single" w:sz="4" w:space="0" w:color="010101"/>
            </w:tcBorders>
            <w:shd w:fill="E6E6F9" w:val="clear"/>
            <w:tcMar>
              <w:top w:w="30" w:type="dxa"/>
              <w:bottom w:w="30" w:type="dxa"/>
              <w:right w:w="0" w:type="dxa"/>
            </w:tcMar>
            <w:vAlign w:val="center"/>
          </w:tcPr>
          <w:p>
            <w:pPr>
              <w:pStyle w:val="TableContents"/>
              <w:spacing w:lineRule="auto" w:line="252" w:before="9"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Adjusted Quick Ratio &gt; 1.50 to 1.00</w:t>
            </w:r>
          </w:p>
        </w:tc>
        <w:tc>
          <w:tcPr>
            <w:tcW w:w="781"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59" w:before="4" w:after="283"/>
              <w:jc w:val="righ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Yes No</w:t>
            </w:r>
          </w:p>
        </w:tc>
      </w:tr>
      <w:tr>
        <w:trPr/>
        <w:tc>
          <w:tcPr>
            <w:tcW w:w="7302" w:type="dxa"/>
            <w:gridSpan w:val="6"/>
            <w:tcBorders>
              <w:top w:val="single" w:sz="4" w:space="0" w:color="010101"/>
              <w:left w:val="single" w:sz="4" w:space="0" w:color="010101"/>
              <w:bottom w:val="single" w:sz="4" w:space="0" w:color="010101"/>
            </w:tcBorders>
            <w:shd w:fill="E6E6F9" w:val="clear"/>
            <w:tcMar>
              <w:top w:w="30" w:type="dxa"/>
              <w:bottom w:w="30" w:type="dxa"/>
              <w:right w:w="0" w:type="dxa"/>
            </w:tcMar>
            <w:vAlign w:val="center"/>
          </w:tcPr>
          <w:p>
            <w:pPr>
              <w:pStyle w:val="TableContents"/>
              <w:spacing w:lineRule="auto" w:line="252" w:before="10" w:after="283"/>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Adjusted Quick Ratio &lt; 1.50 to 1.00</w:t>
            </w:r>
          </w:p>
        </w:tc>
        <w:tc>
          <w:tcPr>
            <w:tcW w:w="781" w:type="dxa"/>
            <w:gridSpan w:val="3"/>
            <w:tcBorders>
              <w:top w:val="single" w:sz="4" w:space="0" w:color="010101"/>
              <w:left w:val="single" w:sz="4" w:space="0" w:color="010101"/>
              <w:bottom w:val="single" w:sz="4" w:space="0" w:color="010101"/>
              <w:right w:val="single" w:sz="6" w:space="0" w:color="010101"/>
            </w:tcBorders>
            <w:shd w:fill="E6E6F9" w:val="clear"/>
            <w:tcMar>
              <w:top w:w="30" w:type="dxa"/>
              <w:bottom w:w="30" w:type="dxa"/>
            </w:tcMar>
            <w:vAlign w:val="center"/>
          </w:tcPr>
          <w:p>
            <w:pPr>
              <w:pStyle w:val="TableContents"/>
              <w:spacing w:lineRule="auto" w:line="252" w:before="10" w:after="283"/>
              <w:jc w:val="righ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Yes No</w:t>
            </w:r>
          </w:p>
        </w:tc>
      </w:tr>
    </w:tbl>
    <w:p>
      <w:pPr>
        <w:pStyle w:val="TextBody"/>
        <w:spacing w:before="0" w:after="0"/>
        <w:rPr/>
      </w:pPr>
      <w:r>
        <w:rPr/>
      </w:r>
    </w:p>
    <w:p>
      <w:pPr>
        <w:pStyle w:val="TextBody"/>
        <w:spacing w:before="0" w:after="0"/>
        <w:rPr/>
      </w:pPr>
      <w:r>
        <w:rPr/>
      </w:r>
    </w:p>
    <w:p>
      <w:pPr>
        <w:pStyle w:val="TextBody"/>
        <w:spacing w:before="10" w:after="283"/>
        <w:rPr/>
      </w:pPr>
      <w:r>
        <w:rPr/>
      </w:r>
    </w:p>
    <w:p>
      <w:pPr>
        <w:pStyle w:val="TextBody"/>
        <w:spacing w:lineRule="auto" w:line="240" w:before="1" w:after="283"/>
        <w:jc w:val="center"/>
        <w:rPr/>
      </w:pPr>
      <w:r>
        <w:rPr/>
        <w:drawing>
          <wp:inline distT="0" distB="63500" distL="0" distR="0">
            <wp:extent cx="14605" cy="142875"/>
            <wp:effectExtent l="0" t="0" r="0" b="0"/>
            <wp:docPr id="532"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287" descr=""/>
                    <pic:cNvPicPr>
                      <a:picLocks noChangeAspect="1" noChangeArrowheads="1"/>
                    </pic:cNvPicPr>
                  </pic:nvPicPr>
                  <pic:blipFill>
                    <a:blip r:embed="rId293"/>
                    <a:stretch>
                      <a:fillRect/>
                    </a:stretch>
                  </pic:blipFill>
                  <pic:spPr bwMode="auto">
                    <a:xfrm>
                      <a:off x="0" y="0"/>
                      <a:ext cx="14605" cy="142875"/>
                    </a:xfrm>
                    <a:prstGeom prst="rect">
                      <a:avLst/>
                    </a:prstGeom>
                  </pic:spPr>
                </pic:pic>
              </a:graphicData>
            </a:graphic>
          </wp:inline>
        </w:drawing>
      </w:r>
      <w:r>
        <w:rPr/>
        <w:drawing>
          <wp:inline distT="0" distB="63500" distL="0" distR="0">
            <wp:extent cx="14605" cy="219075"/>
            <wp:effectExtent l="0" t="0" r="0" b="0"/>
            <wp:docPr id="533"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288" descr=""/>
                    <pic:cNvPicPr>
                      <a:picLocks noChangeAspect="1" noChangeArrowheads="1"/>
                    </pic:cNvPicPr>
                  </pic:nvPicPr>
                  <pic:blipFill>
                    <a:blip r:embed="rId294"/>
                    <a:stretch>
                      <a:fillRect/>
                    </a:stretch>
                  </pic:blipFill>
                  <pic:spPr bwMode="auto">
                    <a:xfrm>
                      <a:off x="0" y="0"/>
                      <a:ext cx="14605" cy="219075"/>
                    </a:xfrm>
                    <a:prstGeom prst="rect">
                      <a:avLst/>
                    </a:prstGeom>
                  </pic:spPr>
                </pic:pic>
              </a:graphicData>
            </a:graphic>
          </wp:inline>
        </w:drawing>
      </w:r>
      <w:r>
        <w:rPr/>
        <w:drawing>
          <wp:inline distT="0" distB="63500" distL="0" distR="0">
            <wp:extent cx="14605" cy="781050"/>
            <wp:effectExtent l="0" t="0" r="0" b="0"/>
            <wp:docPr id="534"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289" descr=""/>
                    <pic:cNvPicPr>
                      <a:picLocks noChangeAspect="1" noChangeArrowheads="1"/>
                    </pic:cNvPicPr>
                  </pic:nvPicPr>
                  <pic:blipFill>
                    <a:blip r:embed="rId295"/>
                    <a:stretch>
                      <a:fillRect/>
                    </a:stretch>
                  </pic:blipFill>
                  <pic:spPr bwMode="auto">
                    <a:xfrm>
                      <a:off x="0" y="0"/>
                      <a:ext cx="14605" cy="781050"/>
                    </a:xfrm>
                    <a:prstGeom prst="rect">
                      <a:avLst/>
                    </a:prstGeom>
                  </pic:spPr>
                </pic:pic>
              </a:graphicData>
            </a:graphic>
          </wp:inline>
        </w:drawing>
      </w:r>
      <w:r>
        <w:rPr>
          <w:rFonts w:ascii="Times New Roman;sans-serif" w:hAnsi="Times New Roman;sans-serif"/>
          <w:b w:val="false"/>
          <w:color w:val="000000"/>
          <w:sz w:val="20"/>
        </w:rPr>
        <w:t>A-1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527810"/>
                <wp:effectExtent l="0" t="0" r="0" b="0"/>
                <wp:wrapNone/>
                <wp:docPr id="535" name="Frame191"/>
                <a:graphic xmlns:a="http://schemas.openxmlformats.org/drawingml/2006/main">
                  <a:graphicData uri="http://schemas.microsoft.com/office/word/2010/wordprocessingShape">
                    <wps:wsp>
                      <wps:cNvSpPr txBox="1"/>
                      <wps:spPr>
                        <a:xfrm>
                          <a:off x="0" y="0"/>
                          <a:ext cx="6480175" cy="1527810"/>
                        </a:xfrm>
                        <a:prstGeom prst="rect"/>
                      </wps:spPr>
                      <wps:txbx>
                        <w:txbxContent>
                          <w:p>
                            <w:pPr>
                              <w:pStyle w:val="TextBody"/>
                              <w:spacing w:before="0" w:after="0"/>
                              <w:rPr/>
                            </w:pPr>
                            <w:r>
                              <w:rPr/>
                              <w:drawing>
                                <wp:inline distT="0" distB="63500" distL="0" distR="0">
                                  <wp:extent cx="14605" cy="390525"/>
                                  <wp:effectExtent l="0" t="0" r="0" b="0"/>
                                  <wp:docPr id="536"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290" descr=""/>
                                          <pic:cNvPicPr>
                                            <a:picLocks noChangeAspect="1" noChangeArrowheads="1"/>
                                          </pic:cNvPicPr>
                                        </pic:nvPicPr>
                                        <pic:blipFill>
                                          <a:blip r:embed="rId296"/>
                                          <a:stretch>
                                            <a:fillRect/>
                                          </a:stretch>
                                        </pic:blipFill>
                                        <pic:spPr bwMode="auto">
                                          <a:xfrm>
                                            <a:off x="0" y="0"/>
                                            <a:ext cx="14605" cy="390525"/>
                                          </a:xfrm>
                                          <a:prstGeom prst="rect">
                                            <a:avLst/>
                                          </a:prstGeom>
                                        </pic:spPr>
                                      </pic:pic>
                                    </a:graphicData>
                                  </a:graphic>
                                </wp:inline>
                              </w:drawing>
                            </w:r>
                          </w:p>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73"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3" w:before="0" w:after="0"/>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37"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0.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390525"/>
                            <wp:effectExtent l="0" t="0" r="0" b="0"/>
                            <wp:docPr id="537"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290" descr=""/>
                                    <pic:cNvPicPr>
                                      <a:picLocks noChangeAspect="1" noChangeArrowheads="1"/>
                                    </pic:cNvPicPr>
                                  </pic:nvPicPr>
                                  <pic:blipFill>
                                    <a:blip r:embed="rId296"/>
                                    <a:stretch>
                                      <a:fillRect/>
                                    </a:stretch>
                                  </pic:blipFill>
                                  <pic:spPr bwMode="auto">
                                    <a:xfrm>
                                      <a:off x="0" y="0"/>
                                      <a:ext cx="14605" cy="390525"/>
                                    </a:xfrm>
                                    <a:prstGeom prst="rect">
                                      <a:avLst/>
                                    </a:prstGeom>
                                  </pic:spPr>
                                </pic:pic>
                              </a:graphicData>
                            </a:graphic>
                          </wp:inline>
                        </w:drawing>
                      </w:r>
                    </w:p>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73"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3" w:before="0" w:after="0"/>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37"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3" w:after="283"/>
        <w:rPr/>
      </w:pPr>
      <w:r>
        <w:rPr/>
      </w:r>
    </w:p>
    <w:p>
      <w:pPr>
        <w:pStyle w:val="TextBody"/>
        <w:spacing w:lineRule="auto" w:line="240" w:before="90" w:after="283"/>
        <w:jc w:val="center"/>
        <w:rPr>
          <w:rFonts w:ascii="Times New Roman;sans-serif" w:hAnsi="Times New Roman;sans-serif"/>
          <w:b/>
          <w:color w:val="0000FF"/>
          <w:sz w:val="20"/>
          <w:u w:val="single"/>
        </w:rPr>
      </w:pPr>
      <w:r>
        <w:rPr>
          <w:rFonts w:ascii="Times New Roman;sans-serif" w:hAnsi="Times New Roman;sans-serif"/>
          <w:b/>
          <w:color w:val="0000FF"/>
          <w:sz w:val="20"/>
          <w:u w:val="single"/>
        </w:rPr>
        <w:t>Schedule 1 to Compliance Statement</w:t>
      </w:r>
    </w:p>
    <w:p>
      <w:pPr>
        <w:pStyle w:val="TextBody"/>
        <w:spacing w:before="10" w:after="283"/>
        <w:rPr/>
      </w:pPr>
      <w:r>
        <w:rPr/>
      </w:r>
    </w:p>
    <w:p>
      <w:pPr>
        <w:pStyle w:val="TextBody"/>
        <w:spacing w:lineRule="auto" w:line="240" w:before="91" w:after="283"/>
        <w:jc w:val="center"/>
        <w:rPr/>
      </w:pPr>
      <w:r>
        <w:rPr/>
        <w:drawing>
          <wp:inline distT="0" distB="63500" distL="0" distR="0">
            <wp:extent cx="14605" cy="285750"/>
            <wp:effectExtent l="0" t="0" r="0" b="0"/>
            <wp:docPr id="538"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291" descr=""/>
                    <pic:cNvPicPr>
                      <a:picLocks noChangeAspect="1" noChangeArrowheads="1"/>
                    </pic:cNvPicPr>
                  </pic:nvPicPr>
                  <pic:blipFill>
                    <a:blip r:embed="rId297"/>
                    <a:stretch>
                      <a:fillRect/>
                    </a:stretch>
                  </pic:blipFill>
                  <pic:spPr bwMode="auto">
                    <a:xfrm>
                      <a:off x="0" y="0"/>
                      <a:ext cx="14605" cy="285750"/>
                    </a:xfrm>
                    <a:prstGeom prst="rect">
                      <a:avLst/>
                    </a:prstGeom>
                  </pic:spPr>
                </pic:pic>
              </a:graphicData>
            </a:graphic>
          </wp:inline>
        </w:drawing>
      </w:r>
      <w:r>
        <w:rPr>
          <w:rFonts w:ascii="Times New Roman;sans-serif" w:hAnsi="Times New Roman;sans-serif"/>
          <w:b/>
          <w:color w:val="0000FF"/>
          <w:sz w:val="20"/>
          <w:u w:val="single"/>
        </w:rPr>
        <w:t>Financial Covenants of Borrower</w:t>
      </w:r>
    </w:p>
    <w:p>
      <w:pPr>
        <w:pStyle w:val="TextBody"/>
        <w:spacing w:before="0" w:after="0"/>
        <w:rPr/>
      </w:pPr>
      <w:r>
        <w:rPr/>
      </w:r>
    </w:p>
    <w:p>
      <w:pPr>
        <w:pStyle w:val="TextBody"/>
        <w:spacing w:lineRule="auto" w:line="240" w:before="91" w:after="283"/>
        <w:rPr/>
      </w:pPr>
      <w:r>
        <w:rPr/>
        <w:drawing>
          <wp:inline distT="0" distB="63500" distL="0" distR="0">
            <wp:extent cx="14605" cy="142875"/>
            <wp:effectExtent l="0" t="0" r="0" b="0"/>
            <wp:docPr id="539"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292" descr=""/>
                    <pic:cNvPicPr>
                      <a:picLocks noChangeAspect="1" noChangeArrowheads="1"/>
                    </pic:cNvPicPr>
                  </pic:nvPicPr>
                  <pic:blipFill>
                    <a:blip r:embed="rId298"/>
                    <a:stretch>
                      <a:fillRect/>
                    </a:stretch>
                  </pic:blipFill>
                  <pic:spPr bwMode="auto">
                    <a:xfrm>
                      <a:off x="0" y="0"/>
                      <a:ext cx="14605" cy="142875"/>
                    </a:xfrm>
                    <a:prstGeom prst="rect">
                      <a:avLst/>
                    </a:prstGeom>
                  </pic:spPr>
                </pic:pic>
              </a:graphicData>
            </a:graphic>
          </wp:inline>
        </w:drawing>
      </w:r>
      <w:r>
        <w:rPr/>
        <w:drawing>
          <wp:inline distT="0" distB="63500" distL="0" distR="0">
            <wp:extent cx="14605" cy="142875"/>
            <wp:effectExtent l="0" t="0" r="0" b="0"/>
            <wp:docPr id="540"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293" descr=""/>
                    <pic:cNvPicPr>
                      <a:picLocks noChangeAspect="1" noChangeArrowheads="1"/>
                    </pic:cNvPicPr>
                  </pic:nvPicPr>
                  <pic:blipFill>
                    <a:blip r:embed="rId299"/>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In the event of a conflict between this Schedule and the Agreement, the terms of the Agreement shall govern.</w:t>
      </w:r>
    </w:p>
    <w:p>
      <w:pPr>
        <w:pStyle w:val="TextBody"/>
        <w:spacing w:before="0" w:after="0"/>
        <w:rPr/>
      </w:pPr>
      <w:r>
        <w:rPr/>
      </w:r>
    </w:p>
    <w:p>
      <w:pPr>
        <w:pStyle w:val="TextBody"/>
        <w:spacing w:lineRule="auto" w:line="240" w:before="91" w:after="7"/>
        <w:rPr/>
      </w:pPr>
      <w:r>
        <w:rPr/>
        <w:drawing>
          <wp:inline distT="0" distB="63500" distL="0" distR="0">
            <wp:extent cx="14605" cy="142875"/>
            <wp:effectExtent l="0" t="0" r="0" b="0"/>
            <wp:docPr id="541"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294" descr=""/>
                    <pic:cNvPicPr>
                      <a:picLocks noChangeAspect="1" noChangeArrowheads="1"/>
                    </pic:cNvPicPr>
                  </pic:nvPicPr>
                  <pic:blipFill>
                    <a:blip r:embed="rId300"/>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rPr>
        <w:t>I.    </w:t>
      </w:r>
      <w:r>
        <w:rPr>
          <w:rFonts w:ascii="Times New Roman;sans-serif" w:hAnsi="Times New Roman;sans-serif"/>
          <w:b/>
          <w:color w:val="0000FF"/>
          <w:sz w:val="20"/>
          <w:u w:val="single"/>
        </w:rPr>
        <w:t xml:space="preserve">Minimum Net Revenue </w:t>
      </w:r>
      <w:r>
        <w:rPr>
          <w:rFonts w:ascii="Times New Roman;sans-serif" w:hAnsi="Times New Roman;sans-serif"/>
          <w:b w:val="false"/>
          <w:color w:val="0000FF"/>
          <w:sz w:val="20"/>
          <w:u w:val="single"/>
        </w:rPr>
        <w:t>(Section 5.10)</w:t>
      </w:r>
    </w:p>
    <w:p>
      <w:pPr>
        <w:pStyle w:val="TextBody"/>
        <w:spacing w:before="0" w:after="0"/>
        <w:rPr/>
      </w:pPr>
      <w:r>
        <w:rPr/>
        <w:drawing>
          <wp:inline distT="0" distB="63500" distL="0" distR="0">
            <wp:extent cx="2000250" cy="14605"/>
            <wp:effectExtent l="0" t="0" r="0" b="0"/>
            <wp:docPr id="542"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295" descr=""/>
                    <pic:cNvPicPr>
                      <a:picLocks noChangeAspect="1" noChangeArrowheads="1"/>
                    </pic:cNvPicPr>
                  </pic:nvPicPr>
                  <pic:blipFill>
                    <a:blip r:embed="rId301"/>
                    <a:stretch>
                      <a:fillRect/>
                    </a:stretch>
                  </pic:blipFill>
                  <pic:spPr bwMode="auto">
                    <a:xfrm>
                      <a:off x="0" y="0"/>
                      <a:ext cx="2000250" cy="14605"/>
                    </a:xfrm>
                    <a:prstGeom prst="rect">
                      <a:avLst/>
                    </a:prstGeom>
                  </pic:spPr>
                </pic:pic>
              </a:graphicData>
            </a:graphic>
          </wp:inline>
        </w:drawing>
      </w:r>
    </w:p>
    <w:p>
      <w:pPr>
        <w:pStyle w:val="TextBody"/>
        <w:spacing w:before="0" w:after="0"/>
        <w:rPr/>
      </w:pPr>
      <w:r>
        <w:rPr/>
        <w:drawing>
          <wp:inline distT="0" distB="63500" distL="0" distR="0">
            <wp:extent cx="66675" cy="19050"/>
            <wp:effectExtent l="0" t="0" r="0" b="0"/>
            <wp:docPr id="543"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296" descr=""/>
                    <pic:cNvPicPr>
                      <a:picLocks noChangeAspect="1" noChangeArrowheads="1"/>
                    </pic:cNvPicPr>
                  </pic:nvPicPr>
                  <pic:blipFill>
                    <a:blip r:embed="rId302"/>
                    <a:stretch>
                      <a:fillRect/>
                    </a:stretch>
                  </pic:blipFill>
                  <pic:spPr bwMode="auto">
                    <a:xfrm>
                      <a:off x="0" y="0"/>
                      <a:ext cx="66675" cy="19050"/>
                    </a:xfrm>
                    <a:prstGeom prst="rect">
                      <a:avLst/>
                    </a:prstGeom>
                  </pic:spPr>
                </pic:pic>
              </a:graphicData>
            </a:graphic>
          </wp:inline>
        </w:drawing>
      </w:r>
    </w:p>
    <w:p>
      <w:pPr>
        <w:pStyle w:val="TextBody"/>
        <w:spacing w:before="1" w:after="283"/>
        <w:rPr/>
      </w:pPr>
      <w:r>
        <w:rPr/>
      </w:r>
    </w:p>
    <w:p>
      <w:pPr>
        <w:pStyle w:val="TextBody"/>
        <w:spacing w:lineRule="auto" w:line="240" w:before="90" w:after="283"/>
        <w:ind w:left="0" w:right="0" w:hanging="1440"/>
        <w:rPr/>
      </w:pPr>
      <w:r>
        <w:rPr/>
        <w:drawing>
          <wp:inline distT="0" distB="63500" distL="0" distR="0">
            <wp:extent cx="14605" cy="285750"/>
            <wp:effectExtent l="0" t="0" r="0" b="0"/>
            <wp:docPr id="544"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297" descr=""/>
                    <pic:cNvPicPr>
                      <a:picLocks noChangeAspect="1" noChangeArrowheads="1"/>
                    </pic:cNvPicPr>
                  </pic:nvPicPr>
                  <pic:blipFill>
                    <a:blip r:embed="rId303"/>
                    <a:stretch>
                      <a:fillRect/>
                    </a:stretch>
                  </pic:blipFill>
                  <pic:spPr bwMode="auto">
                    <a:xfrm>
                      <a:off x="0" y="0"/>
                      <a:ext cx="14605" cy="285750"/>
                    </a:xfrm>
                    <a:prstGeom prst="rect">
                      <a:avLst/>
                    </a:prstGeom>
                  </pic:spPr>
                </pic:pic>
              </a:graphicData>
            </a:graphic>
          </wp:inline>
        </w:drawing>
      </w:r>
      <w:r>
        <w:rPr/>
        <w:drawing>
          <wp:inline distT="0" distB="63500" distL="0" distR="0">
            <wp:extent cx="14605" cy="142875"/>
            <wp:effectExtent l="0" t="0" r="0" b="0"/>
            <wp:docPr id="545"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298" descr=""/>
                    <pic:cNvPicPr>
                      <a:picLocks noChangeAspect="1" noChangeArrowheads="1"/>
                    </pic:cNvPicPr>
                  </pic:nvPicPr>
                  <pic:blipFill>
                    <a:blip r:embed="rId304"/>
                    <a:stretch>
                      <a:fillRect/>
                    </a:stretch>
                  </pic:blipFill>
                  <pic:spPr bwMode="auto">
                    <a:xfrm>
                      <a:off x="0" y="0"/>
                      <a:ext cx="14605" cy="142875"/>
                    </a:xfrm>
                    <a:prstGeom prst="rect">
                      <a:avLst/>
                    </a:prstGeom>
                  </pic:spPr>
                </pic:pic>
              </a:graphicData>
            </a:graphic>
          </wp:inline>
        </w:drawing>
      </w:r>
      <w:r>
        <w:rPr/>
        <w:drawing>
          <wp:inline distT="0" distB="63500" distL="0" distR="0">
            <wp:extent cx="14605" cy="285750"/>
            <wp:effectExtent l="0" t="0" r="0" b="0"/>
            <wp:docPr id="546"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299" descr=""/>
                    <pic:cNvPicPr>
                      <a:picLocks noChangeAspect="1" noChangeArrowheads="1"/>
                    </pic:cNvPicPr>
                  </pic:nvPicPr>
                  <pic:blipFill>
                    <a:blip r:embed="rId305"/>
                    <a:stretch>
                      <a:fillRect/>
                    </a:stretch>
                  </pic:blipFill>
                  <pic:spPr bwMode="auto">
                    <a:xfrm>
                      <a:off x="0" y="0"/>
                      <a:ext cx="14605" cy="285750"/>
                    </a:xfrm>
                    <a:prstGeom prst="rect">
                      <a:avLst/>
                    </a:prstGeom>
                  </pic:spPr>
                </pic:pic>
              </a:graphicData>
            </a:graphic>
          </wp:inline>
        </w:drawing>
      </w:r>
      <w:r>
        <w:rPr/>
        <w:drawing>
          <wp:inline distT="0" distB="63500" distL="0" distR="0">
            <wp:extent cx="14605" cy="142875"/>
            <wp:effectExtent l="0" t="0" r="0" b="0"/>
            <wp:docPr id="547"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300" descr=""/>
                    <pic:cNvPicPr>
                      <a:picLocks noChangeAspect="1" noChangeArrowheads="1"/>
                    </pic:cNvPicPr>
                  </pic:nvPicPr>
                  <pic:blipFill>
                    <a:blip r:embed="rId306"/>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Required:</w:t>
      </w:r>
      <w:r>
        <w:rPr>
          <w:color w:val="0000FF"/>
        </w:rPr>
        <w:t>    </w:t>
      </w:r>
      <w:r>
        <w:rPr>
          <w:rFonts w:ascii="Times New Roman;sans-serif" w:hAnsi="Times New Roman;sans-serif"/>
          <w:b w:val="false"/>
          <w:color w:val="0000FF"/>
          <w:sz w:val="20"/>
          <w:u w:val="single"/>
        </w:rPr>
        <w:t>When a Financial Covenant Measuring Period is in effect, Borrower shall achieve Net Revenue as required by</w:t>
      </w:r>
      <w:r>
        <w:rPr>
          <w:color w:val="0000FF"/>
        </w:rPr>
        <w:t xml:space="preserve"> </w:t>
      </w:r>
      <w:r>
        <w:rPr>
          <w:rFonts w:ascii="Times New Roman;sans-serif" w:hAnsi="Times New Roman;sans-serif"/>
          <w:b w:val="false"/>
          <w:color w:val="0000FF"/>
          <w:sz w:val="20"/>
          <w:u w:val="single"/>
        </w:rPr>
        <w:t>Section 5.10 and set forth below (pursuant to the amendment(s) required under Section 5.10):</w:t>
      </w:r>
    </w:p>
    <w:p>
      <w:pPr>
        <w:pStyle w:val="TextBody"/>
        <w:spacing w:before="1" w:after="283"/>
        <w:rPr/>
      </w:pPr>
      <w:r>
        <w:rPr/>
      </w:r>
    </w:p>
    <w:tbl>
      <w:tblPr>
        <w:tblW w:w="8344" w:type="dxa"/>
        <w:jc w:val="left"/>
        <w:tblInd w:w="0" w:type="dxa"/>
        <w:tblCellMar>
          <w:top w:w="28" w:type="dxa"/>
          <w:left w:w="28" w:type="dxa"/>
          <w:bottom w:w="28" w:type="dxa"/>
          <w:right w:w="28" w:type="dxa"/>
        </w:tblCellMar>
      </w:tblPr>
      <w:tblGrid>
        <w:gridCol w:w="836"/>
        <w:gridCol w:w="736"/>
        <w:gridCol w:w="738"/>
        <w:gridCol w:w="1768"/>
        <w:gridCol w:w="1768"/>
        <w:gridCol w:w="2498"/>
      </w:tblGrid>
      <w:tr>
        <w:trPr/>
        <w:tc>
          <w:tcPr>
            <w:tcW w:w="8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2498"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FF"/>
                <w:sz w:val="20"/>
                <w:u w:val="single"/>
              </w:rPr>
            </w:pPr>
            <w:r>
              <w:rPr>
                <w:rFonts w:ascii="Times New Roman;sans-serif" w:hAnsi="Times New Roman;sans-serif"/>
                <w:b/>
                <w:color w:val="0000FF"/>
                <w:sz w:val="20"/>
                <w:u w:val="single"/>
              </w:rPr>
              <w:t>Measuring Period Ending</w:t>
            </w:r>
          </w:p>
        </w:tc>
        <w:tc>
          <w:tcPr>
            <w:tcW w:w="6034"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ind w:left="0" w:right="0" w:firstLine="650"/>
              <w:jc w:val="left"/>
              <w:rPr/>
            </w:pPr>
            <w:r>
              <w:rPr>
                <w:rFonts w:ascii="Times New Roman;sans-serif" w:hAnsi="Times New Roman;sans-serif"/>
                <w:b/>
                <w:color w:val="0000FF"/>
                <w:sz w:val="20"/>
                <w:u w:val="single"/>
              </w:rPr>
              <w:t>Minimum Net Revenue</w:t>
            </w:r>
            <w:r>
              <w:rPr>
                <w:color w:val="0000FF"/>
              </w:rPr>
              <w:t xml:space="preserve"> </w:t>
            </w:r>
            <w:r>
              <w:rPr>
                <w:rFonts w:ascii="Times New Roman;sans-serif" w:hAnsi="Times New Roman;sans-serif"/>
                <w:b/>
                <w:color w:val="0000FF"/>
                <w:sz w:val="20"/>
                <w:u w:val="single"/>
              </w:rPr>
              <w:t>(measured on a trailing 6 month basis)</w:t>
            </w:r>
          </w:p>
        </w:tc>
      </w:tr>
      <w:tr>
        <w:trPr/>
        <w:tc>
          <w:tcPr>
            <w:tcW w:w="2310"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    ]</w:t>
            </w:r>
          </w:p>
        </w:tc>
        <w:tc>
          <w:tcPr>
            <w:tcW w:w="6034"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righ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    ]</w:t>
            </w:r>
          </w:p>
        </w:tc>
      </w:tr>
      <w:tr>
        <w:trPr/>
        <w:tc>
          <w:tcPr>
            <w:tcW w:w="2310"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    ]</w:t>
            </w:r>
          </w:p>
        </w:tc>
        <w:tc>
          <w:tcPr>
            <w:tcW w:w="6034"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righ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    ]</w:t>
            </w:r>
          </w:p>
        </w:tc>
      </w:tr>
      <w:tr>
        <w:trPr/>
        <w:tc>
          <w:tcPr>
            <w:tcW w:w="2310" w:type="dxa"/>
            <w:gridSpan w:val="3"/>
            <w:tcBorders>
              <w:top w:val="single" w:sz="4" w:space="0" w:color="010101"/>
              <w:left w:val="single" w:sz="4" w:space="0" w:color="010101"/>
            </w:tcBorders>
            <w:shd w:fill="E6E6F9"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    ]</w:t>
            </w:r>
          </w:p>
        </w:tc>
        <w:tc>
          <w:tcPr>
            <w:tcW w:w="6034" w:type="dxa"/>
            <w:gridSpan w:val="3"/>
            <w:tcBorders>
              <w:top w:val="single" w:sz="4" w:space="0" w:color="010101"/>
              <w:left w:val="single" w:sz="4" w:space="0" w:color="010101"/>
              <w:right w:val="single" w:sz="6" w:space="0" w:color="010101"/>
            </w:tcBorders>
            <w:shd w:fill="E6E6F9" w:val="clear"/>
            <w:tcMar>
              <w:top w:w="30" w:type="dxa"/>
              <w:bottom w:w="0" w:type="dxa"/>
            </w:tcMar>
            <w:vAlign w:val="center"/>
          </w:tcPr>
          <w:p>
            <w:pPr>
              <w:pStyle w:val="TableContents"/>
              <w:spacing w:lineRule="auto" w:line="240" w:before="0" w:after="0"/>
              <w:jc w:val="righ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    ]</w:t>
            </w:r>
          </w:p>
        </w:tc>
      </w:tr>
      <w:tr>
        <w:trPr/>
        <w:tc>
          <w:tcPr>
            <w:tcW w:w="2310" w:type="dxa"/>
            <w:gridSpan w:val="3"/>
            <w:tcBorders>
              <w:top w:val="single" w:sz="4" w:space="0" w:color="010101"/>
              <w:left w:val="single" w:sz="4" w:space="0" w:color="010101"/>
              <w:bottom w:val="single" w:sz="4" w:space="0" w:color="010101"/>
            </w:tcBorders>
            <w:shd w:fill="E6E6F9" w:val="clear"/>
            <w:tcMar>
              <w:top w:w="30" w:type="dxa"/>
              <w:bottom w:w="30" w:type="dxa"/>
              <w:right w:w="0" w:type="dxa"/>
            </w:tcMar>
            <w:vAlign w:val="center"/>
          </w:tcPr>
          <w:p>
            <w:pPr>
              <w:pStyle w:val="TableContents"/>
              <w:spacing w:lineRule="auto" w:line="240" w:before="0" w:after="0"/>
              <w:jc w:val="center"/>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    ]</w:t>
            </w:r>
          </w:p>
        </w:tc>
        <w:tc>
          <w:tcPr>
            <w:tcW w:w="6034" w:type="dxa"/>
            <w:gridSpan w:val="3"/>
            <w:tcBorders>
              <w:top w:val="single" w:sz="4" w:space="0" w:color="010101"/>
              <w:left w:val="single" w:sz="4" w:space="0" w:color="010101"/>
              <w:bottom w:val="single" w:sz="4" w:space="0" w:color="010101"/>
              <w:right w:val="single" w:sz="6" w:space="0" w:color="010101"/>
            </w:tcBorders>
            <w:shd w:fill="E6E6F9" w:val="clear"/>
            <w:tcMar>
              <w:top w:w="30" w:type="dxa"/>
              <w:bottom w:w="30" w:type="dxa"/>
            </w:tcMar>
            <w:vAlign w:val="center"/>
          </w:tcPr>
          <w:p>
            <w:pPr>
              <w:pStyle w:val="TableContents"/>
              <w:spacing w:lineRule="auto" w:line="240" w:before="0" w:after="0"/>
              <w:jc w:val="righ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    ]</w:t>
            </w:r>
          </w:p>
        </w:tc>
      </w:tr>
    </w:tbl>
    <w:p>
      <w:pPr>
        <w:pStyle w:val="TextBody"/>
        <w:spacing w:before="0" w:after="0"/>
        <w:rPr/>
      </w:pPr>
      <w:r>
        <w:rPr/>
      </w:r>
    </w:p>
    <w:p>
      <w:pPr>
        <w:pStyle w:val="TextBody"/>
        <w:spacing w:before="1" w:after="283"/>
        <w:rPr/>
      </w:pPr>
      <w:r>
        <w:rPr/>
      </w:r>
    </w:p>
    <w:p>
      <w:pPr>
        <w:pStyle w:val="TextBody"/>
        <w:spacing w:lineRule="auto" w:line="240" w:before="0" w:after="0"/>
        <w:rPr/>
      </w:pPr>
      <w:r>
        <w:rPr/>
        <w:drawing>
          <wp:inline distT="0" distB="63500" distL="0" distR="0">
            <wp:extent cx="14605" cy="142875"/>
            <wp:effectExtent l="0" t="0" r="0" b="0"/>
            <wp:docPr id="548"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301" descr=""/>
                    <pic:cNvPicPr>
                      <a:picLocks noChangeAspect="1" noChangeArrowheads="1"/>
                    </pic:cNvPicPr>
                  </pic:nvPicPr>
                  <pic:blipFill>
                    <a:blip r:embed="rId307"/>
                    <a:stretch>
                      <a:fillRect/>
                    </a:stretch>
                  </pic:blipFill>
                  <pic:spPr bwMode="auto">
                    <a:xfrm>
                      <a:off x="0" y="0"/>
                      <a:ext cx="14605" cy="142875"/>
                    </a:xfrm>
                    <a:prstGeom prst="rect">
                      <a:avLst/>
                    </a:prstGeom>
                  </pic:spPr>
                </pic:pic>
              </a:graphicData>
            </a:graphic>
          </wp:inline>
        </w:drawing>
      </w:r>
      <w:r>
        <w:rPr/>
        <w:drawing>
          <wp:inline distT="0" distB="63500" distL="0" distR="0">
            <wp:extent cx="14605" cy="142875"/>
            <wp:effectExtent l="0" t="0" r="0" b="0"/>
            <wp:docPr id="549"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302" descr=""/>
                    <pic:cNvPicPr>
                      <a:picLocks noChangeAspect="1" noChangeArrowheads="1"/>
                    </pic:cNvPicPr>
                  </pic:nvPicPr>
                  <pic:blipFill>
                    <a:blip r:embed="rId308"/>
                    <a:stretch>
                      <a:fillRect/>
                    </a:stretch>
                  </pic:blipFill>
                  <pic:spPr bwMode="auto">
                    <a:xfrm>
                      <a:off x="0" y="0"/>
                      <a:ext cx="14605" cy="142875"/>
                    </a:xfrm>
                    <a:prstGeom prst="rect">
                      <a:avLst/>
                    </a:prstGeom>
                  </pic:spPr>
                </pic:pic>
              </a:graphicData>
            </a:graphic>
          </wp:inline>
        </w:drawing>
      </w:r>
      <w:r>
        <w:rPr/>
        <w:drawing>
          <wp:inline distT="0" distB="63500" distL="0" distR="0">
            <wp:extent cx="14605" cy="142875"/>
            <wp:effectExtent l="0" t="0" r="0" b="0"/>
            <wp:docPr id="550"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03" descr=""/>
                    <pic:cNvPicPr>
                      <a:picLocks noChangeAspect="1" noChangeArrowheads="1"/>
                    </pic:cNvPicPr>
                  </pic:nvPicPr>
                  <pic:blipFill>
                    <a:blip r:embed="rId309"/>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Actual: $    </w:t>
      </w:r>
    </w:p>
    <w:p>
      <w:pPr>
        <w:pStyle w:val="TextBody"/>
        <w:spacing w:before="2" w:after="283"/>
        <w:rPr/>
      </w:pPr>
      <w:r>
        <w:rPr/>
      </w:r>
    </w:p>
    <w:p>
      <w:pPr>
        <w:pStyle w:val="TextBody"/>
        <w:spacing w:lineRule="auto" w:line="240" w:before="91" w:after="283"/>
        <w:rPr/>
      </w:pPr>
      <w:r>
        <w:rPr/>
        <w:drawing>
          <wp:inline distT="0" distB="63500" distL="0" distR="0">
            <wp:extent cx="14605" cy="285750"/>
            <wp:effectExtent l="0" t="0" r="0" b="0"/>
            <wp:docPr id="551"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304" descr=""/>
                    <pic:cNvPicPr>
                      <a:picLocks noChangeAspect="1" noChangeArrowheads="1"/>
                    </pic:cNvPicPr>
                  </pic:nvPicPr>
                  <pic:blipFill>
                    <a:blip r:embed="rId310"/>
                    <a:stretch>
                      <a:fillRect/>
                    </a:stretch>
                  </pic:blipFill>
                  <pic:spPr bwMode="auto">
                    <a:xfrm>
                      <a:off x="0" y="0"/>
                      <a:ext cx="14605" cy="285750"/>
                    </a:xfrm>
                    <a:prstGeom prst="rect">
                      <a:avLst/>
                    </a:prstGeom>
                  </pic:spPr>
                </pic:pic>
              </a:graphicData>
            </a:graphic>
          </wp:inline>
        </w:drawing>
      </w:r>
      <w:r>
        <w:rPr/>
        <w:drawing>
          <wp:inline distT="0" distB="63500" distL="0" distR="0">
            <wp:extent cx="14605" cy="142875"/>
            <wp:effectExtent l="0" t="0" r="0" b="0"/>
            <wp:docPr id="552"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305" descr=""/>
                    <pic:cNvPicPr>
                      <a:picLocks noChangeAspect="1" noChangeArrowheads="1"/>
                    </pic:cNvPicPr>
                  </pic:nvPicPr>
                  <pic:blipFill>
                    <a:blip r:embed="rId311"/>
                    <a:stretch>
                      <a:fillRect/>
                    </a:stretch>
                  </pic:blipFill>
                  <pic:spPr bwMode="auto">
                    <a:xfrm>
                      <a:off x="0" y="0"/>
                      <a:ext cx="14605" cy="142875"/>
                    </a:xfrm>
                    <a:prstGeom prst="rect">
                      <a:avLst/>
                    </a:prstGeom>
                  </pic:spPr>
                </pic:pic>
              </a:graphicData>
            </a:graphic>
          </wp:inline>
        </w:drawing>
      </w:r>
      <w:r>
        <w:rPr>
          <w:rFonts w:ascii="Times New Roman;sans-serif" w:hAnsi="Times New Roman;sans-serif"/>
          <w:b w:val="false"/>
          <w:color w:val="0000FF"/>
          <w:sz w:val="20"/>
          <w:u w:val="single"/>
        </w:rPr>
        <w:t>Is Borrower’s Net Revenue (measured on a trailing 6 month basis) greater than or equal to the required amount for the corresponding</w:t>
      </w:r>
      <w:r>
        <w:rPr>
          <w:color w:val="0000FF"/>
        </w:rPr>
        <w:t xml:space="preserve"> </w:t>
      </w:r>
      <w:r>
        <w:rPr>
          <w:rFonts w:ascii="Times New Roman;sans-serif" w:hAnsi="Times New Roman;sans-serif"/>
          <w:b w:val="false"/>
          <w:color w:val="0000FF"/>
          <w:sz w:val="20"/>
          <w:u w:val="single"/>
        </w:rPr>
        <w:t>measuring period set forth in the chart above?</w:t>
      </w:r>
    </w:p>
    <w:p>
      <w:pPr>
        <w:pStyle w:val="TextBody"/>
        <w:spacing w:before="2" w:after="283"/>
        <w:rPr/>
      </w:pPr>
      <w:r>
        <w:rPr/>
      </w:r>
    </w:p>
    <w:p>
      <w:pPr>
        <w:pStyle w:val="TextBody"/>
        <w:spacing w:lineRule="auto" w:line="240" w:before="91" w:after="283"/>
        <w:jc w:val="center"/>
        <w:rPr/>
      </w:pPr>
      <w:r>
        <w:rPr/>
        <w:drawing>
          <wp:inline distT="0" distB="63500" distL="0" distR="0">
            <wp:extent cx="1638300" cy="19050"/>
            <wp:effectExtent l="0" t="0" r="0" b="0"/>
            <wp:docPr id="553"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06" descr=""/>
                    <pic:cNvPicPr>
                      <a:picLocks noChangeAspect="1" noChangeArrowheads="1"/>
                    </pic:cNvPicPr>
                  </pic:nvPicPr>
                  <pic:blipFill>
                    <a:blip r:embed="rId312"/>
                    <a:stretch>
                      <a:fillRect/>
                    </a:stretch>
                  </pic:blipFill>
                  <pic:spPr bwMode="auto">
                    <a:xfrm>
                      <a:off x="0" y="0"/>
                      <a:ext cx="1638300" cy="19050"/>
                    </a:xfrm>
                    <a:prstGeom prst="rect">
                      <a:avLst/>
                    </a:prstGeom>
                  </pic:spPr>
                </pic:pic>
              </a:graphicData>
            </a:graphic>
          </wp:inline>
        </w:drawing>
      </w:r>
      <w:r>
        <w:rPr/>
        <w:drawing>
          <wp:inline distT="0" distB="63500" distL="0" distR="0">
            <wp:extent cx="1485900" cy="19050"/>
            <wp:effectExtent l="0" t="0" r="0" b="0"/>
            <wp:docPr id="554"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307" descr=""/>
                    <pic:cNvPicPr>
                      <a:picLocks noChangeAspect="1" noChangeArrowheads="1"/>
                    </pic:cNvPicPr>
                  </pic:nvPicPr>
                  <pic:blipFill>
                    <a:blip r:embed="rId313"/>
                    <a:stretch>
                      <a:fillRect/>
                    </a:stretch>
                  </pic:blipFill>
                  <pic:spPr bwMode="auto">
                    <a:xfrm>
                      <a:off x="0" y="0"/>
                      <a:ext cx="1485900" cy="19050"/>
                    </a:xfrm>
                    <a:prstGeom prst="rect">
                      <a:avLst/>
                    </a:prstGeom>
                  </pic:spPr>
                </pic:pic>
              </a:graphicData>
            </a:graphic>
          </wp:inline>
        </w:drawing>
      </w:r>
      <w:r>
        <w:rPr>
          <w:rFonts w:ascii="Times New Roman;sans-serif" w:hAnsi="Times New Roman;sans-serif"/>
          <w:b w:val="false"/>
          <w:color w:val="0000FF"/>
          <w:sz w:val="20"/>
        </w:rPr>
        <w:t>No, not in compliance    Yes, in compliance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562735"/>
                <wp:effectExtent l="0" t="0" r="0" b="0"/>
                <wp:wrapNone/>
                <wp:docPr id="555" name="Frame192"/>
                <a:graphic xmlns:a="http://schemas.openxmlformats.org/drawingml/2006/main">
                  <a:graphicData uri="http://schemas.microsoft.com/office/word/2010/wordprocessingShape">
                    <wps:wsp>
                      <wps:cNvSpPr txBox="1"/>
                      <wps:spPr>
                        <a:xfrm>
                          <a:off x="0" y="0"/>
                          <a:ext cx="6480175" cy="1562735"/>
                        </a:xfrm>
                        <a:prstGeom prst="rect"/>
                      </wps:spPr>
                      <wps:txbx>
                        <w:txbxContent>
                          <w:p>
                            <w:pPr>
                              <w:pStyle w:val="TextBody"/>
                              <w:spacing w:before="0" w:after="0"/>
                              <w:rPr/>
                            </w:pPr>
                            <w:r>
                              <w:rPr/>
                              <w:drawing>
                                <wp:inline distT="0" distB="63500" distL="0" distR="0">
                                  <wp:extent cx="14605" cy="419100"/>
                                  <wp:effectExtent l="0" t="0" r="0" b="0"/>
                                  <wp:docPr id="556"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308" descr=""/>
                                          <pic:cNvPicPr>
                                            <a:picLocks noChangeAspect="1" noChangeArrowheads="1"/>
                                          </pic:cNvPicPr>
                                        </pic:nvPicPr>
                                        <pic:blipFill>
                                          <a:blip r:embed="rId314"/>
                                          <a:stretch>
                                            <a:fillRect/>
                                          </a:stretch>
                                        </pic:blipFill>
                                        <pic:spPr bwMode="auto">
                                          <a:xfrm>
                                            <a:off x="0" y="0"/>
                                            <a:ext cx="14605" cy="419100"/>
                                          </a:xfrm>
                                          <a:prstGeom prst="rect">
                                            <a:avLst/>
                                          </a:prstGeom>
                                        </pic:spPr>
                                      </pic:pic>
                                    </a:graphicData>
                                  </a:graphic>
                                </wp:inline>
                              </w:drawing>
                            </w:r>
                          </w:p>
                          <w:tbl>
                            <w:tblPr>
                              <w:tblW w:w="1634" w:type="dxa"/>
                              <w:jc w:val="left"/>
                              <w:tblInd w:w="0" w:type="dxa"/>
                              <w:tblCellMar>
                                <w:top w:w="28" w:type="dxa"/>
                                <w:left w:w="28" w:type="dxa"/>
                                <w:bottom w:w="28" w:type="dxa"/>
                                <w:right w:w="28" w:type="dxa"/>
                              </w:tblCellMar>
                            </w:tblPr>
                            <w:tblGrid>
                              <w:gridCol w:w="522"/>
                              <w:gridCol w:w="459"/>
                              <w:gridCol w:w="653"/>
                            </w:tblGrid>
                            <w:tr>
                              <w:trPr/>
                              <w:tc>
                                <w:tcPr>
                                  <w:tcW w:w="522"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240" w:before="9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419100"/>
                            <wp:effectExtent l="0" t="0" r="0" b="0"/>
                            <wp:docPr id="557"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308" descr=""/>
                                    <pic:cNvPicPr>
                                      <a:picLocks noChangeAspect="1" noChangeArrowheads="1"/>
                                    </pic:cNvPicPr>
                                  </pic:nvPicPr>
                                  <pic:blipFill>
                                    <a:blip r:embed="rId314"/>
                                    <a:stretch>
                                      <a:fillRect/>
                                    </a:stretch>
                                  </pic:blipFill>
                                  <pic:spPr bwMode="auto">
                                    <a:xfrm>
                                      <a:off x="0" y="0"/>
                                      <a:ext cx="14605" cy="419100"/>
                                    </a:xfrm>
                                    <a:prstGeom prst="rect">
                                      <a:avLst/>
                                    </a:prstGeom>
                                  </pic:spPr>
                                </pic:pic>
                              </a:graphicData>
                            </a:graphic>
                          </wp:inline>
                        </w:drawing>
                      </w:r>
                    </w:p>
                    <w:tbl>
                      <w:tblPr>
                        <w:tblW w:w="1634" w:type="dxa"/>
                        <w:jc w:val="left"/>
                        <w:tblInd w:w="0" w:type="dxa"/>
                        <w:tblCellMar>
                          <w:top w:w="28" w:type="dxa"/>
                          <w:left w:w="28" w:type="dxa"/>
                          <w:bottom w:w="28" w:type="dxa"/>
                          <w:right w:w="28" w:type="dxa"/>
                        </w:tblCellMar>
                      </w:tblPr>
                      <w:tblGrid>
                        <w:gridCol w:w="522"/>
                        <w:gridCol w:w="459"/>
                        <w:gridCol w:w="653"/>
                      </w:tblGrid>
                      <w:tr>
                        <w:trPr/>
                        <w:tc>
                          <w:tcPr>
                            <w:tcW w:w="522"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240" w:before="94" w:after="283"/>
                              <w:jc w:val="left"/>
                              <w:rPr>
                                <w:rFonts w:ascii="Arial;sans-serif" w:hAnsi="Arial;sans-serif"/>
                                <w:b w:val="false"/>
                                <w:color w:val="0000FF"/>
                                <w:sz w:val="14"/>
                                <w:u w:val="single"/>
                              </w:rPr>
                            </w:pPr>
                            <w:r>
                              <w:rPr>
                                <w:rFonts w:ascii="Arial;sans-serif" w:hAnsi="Arial;sans-serif"/>
                                <w:b w:val="false"/>
                                <w:color w:val="0000FF"/>
                                <w:sz w:val="14"/>
                                <w:u w:val="single"/>
                              </w:rPr>
                              <w:t>278638019 v5</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drawing>
          <wp:inline distT="0" distB="63500" distL="0" distR="0">
            <wp:extent cx="733425" cy="47625"/>
            <wp:effectExtent l="0" t="0" r="0" b="0"/>
            <wp:docPr id="558"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309" descr=""/>
                    <pic:cNvPicPr>
                      <a:picLocks noChangeAspect="1" noChangeArrowheads="1"/>
                    </pic:cNvPicPr>
                  </pic:nvPicPr>
                  <pic:blipFill>
                    <a:blip r:embed="rId315"/>
                    <a:stretch>
                      <a:fillRect/>
                    </a:stretch>
                  </pic:blipFill>
                  <pic:spPr bwMode="auto">
                    <a:xfrm>
                      <a:off x="0" y="0"/>
                      <a:ext cx="733425" cy="47625"/>
                    </a:xfrm>
                    <a:prstGeom prst="rect">
                      <a:avLst/>
                    </a:prstGeom>
                  </pic:spPr>
                </pic:pic>
              </a:graphicData>
            </a:graphic>
          </wp:inline>
        </w:drawing>
      </w:r>
    </w:p>
    <w:p>
      <w:pPr>
        <w:pStyle w:val="TextBody"/>
        <w:spacing w:before="0" w:after="0"/>
        <w:rPr/>
      </w:pPr>
      <w:r>
        <w:rPr/>
      </w:r>
    </w:p>
    <w:p>
      <w:pPr>
        <w:pStyle w:val="TextBody"/>
        <w:spacing w:before="6" w:after="283"/>
        <w:rPr/>
      </w:pPr>
      <w:r>
        <w:rPr/>
      </w:r>
    </w:p>
    <w:p>
      <w:pPr>
        <w:pStyle w:val="TextBody"/>
        <w:spacing w:lineRule="auto" w:line="240"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EXHIBIT B</w:t>
      </w:r>
    </w:p>
    <w:p>
      <w:pPr>
        <w:pStyle w:val="TextBody"/>
        <w:spacing w:lineRule="auto" w:line="422" w:before="120" w:after="283"/>
        <w:ind w:left="0" w:right="0" w:firstLine="187"/>
        <w:rPr/>
      </w:pPr>
      <w:r>
        <w:rPr>
          <w:rFonts w:ascii="Times New Roman;sans-serif" w:hAnsi="Times New Roman;sans-serif"/>
          <w:b/>
          <w:color w:val="000000"/>
          <w:sz w:val="20"/>
          <w:u w:val="single"/>
        </w:rPr>
        <w:t>LOAN PAYMENT/ADVANCE REQUEST FORM</w:t>
      </w:r>
      <w:r>
        <w:rPr>
          <w:color w:val="000000"/>
        </w:rPr>
        <w:t xml:space="preserve"> </w:t>
      </w:r>
      <w:r>
        <w:rPr>
          <w:rFonts w:ascii="Times New Roman;sans-serif" w:hAnsi="Times New Roman;sans-serif"/>
          <w:b/>
          <w:color w:val="000000"/>
          <w:sz w:val="20"/>
          <w:u w:val="single"/>
        </w:rPr>
        <w:t>Deadline for same day processing is Noon Pacific Time</w:t>
      </w:r>
    </w:p>
    <w:p>
      <w:pPr>
        <w:pStyle w:val="TextBody"/>
        <w:spacing w:lineRule="auto" w:line="240" w:before="4" w:after="283"/>
        <w:rPr/>
      </w:pPr>
      <w:r>
        <w:rPr>
          <w:rFonts w:ascii="Times New Roman;sans-serif" w:hAnsi="Times New Roman;sans-serif"/>
          <w:b w:val="false"/>
          <w:color w:val="000000"/>
          <w:sz w:val="15"/>
        </w:rPr>
        <w:t>FAX TO</w:t>
      </w:r>
      <w:r>
        <w:rPr>
          <w:rFonts w:ascii="Times New Roman;sans-serif" w:hAnsi="Times New Roman;sans-serif"/>
          <w:b w:val="false"/>
          <w:color w:val="000000"/>
          <w:sz w:val="20"/>
        </w:rPr>
        <w:t xml:space="preserve">:    Date: </w:t>
      </w:r>
      <w:r>
        <w:rPr>
          <w:color w:val="000000"/>
          <w:u w:val="single"/>
        </w:rPr>
        <w:t>    </w:t>
      </w:r>
    </w:p>
    <w:p>
      <w:pPr>
        <w:pStyle w:val="TextBody"/>
        <w:spacing w:before="1" w:after="283"/>
        <w:rPr/>
      </w:pPr>
      <w:r>
        <w:rPr/>
        <w:drawing>
          <wp:inline distT="0" distB="63500" distL="0" distR="0">
            <wp:extent cx="6657975" cy="2876550"/>
            <wp:effectExtent l="0" t="0" r="0" b="0"/>
            <wp:docPr id="559"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310" descr=""/>
                    <pic:cNvPicPr>
                      <a:picLocks noChangeAspect="1" noChangeArrowheads="1"/>
                    </pic:cNvPicPr>
                  </pic:nvPicPr>
                  <pic:blipFill>
                    <a:blip r:embed="rId316"/>
                    <a:stretch>
                      <a:fillRect/>
                    </a:stretch>
                  </pic:blipFill>
                  <pic:spPr bwMode="auto">
                    <a:xfrm>
                      <a:off x="0" y="0"/>
                      <a:ext cx="6657975" cy="2876550"/>
                    </a:xfrm>
                    <a:prstGeom prst="rect">
                      <a:avLst/>
                    </a:prstGeom>
                  </pic:spPr>
                </pic:pic>
              </a:graphicData>
            </a:graphic>
          </wp:inline>
        </w:drawing>
      </w:r>
      <w:r>
        <w:rPr/>
        <w:drawing>
          <wp:inline distT="0" distB="63500" distL="0" distR="0">
            <wp:extent cx="6686550" cy="1409700"/>
            <wp:effectExtent l="0" t="0" r="0" b="0"/>
            <wp:docPr id="560"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311" descr=""/>
                    <pic:cNvPicPr>
                      <a:picLocks noChangeAspect="1" noChangeArrowheads="1"/>
                    </pic:cNvPicPr>
                  </pic:nvPicPr>
                  <pic:blipFill>
                    <a:blip r:embed="rId317"/>
                    <a:stretch>
                      <a:fillRect/>
                    </a:stretch>
                  </pic:blipFill>
                  <pic:spPr bwMode="auto">
                    <a:xfrm>
                      <a:off x="0" y="0"/>
                      <a:ext cx="6686550" cy="1409700"/>
                    </a:xfrm>
                    <a:prstGeom prst="rect">
                      <a:avLst/>
                    </a:prstGeom>
                  </pic:spPr>
                </pic:pic>
              </a:graphicData>
            </a:graphic>
          </wp:inline>
        </w:drawing>
      </w:r>
      <w:r>
        <w:rPr/>
        <w:drawing>
          <wp:inline distT="0" distB="63500" distL="0" distR="0">
            <wp:extent cx="6686550" cy="2505075"/>
            <wp:effectExtent l="0" t="0" r="0" b="0"/>
            <wp:docPr id="561"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312" descr=""/>
                    <pic:cNvPicPr>
                      <a:picLocks noChangeAspect="1" noChangeArrowheads="1"/>
                    </pic:cNvPicPr>
                  </pic:nvPicPr>
                  <pic:blipFill>
                    <a:blip r:embed="rId318"/>
                    <a:stretch>
                      <a:fillRect/>
                    </a:stretch>
                  </pic:blipFill>
                  <pic:spPr bwMode="auto">
                    <a:xfrm>
                      <a:off x="0" y="0"/>
                      <a:ext cx="6686550" cy="2505075"/>
                    </a:xfrm>
                    <a:prstGeom prst="rect">
                      <a:avLst/>
                    </a:prstGeom>
                  </pic:spPr>
                </pic:pic>
              </a:graphicData>
            </a:graphic>
          </wp:inline>
        </w:drawing>
      </w:r>
    </w:p>
    <w:p>
      <w:pPr>
        <w:pStyle w:val="TextBody"/>
        <w:spacing w:before="4" w:after="283"/>
        <w:rPr/>
      </w:pPr>
      <w:r>
        <w:rPr/>
      </w:r>
    </w:p>
    <w:p>
      <w:pPr>
        <w:pStyle w:val="TextBody"/>
        <w:spacing w:before="9"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692275"/>
                <wp:effectExtent l="0" t="0" r="0" b="0"/>
                <wp:wrapNone/>
                <wp:docPr id="562" name="Frame193"/>
                <a:graphic xmlns:a="http://schemas.openxmlformats.org/drawingml/2006/main">
                  <a:graphicData uri="http://schemas.microsoft.com/office/word/2010/wordprocessingShape">
                    <wps:wsp>
                      <wps:cNvSpPr txBox="1"/>
                      <wps:spPr>
                        <a:xfrm>
                          <a:off x="0" y="0"/>
                          <a:ext cx="6480175" cy="1692275"/>
                        </a:xfrm>
                        <a:prstGeom prst="rect"/>
                      </wps:spPr>
                      <wps:txbx>
                        <w:txbxContent>
                          <w:p>
                            <w:pPr>
                              <w:pStyle w:val="TextBody"/>
                              <w:spacing w:before="0" w:after="0"/>
                              <w:rPr/>
                            </w:pPr>
                            <w:r>
                              <w:rPr/>
                              <w:drawing>
                                <wp:inline distT="0" distB="63500" distL="0" distR="0">
                                  <wp:extent cx="14605" cy="390525"/>
                                  <wp:effectExtent l="0" t="0" r="0" b="0"/>
                                  <wp:docPr id="56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313" descr=""/>
                                          <pic:cNvPicPr>
                                            <a:picLocks noChangeAspect="1" noChangeArrowheads="1"/>
                                          </pic:cNvPicPr>
                                        </pic:nvPicPr>
                                        <pic:blipFill>
                                          <a:blip r:embed="rId319"/>
                                          <a:stretch>
                                            <a:fillRect/>
                                          </a:stretch>
                                        </pic:blipFill>
                                        <pic:spPr bwMode="auto">
                                          <a:xfrm>
                                            <a:off x="0" y="0"/>
                                            <a:ext cx="14605" cy="390525"/>
                                          </a:xfrm>
                                          <a:prstGeom prst="rect">
                                            <a:avLst/>
                                          </a:prstGeom>
                                        </pic:spPr>
                                      </pic:pic>
                                    </a:graphicData>
                                  </a:graphic>
                                </wp:inline>
                              </w:drawing>
                            </w:r>
                          </w:p>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5" w:before="2" w:after="283"/>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37"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drawing>
                          <wp:inline distT="0" distB="63500" distL="0" distR="0">
                            <wp:extent cx="14605" cy="390525"/>
                            <wp:effectExtent l="0" t="0" r="0" b="0"/>
                            <wp:docPr id="564"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313" descr=""/>
                                    <pic:cNvPicPr>
                                      <a:picLocks noChangeAspect="1" noChangeArrowheads="1"/>
                                    </pic:cNvPicPr>
                                  </pic:nvPicPr>
                                  <pic:blipFill>
                                    <a:blip r:embed="rId319"/>
                                    <a:stretch>
                                      <a:fillRect/>
                                    </a:stretch>
                                  </pic:blipFill>
                                  <pic:spPr bwMode="auto">
                                    <a:xfrm>
                                      <a:off x="0" y="0"/>
                                      <a:ext cx="14605" cy="390525"/>
                                    </a:xfrm>
                                    <a:prstGeom prst="rect">
                                      <a:avLst/>
                                    </a:prstGeom>
                                  </pic:spPr>
                                </pic:pic>
                              </a:graphicData>
                            </a:graphic>
                          </wp:inline>
                        </w:drawing>
                      </w:r>
                    </w:p>
                    <w:tbl>
                      <w:tblPr>
                        <w:tblW w:w="1846" w:type="dxa"/>
                        <w:jc w:val="left"/>
                        <w:tblInd w:w="0" w:type="dxa"/>
                        <w:tblCellMar>
                          <w:top w:w="28" w:type="dxa"/>
                          <w:left w:w="28" w:type="dxa"/>
                          <w:bottom w:w="28" w:type="dxa"/>
                          <w:right w:w="28" w:type="dxa"/>
                        </w:tblCellMar>
                      </w:tblPr>
                      <w:tblGrid>
                        <w:gridCol w:w="591"/>
                        <w:gridCol w:w="519"/>
                        <w:gridCol w:w="736"/>
                      </w:tblGrid>
                      <w:tr>
                        <w:trPr/>
                        <w:tc>
                          <w:tcPr>
                            <w:tcW w:w="59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spacing w:lineRule="auto" w:line="240" w:before="12" w:after="283"/>
                              <w:jc w:val="left"/>
                              <w:rPr>
                                <w:rFonts w:ascii="Times New Roman;sans-serif" w:hAnsi="Times New Roman;sans-serif"/>
                                <w:b w:val="false"/>
                                <w:color w:val="0000FF"/>
                                <w:sz w:val="18"/>
                                <w:u w:val="single"/>
                              </w:rPr>
                            </w:pPr>
                            <w:r>
                              <w:rPr>
                                <w:rFonts w:ascii="Times New Roman;sans-serif" w:hAnsi="Times New Roman;sans-serif"/>
                                <w:b w:val="false"/>
                                <w:color w:val="0000FF"/>
                                <w:sz w:val="18"/>
                                <w:u w:val="single"/>
                              </w:rPr>
                              <w:t>WEST\300615610.6</w:t>
                            </w:r>
                          </w:p>
                          <w:p>
                            <w:pPr>
                              <w:pStyle w:val="TableContents"/>
                              <w:spacing w:lineRule="auto" w:line="345" w:before="2" w:after="283"/>
                              <w:jc w:val="left"/>
                              <w:rPr/>
                            </w:pPr>
                            <w:r>
                              <w:rPr>
                                <w:rFonts w:ascii="Arial;sans-serif" w:hAnsi="Arial;sans-serif"/>
                                <w:b w:val="false"/>
                                <w:color w:val="0000FF"/>
                                <w:sz w:val="14"/>
                              </w:rPr>
                              <w:t>2</w:t>
                            </w:r>
                            <w:r>
                              <w:rPr>
                                <w:rFonts w:ascii="Times New Roman;sans-serif" w:hAnsi="Times New Roman;sans-serif"/>
                                <w:b w:val="false"/>
                                <w:color w:val="FF0000"/>
                                <w:sz w:val="18"/>
                              </w:rPr>
                              <w:t>2</w:t>
                            </w:r>
                            <w:r>
                              <w:rPr>
                                <w:rFonts w:ascii="Arial;sans-serif" w:hAnsi="Arial;sans-serif"/>
                                <w:b w:val="false"/>
                                <w:color w:val="0000FF"/>
                                <w:sz w:val="14"/>
                              </w:rPr>
                              <w:t>7</w:t>
                            </w:r>
                            <w:r>
                              <w:rPr>
                                <w:rFonts w:ascii="Times New Roman;sans-serif" w:hAnsi="Times New Roman;sans-serif"/>
                                <w:b w:val="false"/>
                                <w:color w:val="FF0000"/>
                                <w:sz w:val="18"/>
                              </w:rPr>
                              <w:t>9</w:t>
                            </w:r>
                            <w:r>
                              <w:rPr>
                                <w:rFonts w:ascii="Arial;sans-serif" w:hAnsi="Arial;sans-serif"/>
                                <w:b w:val="false"/>
                                <w:color w:val="0000FF"/>
                                <w:sz w:val="14"/>
                              </w:rPr>
                              <w:t>8</w:t>
                            </w:r>
                            <w:r>
                              <w:rPr>
                                <w:rFonts w:ascii="Times New Roman;sans-serif" w:hAnsi="Times New Roman;sans-serif"/>
                                <w:b w:val="false"/>
                                <w:color w:val="FF0000"/>
                                <w:sz w:val="18"/>
                              </w:rPr>
                              <w:t>5</w:t>
                            </w:r>
                            <w:r>
                              <w:rPr>
                                <w:rFonts w:ascii="Arial;sans-serif" w:hAnsi="Arial;sans-serif"/>
                                <w:b w:val="false"/>
                                <w:color w:val="0000FF"/>
                                <w:sz w:val="14"/>
                              </w:rPr>
                              <w:t>6</w:t>
                            </w:r>
                            <w:r>
                              <w:rPr>
                                <w:rFonts w:ascii="Times New Roman;sans-serif" w:hAnsi="Times New Roman;sans-serif"/>
                                <w:b w:val="false"/>
                                <w:color w:val="FF0000"/>
                                <w:sz w:val="18"/>
                              </w:rPr>
                              <w:t>0</w:t>
                            </w:r>
                            <w:r>
                              <w:rPr>
                                <w:rFonts w:ascii="Arial;sans-serif" w:hAnsi="Arial;sans-serif"/>
                                <w:b w:val="false"/>
                                <w:color w:val="0000FF"/>
                                <w:sz w:val="14"/>
                              </w:rPr>
                              <w:t>3</w:t>
                            </w:r>
                            <w:r>
                              <w:rPr>
                                <w:rFonts w:ascii="Times New Roman;sans-serif" w:hAnsi="Times New Roman;sans-serif"/>
                                <w:b w:val="false"/>
                                <w:color w:val="FF0000"/>
                                <w:sz w:val="18"/>
                              </w:rPr>
                              <w:t>5</w:t>
                            </w:r>
                            <w:r>
                              <w:rPr>
                                <w:rFonts w:ascii="Arial;sans-serif" w:hAnsi="Arial;sans-serif"/>
                                <w:b w:val="false"/>
                                <w:color w:val="0000FF"/>
                                <w:sz w:val="14"/>
                              </w:rPr>
                              <w:t>8</w:t>
                            </w:r>
                            <w:r>
                              <w:rPr>
                                <w:rFonts w:ascii="Times New Roman;sans-serif" w:hAnsi="Times New Roman;sans-serif"/>
                                <w:b w:val="false"/>
                                <w:color w:val="FF0000"/>
                                <w:sz w:val="18"/>
                              </w:rPr>
                              <w:t>4</w:t>
                            </w:r>
                            <w:r>
                              <w:rPr>
                                <w:rFonts w:ascii="Arial;sans-serif" w:hAnsi="Arial;sans-serif"/>
                                <w:b w:val="false"/>
                                <w:color w:val="0000FF"/>
                                <w:sz w:val="14"/>
                              </w:rPr>
                              <w:t>01</w:t>
                            </w:r>
                            <w:r>
                              <w:rPr>
                                <w:rFonts w:ascii="Times New Roman;sans-serif" w:hAnsi="Times New Roman;sans-serif"/>
                                <w:b w:val="false"/>
                                <w:color w:val="FF0000"/>
                                <w:sz w:val="18"/>
                              </w:rPr>
                              <w:t>9</w:t>
                            </w:r>
                            <w:r>
                              <w:rPr>
                                <w:rFonts w:ascii="Arial;sans-serif" w:hAnsi="Arial;sans-serif"/>
                                <w:b w:val="false"/>
                                <w:color w:val="0000FF"/>
                                <w:sz w:val="14"/>
                              </w:rPr>
                              <w:t>9</w:t>
                            </w:r>
                            <w:r>
                              <w:rPr>
                                <w:rFonts w:ascii="Times New Roman;sans-serif" w:hAnsi="Times New Roman;sans-serif"/>
                                <w:b w:val="false"/>
                                <w:color w:val="FF0000"/>
                                <w:sz w:val="18"/>
                              </w:rPr>
                              <w:t>68</w:t>
                            </w:r>
                            <w:r>
                              <w:rPr>
                                <w:rFonts w:ascii="Arial;sans-serif" w:hAnsi="Arial;sans-serif"/>
                                <w:b w:val="false"/>
                                <w:color w:val="0000FF"/>
                                <w:sz w:val="14"/>
                              </w:rPr>
                              <w:t>v5</w:t>
                            </w:r>
                            <w:r>
                              <w:rPr>
                                <w:rFonts w:ascii="Times New Roman;sans-serif" w:hAnsi="Times New Roman;sans-serif"/>
                                <w:b w:val="false"/>
                                <w:color w:val="FF0000"/>
                                <w:sz w:val="18"/>
                              </w:rPr>
                              <w:t>.</w:t>
                            </w:r>
                          </w:p>
                          <w:p>
                            <w:pPr>
                              <w:pStyle w:val="TableContents"/>
                              <w:spacing w:lineRule="auto" w:line="237" w:before="0" w:after="0"/>
                              <w:jc w:val="left"/>
                              <w:rPr>
                                <w:rFonts w:ascii="Times New Roman;sans-serif" w:hAnsi="Times New Roman;sans-serif"/>
                                <w:b w:val="false"/>
                                <w:color w:val="FF0000"/>
                                <w:sz w:val="18"/>
                              </w:rPr>
                            </w:pPr>
                            <w:r>
                              <w:rPr>
                                <w:rFonts w:ascii="Times New Roman;sans-serif" w:hAnsi="Times New Roman;sans-serif"/>
                                <w:b w:val="false"/>
                                <w:color w:val="FF0000"/>
                                <w:sz w:val="18"/>
                              </w:rPr>
                              <w:t>354271-000499</w:t>
                            </w:r>
                          </w:p>
                        </w:tc>
                      </w:tr>
                    </w:tbl>
                    <w:p>
                      <w:pPr>
                        <w:pStyle w:val="TextBody"/>
                        <w:spacing w:before="0" w:after="283"/>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before="14" w:after="283"/>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 w:after="283"/>
        <w:rPr/>
      </w:pPr>
      <w:r>
        <w:rPr/>
      </w:r>
    </w:p>
    <w:tbl>
      <w:tblPr>
        <w:tblW w:w="9971" w:type="dxa"/>
        <w:jc w:val="left"/>
        <w:tblInd w:w="0" w:type="dxa"/>
        <w:tblCellMar>
          <w:top w:w="28" w:type="dxa"/>
          <w:left w:w="28" w:type="dxa"/>
          <w:bottom w:w="28" w:type="dxa"/>
          <w:right w:w="28" w:type="dxa"/>
        </w:tblCellMar>
      </w:tblPr>
      <w:tblGrid>
        <w:gridCol w:w="1880"/>
        <w:gridCol w:w="1655"/>
        <w:gridCol w:w="1655"/>
        <w:gridCol w:w="1397"/>
        <w:gridCol w:w="1397"/>
        <w:gridCol w:w="1987"/>
      </w:tblGrid>
      <w:tr>
        <w:trPr/>
        <w:tc>
          <w:tcPr>
            <w:tcW w:w="1880"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987" w:type="dxa"/>
            <w:tcBorders/>
            <w:shd w:fill="auto" w:val="clear"/>
            <w:vAlign w:val="center"/>
          </w:tcPr>
          <w:p>
            <w:pPr>
              <w:pStyle w:val="TableContents"/>
              <w:spacing w:before="0" w:after="283"/>
              <w:rPr>
                <w:sz w:val="4"/>
                <w:szCs w:val="4"/>
              </w:rPr>
            </w:pPr>
            <w:r>
              <w:rPr>
                <w:sz w:val="4"/>
                <w:szCs w:val="4"/>
              </w:rPr>
            </w:r>
          </w:p>
        </w:tc>
      </w:tr>
      <w:tr>
        <w:trPr/>
        <w:tc>
          <w:tcPr>
            <w:tcW w:w="9971" w:type="dxa"/>
            <w:gridSpan w:val="6"/>
            <w:tcBorders>
              <w:top w:val="single" w:sz="6" w:space="0" w:color="010101"/>
              <w:left w:val="single" w:sz="6" w:space="0" w:color="010101"/>
              <w:bottom w:val="single" w:sz="6" w:space="0" w:color="010101"/>
              <w:right w:val="single" w:sz="8" w:space="0" w:color="010101"/>
            </w:tcBorders>
            <w:shd w:fill="auto" w:val="clear"/>
            <w:tcMar>
              <w:top w:w="30" w:type="dxa"/>
              <w:bottom w:w="30" w:type="dxa"/>
            </w:tcMar>
            <w:vAlign w:val="center"/>
          </w:tcPr>
          <w:p>
            <w:pPr>
              <w:pStyle w:val="TableContents"/>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Summary report:</w:t>
            </w:r>
          </w:p>
          <w:p>
            <w:pPr>
              <w:pStyle w:val="TableContents"/>
              <w:spacing w:lineRule="auto" w:line="314" w:before="0" w:after="0"/>
              <w:jc w:val="center"/>
              <w:rPr>
                <w:rFonts w:ascii="Times New Roman;sans-serif" w:hAnsi="Times New Roman;sans-serif"/>
                <w:b/>
                <w:color w:val="000000"/>
                <w:sz w:val="24"/>
              </w:rPr>
            </w:pPr>
            <w:r>
              <w:rPr>
                <w:rFonts w:ascii="Times New Roman;sans-serif" w:hAnsi="Times New Roman;sans-serif"/>
                <w:b/>
                <w:color w:val="000000"/>
                <w:sz w:val="24"/>
              </w:rPr>
              <w:t>Litera Compare for Word 11.2.0.54 Document comparison done on 1/5/2023 2:03:48 PM</w:t>
            </w:r>
          </w:p>
        </w:tc>
      </w:tr>
      <w:tr>
        <w:trPr/>
        <w:tc>
          <w:tcPr>
            <w:tcW w:w="9971" w:type="dxa"/>
            <w:gridSpan w:val="6"/>
            <w:tcBorders>
              <w:top w:val="single" w:sz="6" w:space="0" w:color="010101"/>
              <w:left w:val="single" w:sz="6" w:space="0" w:color="010101"/>
              <w:bottom w:val="single" w:sz="6" w:space="0" w:color="010101"/>
              <w:right w:val="single" w:sz="8" w:space="0" w:color="010101"/>
            </w:tcBorders>
            <w:shd w:fill="auto" w:val="clear"/>
            <w:tcMar>
              <w:top w:w="30" w:type="dxa"/>
              <w:bottom w:w="30" w:type="dxa"/>
            </w:tcMar>
            <w:vAlign w:val="center"/>
          </w:tcPr>
          <w:p>
            <w:pPr>
              <w:pStyle w:val="TableContents"/>
              <w:spacing w:lineRule="auto" w:line="254" w:before="0" w:after="0"/>
              <w:jc w:val="left"/>
              <w:rPr/>
            </w:pPr>
            <w:r>
              <w:rPr>
                <w:rFonts w:ascii="Times New Roman;sans-serif" w:hAnsi="Times New Roman;sans-serif"/>
                <w:b/>
                <w:color w:val="000000"/>
                <w:sz w:val="24"/>
              </w:rPr>
              <w:t xml:space="preserve">Style name: </w:t>
            </w:r>
            <w:r>
              <w:rPr>
                <w:rFonts w:ascii="Times New Roman;sans-serif" w:hAnsi="Times New Roman;sans-serif"/>
                <w:b w:val="false"/>
                <w:color w:val="000000"/>
                <w:sz w:val="24"/>
              </w:rPr>
              <w:t>DLAPiper</w:t>
            </w:r>
          </w:p>
        </w:tc>
      </w:tr>
      <w:tr>
        <w:trPr/>
        <w:tc>
          <w:tcPr>
            <w:tcW w:w="9971" w:type="dxa"/>
            <w:gridSpan w:val="6"/>
            <w:tcBorders>
              <w:top w:val="single" w:sz="6" w:space="0" w:color="010101"/>
              <w:left w:val="single" w:sz="6" w:space="0" w:color="010101"/>
              <w:bottom w:val="single" w:sz="6" w:space="0" w:color="010101"/>
              <w:right w:val="single" w:sz="8" w:space="0" w:color="010101"/>
            </w:tcBorders>
            <w:shd w:fill="auto" w:val="clear"/>
            <w:tcMar>
              <w:top w:w="30" w:type="dxa"/>
              <w:bottom w:w="30" w:type="dxa"/>
            </w:tcMar>
            <w:vAlign w:val="center"/>
          </w:tcPr>
          <w:p>
            <w:pPr>
              <w:pStyle w:val="TableContents"/>
              <w:spacing w:lineRule="auto" w:line="254" w:before="1" w:after="283"/>
              <w:jc w:val="left"/>
              <w:rPr/>
            </w:pPr>
            <w:r>
              <w:rPr>
                <w:rFonts w:ascii="Times New Roman;sans-serif" w:hAnsi="Times New Roman;sans-serif"/>
                <w:b/>
                <w:color w:val="000000"/>
                <w:sz w:val="24"/>
              </w:rPr>
              <w:t xml:space="preserve">Intelligent Table Comparison: </w:t>
            </w:r>
            <w:r>
              <w:rPr>
                <w:rFonts w:ascii="Times New Roman;sans-serif" w:hAnsi="Times New Roman;sans-serif"/>
                <w:b w:val="false"/>
                <w:color w:val="000000"/>
                <w:sz w:val="24"/>
              </w:rPr>
              <w:t>Active</w:t>
            </w:r>
          </w:p>
        </w:tc>
      </w:tr>
      <w:tr>
        <w:trPr/>
        <w:tc>
          <w:tcPr>
            <w:tcW w:w="9971" w:type="dxa"/>
            <w:gridSpan w:val="6"/>
            <w:tcBorders>
              <w:top w:val="single" w:sz="6" w:space="0" w:color="010101"/>
              <w:left w:val="single" w:sz="6" w:space="0" w:color="010101"/>
              <w:bottom w:val="single" w:sz="6" w:space="0" w:color="010101"/>
              <w:right w:val="single" w:sz="8" w:space="0" w:color="010101"/>
            </w:tcBorders>
            <w:shd w:fill="auto" w:val="clear"/>
            <w:tcMar>
              <w:top w:w="30" w:type="dxa"/>
              <w:bottom w:w="30" w:type="dxa"/>
            </w:tcMar>
            <w:vAlign w:val="center"/>
          </w:tcPr>
          <w:p>
            <w:pPr>
              <w:pStyle w:val="TableContents"/>
              <w:spacing w:lineRule="auto" w:line="254" w:before="1" w:after="283"/>
              <w:jc w:val="left"/>
              <w:rPr/>
            </w:pPr>
            <w:r>
              <w:rPr>
                <w:rFonts w:ascii="Times New Roman;sans-serif" w:hAnsi="Times New Roman;sans-serif"/>
                <w:b/>
                <w:color w:val="000000"/>
                <w:sz w:val="24"/>
              </w:rPr>
              <w:t xml:space="preserve">Original DMS: </w:t>
            </w:r>
            <w:r>
              <w:rPr>
                <w:rFonts w:ascii="Times New Roman;sans-serif" w:hAnsi="Times New Roman;sans-serif"/>
                <w:b w:val="false"/>
                <w:color w:val="000000"/>
                <w:sz w:val="24"/>
              </w:rPr>
              <w:t>iw://dms.us.dlapiper.com/WEST/300615610/1</w:t>
            </w:r>
          </w:p>
        </w:tc>
      </w:tr>
      <w:tr>
        <w:trPr/>
        <w:tc>
          <w:tcPr>
            <w:tcW w:w="9971" w:type="dxa"/>
            <w:gridSpan w:val="6"/>
            <w:tcBorders>
              <w:top w:val="single" w:sz="6" w:space="0" w:color="010101"/>
              <w:left w:val="single" w:sz="6" w:space="0" w:color="010101"/>
              <w:bottom w:val="single" w:sz="6" w:space="0" w:color="010101"/>
              <w:right w:val="single" w:sz="8" w:space="0" w:color="010101"/>
            </w:tcBorders>
            <w:shd w:fill="auto" w:val="clear"/>
            <w:tcMar>
              <w:top w:w="30" w:type="dxa"/>
              <w:bottom w:w="30" w:type="dxa"/>
            </w:tcMar>
            <w:vAlign w:val="center"/>
          </w:tcPr>
          <w:p>
            <w:pPr>
              <w:pStyle w:val="TableContents"/>
              <w:spacing w:lineRule="auto" w:line="254" w:before="1" w:after="283"/>
              <w:jc w:val="left"/>
              <w:rPr/>
            </w:pPr>
            <w:r>
              <w:rPr>
                <w:rFonts w:ascii="Times New Roman;sans-serif" w:hAnsi="Times New Roman;sans-serif"/>
                <w:b/>
                <w:color w:val="000000"/>
                <w:sz w:val="24"/>
              </w:rPr>
              <w:t xml:space="preserve">Modified DMS: </w:t>
            </w:r>
            <w:r>
              <w:rPr>
                <w:rFonts w:ascii="Times New Roman;sans-serif" w:hAnsi="Times New Roman;sans-serif"/>
                <w:b w:val="false"/>
                <w:color w:val="000000"/>
                <w:sz w:val="24"/>
              </w:rPr>
              <w:t>iw://dms.us.dlapiper.com/WEST/300615610/6</w:t>
            </w:r>
          </w:p>
        </w:tc>
      </w:tr>
      <w:tr>
        <w:trPr/>
        <w:tc>
          <w:tcPr>
            <w:tcW w:w="9971" w:type="dxa"/>
            <w:gridSpan w:val="6"/>
            <w:tcBorders>
              <w:top w:val="single" w:sz="6" w:space="0" w:color="010101"/>
              <w:left w:val="single" w:sz="6" w:space="0" w:color="010101"/>
              <w:right w:val="single" w:sz="8" w:space="0" w:color="010101"/>
            </w:tcBorders>
            <w:shd w:fill="auto" w:val="clear"/>
            <w:tcMar>
              <w:top w:w="30" w:type="dxa"/>
              <w:left w:w="121" w:type="dxa"/>
              <w:bottom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Changes:</w:t>
            </w:r>
          </w:p>
        </w:tc>
      </w:tr>
      <w:tr>
        <w:trPr/>
        <w:tc>
          <w:tcPr>
            <w:tcW w:w="5190" w:type="dxa"/>
            <w:gridSpan w:val="3"/>
            <w:tcBorders>
              <w:top w:val="single" w:sz="6" w:space="0" w:color="010101"/>
              <w:left w:val="single" w:sz="6" w:space="0" w:color="010101"/>
            </w:tcBorders>
            <w:shd w:fill="auto" w:val="clear"/>
            <w:tcMar>
              <w:top w:w="30" w:type="dxa"/>
              <w:left w:w="121"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Add</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297</w:t>
            </w:r>
          </w:p>
        </w:tc>
      </w:tr>
      <w:tr>
        <w:trPr/>
        <w:tc>
          <w:tcPr>
            <w:tcW w:w="5190" w:type="dxa"/>
            <w:gridSpan w:val="3"/>
            <w:tcBorders>
              <w:top w:val="single" w:sz="6" w:space="0" w:color="010101"/>
              <w:left w:val="single" w:sz="6" w:space="0" w:color="010101"/>
            </w:tcBorders>
            <w:shd w:fill="auto" w:val="clear"/>
            <w:tcMar>
              <w:top w:w="30" w:type="dxa"/>
              <w:left w:w="121" w:type="dxa"/>
              <w:bottom w:w="0" w:type="dxa"/>
              <w:right w:w="0" w:type="dxa"/>
            </w:tcMar>
            <w:vAlign w:val="center"/>
          </w:tcPr>
          <w:p>
            <w:pPr>
              <w:pStyle w:val="TableContents"/>
              <w:spacing w:lineRule="auto" w:line="240" w:before="0" w:after="283"/>
              <w:jc w:val="left"/>
              <w:rPr>
                <w:rFonts w:ascii="Times New Roman;sans-serif" w:hAnsi="Times New Roman;sans-serif"/>
                <w:b w:val="false"/>
                <w:strike/>
                <w:color w:val="FF0000"/>
                <w:sz w:val="24"/>
              </w:rPr>
            </w:pPr>
            <w:r>
              <w:rPr>
                <w:rFonts w:ascii="Times New Roman;sans-serif" w:hAnsi="Times New Roman;sans-serif"/>
                <w:b w:val="false"/>
                <w:strike/>
                <w:color w:val="FF0000"/>
                <w:sz w:val="24"/>
              </w:rPr>
              <w:t>Delete</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136</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strike/>
                <w:color w:val="007F00"/>
                <w:sz w:val="24"/>
              </w:rPr>
            </w:pPr>
            <w:r>
              <w:rPr>
                <w:rFonts w:ascii="Times New Roman;sans-serif" w:hAnsi="Times New Roman;sans-serif"/>
                <w:b w:val="false"/>
                <w:strike/>
                <w:color w:val="007F00"/>
                <w:sz w:val="24"/>
              </w:rPr>
              <w:t>Move From</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color w:val="007F00"/>
                <w:sz w:val="24"/>
                <w:u w:val="single"/>
              </w:rPr>
            </w:pPr>
            <w:r>
              <w:rPr>
                <w:rFonts w:ascii="Times New Roman;sans-serif" w:hAnsi="Times New Roman;sans-serif"/>
                <w:b w:val="false"/>
                <w:color w:val="007F00"/>
                <w:sz w:val="24"/>
                <w:u w:val="single"/>
              </w:rPr>
              <w:t>Move To</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Table Insert</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strike/>
                <w:color w:val="FF0000"/>
                <w:sz w:val="24"/>
              </w:rPr>
            </w:pPr>
            <w:r>
              <w:rPr>
                <w:rFonts w:ascii="Times New Roman;sans-serif" w:hAnsi="Times New Roman;sans-serif"/>
                <w:b w:val="false"/>
                <w:strike/>
                <w:color w:val="FF0000"/>
                <w:sz w:val="24"/>
              </w:rPr>
              <w:t>Table Delete</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color w:val="007F00"/>
                <w:sz w:val="24"/>
                <w:u w:val="single"/>
              </w:rPr>
            </w:pPr>
            <w:r>
              <w:rPr>
                <w:rFonts w:ascii="Times New Roman;sans-serif" w:hAnsi="Times New Roman;sans-serif"/>
                <w:b w:val="false"/>
                <w:color w:val="007F00"/>
                <w:sz w:val="24"/>
                <w:u w:val="single"/>
              </w:rPr>
              <w:t>Table moves to</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strike/>
                <w:color w:val="007F00"/>
                <w:sz w:val="24"/>
              </w:rPr>
            </w:pPr>
            <w:r>
              <w:rPr>
                <w:rFonts w:ascii="Times New Roman;sans-serif" w:hAnsi="Times New Roman;sans-serif"/>
                <w:b w:val="false"/>
                <w:strike/>
                <w:color w:val="007F00"/>
                <w:sz w:val="24"/>
              </w:rPr>
              <w:t>Table moves from</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Embedded Graphics (Visio, ChemDraw, Images etc.)</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Embedded Excel</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5190" w:type="dxa"/>
            <w:gridSpan w:val="3"/>
            <w:tcBorders>
              <w:top w:val="single" w:sz="6" w:space="0" w:color="010101"/>
              <w:left w:val="single" w:sz="6" w:space="0" w:color="010101"/>
            </w:tcBorders>
            <w:shd w:fill="auto" w:val="clear"/>
            <w:tcMar>
              <w:top w:w="30" w:type="dxa"/>
              <w:bottom w:w="0" w:type="dxa"/>
              <w:right w:w="0" w:type="dxa"/>
            </w:tcMar>
            <w:vAlign w:val="center"/>
          </w:tcPr>
          <w:p>
            <w:pPr>
              <w:pStyle w:val="TableContents"/>
              <w:spacing w:lineRule="auto" w:line="254"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Format changes</w:t>
            </w:r>
          </w:p>
        </w:tc>
        <w:tc>
          <w:tcPr>
            <w:tcW w:w="4781" w:type="dxa"/>
            <w:gridSpan w:val="3"/>
            <w:tcBorders>
              <w:top w:val="single" w:sz="6" w:space="0" w:color="010101"/>
              <w:left w:val="single" w:sz="6" w:space="0" w:color="010101"/>
              <w:right w:val="single" w:sz="8" w:space="0" w:color="010101"/>
            </w:tcBorders>
            <w:shd w:fill="auto" w:val="clear"/>
            <w:tcMar>
              <w:top w:w="30" w:type="dxa"/>
              <w:left w:w="128"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5190" w:type="dxa"/>
            <w:gridSpan w:val="3"/>
            <w:tcBorders>
              <w:top w:val="single" w:sz="6" w:space="0" w:color="010101"/>
              <w:left w:val="single" w:sz="6" w:space="0" w:color="010101"/>
              <w:bottom w:val="single" w:sz="6" w:space="0" w:color="010101"/>
            </w:tcBorders>
            <w:shd w:fill="auto" w:val="clear"/>
            <w:tcMar>
              <w:top w:w="30" w:type="dxa"/>
              <w:bottom w:w="30" w:type="dxa"/>
              <w:right w:w="0" w:type="dxa"/>
            </w:tcMar>
            <w:vAlign w:val="center"/>
          </w:tcPr>
          <w:p>
            <w:pPr>
              <w:pStyle w:val="TableContents"/>
              <w:spacing w:lineRule="auto" w:line="254" w:before="1" w:after="283"/>
              <w:jc w:val="left"/>
              <w:rPr>
                <w:rFonts w:ascii="Times New Roman;sans-serif" w:hAnsi="Times New Roman;sans-serif"/>
                <w:b/>
                <w:color w:val="000000"/>
                <w:sz w:val="24"/>
              </w:rPr>
            </w:pPr>
            <w:r>
              <w:rPr>
                <w:rFonts w:ascii="Times New Roman;sans-serif" w:hAnsi="Times New Roman;sans-serif"/>
                <w:b/>
                <w:color w:val="000000"/>
                <w:sz w:val="24"/>
              </w:rPr>
              <w:t>Total Changes:</w:t>
            </w:r>
          </w:p>
        </w:tc>
        <w:tc>
          <w:tcPr>
            <w:tcW w:w="4781" w:type="dxa"/>
            <w:gridSpan w:val="3"/>
            <w:tcBorders>
              <w:top w:val="single" w:sz="6" w:space="0" w:color="010101"/>
              <w:left w:val="single" w:sz="6" w:space="0" w:color="010101"/>
              <w:bottom w:val="single" w:sz="6" w:space="0" w:color="010101"/>
              <w:right w:val="single" w:sz="8" w:space="0" w:color="010101"/>
            </w:tcBorders>
            <w:shd w:fill="auto" w:val="clear"/>
            <w:tcMar>
              <w:top w:w="30" w:type="dxa"/>
              <w:left w:w="128"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464</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260"/>
                <wp:effectExtent l="0" t="0" r="0" b="0"/>
                <wp:wrapNone/>
                <wp:docPr id="565"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spacing w:before="0" w:after="0"/>
        <w:ind w:left="0" w:right="0" w:firstLine="720"/>
        <w:rPr/>
      </w:pPr>
      <w:r>
        <w:rPr/>
      </w:r>
    </w:p>
    <w:p>
      <w:pPr>
        <w:pStyle w:val="TextBody"/>
        <w:spacing w:before="0" w:after="0"/>
        <w:ind w:left="0" w:right="0" w:firstLine="720"/>
        <w:rPr/>
      </w:pPr>
      <w:r>
        <w:rPr/>
        <w:drawing>
          <wp:inline distT="0" distB="63500" distL="0" distR="0">
            <wp:extent cx="2857500" cy="495300"/>
            <wp:effectExtent l="0" t="0" r="0" b="0"/>
            <wp:docPr id="566"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314" descr=""/>
                    <pic:cNvPicPr>
                      <a:picLocks noChangeAspect="1" noChangeArrowheads="1"/>
                    </pic:cNvPicPr>
                  </pic:nvPicPr>
                  <pic:blipFill>
                    <a:blip r:embed="rId320"/>
                    <a:stretch>
                      <a:fillRect/>
                    </a:stretch>
                  </pic:blipFill>
                  <pic:spPr bwMode="auto">
                    <a:xfrm>
                      <a:off x="0" y="0"/>
                      <a:ext cx="2857500" cy="495300"/>
                    </a:xfrm>
                    <a:prstGeom prst="rect">
                      <a:avLst/>
                    </a:prstGeom>
                  </pic:spPr>
                </pic:pic>
              </a:graphicData>
            </a:graphic>
          </wp:inline>
        </w:drawing>
      </w:r>
    </w:p>
    <w:p>
      <w:pPr>
        <w:pStyle w:val="TextBody"/>
        <w:spacing w:before="0" w:after="0"/>
        <w:ind w:left="0" w:right="0" w:firstLine="720"/>
        <w:rPr/>
      </w:pPr>
      <w:r>
        <w:rPr/>
      </w:r>
    </w:p>
    <w:p>
      <w:pPr>
        <w:pStyle w:val="TextBody"/>
        <w:spacing w:lineRule="auto" w:line="247" w:before="0" w:after="0"/>
        <w:ind w:left="0" w:right="0" w:hanging="14"/>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March 24, 2023 </w:t>
      </w:r>
    </w:p>
    <w:p>
      <w:pPr>
        <w:pStyle w:val="TextBody"/>
        <w:spacing w:before="0" w:after="0"/>
        <w:rPr/>
      </w:pPr>
      <w:r>
        <w:rPr/>
      </w:r>
    </w:p>
    <w:p>
      <w:pPr>
        <w:pStyle w:val="TextBody"/>
        <w:spacing w:lineRule="auto" w:line="256" w:before="0" w:after="0"/>
        <w:ind w:left="0" w:right="0" w:firstLine="48"/>
        <w:jc w:val="center"/>
        <w:rPr/>
      </w:pPr>
      <w:r>
        <w:rPr>
          <w:rFonts w:ascii="Times New Roman;sans-serif" w:hAnsi="Times New Roman;sans-serif"/>
          <w:b/>
          <w:color w:val="000000"/>
          <w:sz w:val="24"/>
          <w:u w:val="single"/>
        </w:rPr>
        <w:t>Letter Agreement</w:t>
      </w:r>
      <w:r>
        <w:rPr>
          <w:color w:val="000000"/>
        </w:rPr>
        <w:t xml:space="preserve"> </w:t>
      </w:r>
    </w:p>
    <w:p>
      <w:pPr>
        <w:pStyle w:val="TextBody"/>
        <w:spacing w:before="0" w:after="0"/>
        <w:rPr/>
      </w:pPr>
      <w:r>
        <w:rPr/>
      </w:r>
    </w:p>
    <w:p>
      <w:pPr>
        <w:pStyle w:val="TextBody"/>
        <w:spacing w:lineRule="auto" w:line="247" w:before="0" w:after="0"/>
        <w:ind w:left="0" w:right="0" w:firstLine="706"/>
        <w:rPr/>
      </w:pPr>
      <w:r>
        <w:rPr>
          <w:rFonts w:ascii="Times New Roman;sans-serif" w:hAnsi="Times New Roman;sans-serif"/>
          <w:b w:val="false"/>
          <w:color w:val="000000"/>
          <w:sz w:val="22"/>
        </w:rPr>
        <w:t>Reference is made to the Loan and Security Agreement dated as of August 12, 2021 by and between Silicon Valley Bank, now known as Silicon Valley Bridge Bank, N.A</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2"/>
        </w:rPr>
        <w:t>(“</w:t>
      </w:r>
      <w:r>
        <w:rPr>
          <w:rFonts w:ascii="Times New Roman;sans-serif" w:hAnsi="Times New Roman;sans-serif"/>
          <w:b/>
          <w:color w:val="000000"/>
          <w:sz w:val="24"/>
        </w:rPr>
        <w:t>Bank</w:t>
      </w:r>
      <w:r>
        <w:rPr>
          <w:color w:val="000000"/>
        </w:rPr>
        <w:t>”</w:t>
      </w:r>
      <w:r>
        <w:rPr>
          <w:rFonts w:ascii="Times New Roman;sans-serif" w:hAnsi="Times New Roman;sans-serif"/>
          <w:b w:val="false"/>
          <w:color w:val="000000"/>
          <w:sz w:val="22"/>
        </w:rPr>
        <w:t>) and SI-BONE, Inc., a Delaware corporation (“</w:t>
      </w:r>
      <w:r>
        <w:rPr>
          <w:rFonts w:ascii="Times New Roman;sans-serif" w:hAnsi="Times New Roman;sans-serif"/>
          <w:b/>
          <w:color w:val="000000"/>
          <w:sz w:val="24"/>
        </w:rPr>
        <w:t>Borrower</w:t>
      </w:r>
      <w:r>
        <w:rPr>
          <w:color w:val="000000"/>
        </w:rPr>
        <w:t>”</w:t>
      </w:r>
      <w:r>
        <w:rPr>
          <w:rFonts w:ascii="Times New Roman;sans-serif" w:hAnsi="Times New Roman;sans-serif"/>
          <w:b w:val="false"/>
          <w:color w:val="000000"/>
          <w:sz w:val="22"/>
        </w:rPr>
        <w:t>) (as amended modified, supplemented and/or restated from time to time, including, without limitation, pursuant to that certain First Amendment to Loan and Security Agreement dated January 6, 2023, the “</w:t>
      </w:r>
      <w:r>
        <w:rPr>
          <w:rFonts w:ascii="Times New Roman;sans-serif" w:hAnsi="Times New Roman;sans-serif"/>
          <w:b/>
          <w:color w:val="000000"/>
          <w:sz w:val="24"/>
        </w:rPr>
        <w:t>Loan Agreement</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 xml:space="preserve">Capitalized terms used but not otherwise defined herein shall have the same meanings set forth in the Loan Agreement. </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2"/>
        </w:rPr>
        <w:t>1.Bank hereby waives any Event of Default under the Loan Agreement by virtue of Borrower’s failure to comply with Sections 5.4(c), 5.9(a), and 5.9(c)of the Loan Agreement (the “</w:t>
      </w:r>
      <w:r>
        <w:rPr>
          <w:rFonts w:ascii="Times New Roman;sans-serif" w:hAnsi="Times New Roman;sans-serif"/>
          <w:b/>
          <w:color w:val="000000"/>
          <w:sz w:val="24"/>
        </w:rPr>
        <w:t>Depository Covenants</w:t>
      </w:r>
      <w:r>
        <w:rPr>
          <w:color w:val="000000"/>
        </w:rPr>
        <w:t>”</w:t>
      </w:r>
      <w:r>
        <w:rPr>
          <w:rFonts w:ascii="Times New Roman;sans-serif" w:hAnsi="Times New Roman;sans-serif"/>
          <w:b w:val="false"/>
          <w:color w:val="000000"/>
          <w:sz w:val="22"/>
        </w:rPr>
        <w:t>) prior to the date hereof.</w:t>
      </w:r>
      <w:r>
        <w:rPr>
          <w:color w:val="000000"/>
        </w:rPr>
        <w:t xml:space="preserve"> </w:t>
      </w:r>
      <w:r>
        <w:rPr>
          <w:rFonts w:ascii="Times New Roman;sans-serif" w:hAnsi="Times New Roman;sans-serif"/>
          <w:b w:val="false"/>
          <w:color w:val="000000"/>
          <w:sz w:val="22"/>
        </w:rPr>
        <w:t>Bank’s waiver of Borrower’s compliance with the Depository Covenants shall apply only to the foregoing specific period.</w:t>
      </w:r>
      <w:r>
        <w:rPr>
          <w:color w:val="000000"/>
        </w:rPr>
        <w:t xml:space="preserve"> </w:t>
      </w:r>
      <w:r>
        <w:rPr>
          <w:rFonts w:ascii="Times New Roman;sans-serif" w:hAnsi="Times New Roman;sans-serif"/>
          <w:b w:val="false"/>
          <w:color w:val="000000"/>
          <w:sz w:val="22"/>
        </w:rPr>
        <w:t>Except as explicitly set forth herein, Borrower shall continue to comply with requirements set forth in the Loan Agreement pertaining to accounts of Borrower maintained outside of Bank including, without limitation, those requirements pertaining to (i) notifications to Bank of the establishment of any account with a financial institution other than Bank or (ii) delivery of a fully-executed account control agreement with respect to each such account.</w:t>
      </w:r>
    </w:p>
    <w:p>
      <w:pPr>
        <w:pStyle w:val="TextBody"/>
        <w:spacing w:before="0" w:after="0"/>
        <w:rPr/>
      </w:pPr>
      <w:r>
        <w:rPr/>
      </w:r>
    </w:p>
    <w:p>
      <w:pPr>
        <w:pStyle w:val="TextBody"/>
        <w:spacing w:lineRule="auto" w:line="276"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2.Notwithstanding any terms in the Loan Agreement or the other Loan Documents to the contrary, Bank hereby agrees that Borrower shall have (a) for any accounts opened by Borrower with a financial institution other than Bank prior to the date of this letter agreement, 45 days from the date of this letter agreement to deliver fully-executed account control agreements with respect to such accounts, and (b) for any accounts opened by Borrower with a financial institution other than Bank on or after the date of this letter agreement, 10 days from the date that the applicable account is opened to deliver a fully executed account control agreement with respect to such account.</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2"/>
        </w:rPr>
        <w:t>3.Notwithstanding Section 5.4(c) of the Loan Agreement, or anything to the contrary therein, if, and only if, no amounts are outstanding under the Revolving Line, Borrower shall not be required to direct Account Debtors to or deliver proceeds of Accounts to the Cash Collateral Account, nor is Borrower required to sweep Account proceeds from third party accounts maintained in compliance with this letter agreement, to the Cash Collateral Account (or accounts with Bank or Bank’s Affiliates), subject to Borrower’s compliance with Section 5.9 of the Loan Agreement, as amended by this letter agreement.</w:t>
      </w:r>
      <w:r>
        <w:rPr>
          <w:color w:val="000000"/>
        </w:rPr>
        <w:t xml:space="preserve"> </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4"/>
        </w:rPr>
        <w:t>4.</w:t>
      </w:r>
      <w:r>
        <w:rPr>
          <w:rFonts w:ascii="Times New Roman;sans-serif" w:hAnsi="Times New Roman;sans-serif"/>
          <w:b w:val="false"/>
          <w:color w:val="000000"/>
          <w:sz w:val="22"/>
        </w:rPr>
        <w:t xml:space="preserve">At all times when any amounts are outstanding under the Revolving Line, Borrower shall maintain no more than Ten Million Dollars ($10,000,000) in aggregate in accounts with financial institutions in the United States other than the Bank or Bank’s Affiliates. </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260"/>
                <wp:effectExtent l="0" t="0" r="0" b="0"/>
                <wp:wrapNone/>
                <wp:docPr id="567" name="Frame19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ind w:left="0" w:right="0" w:hanging="360"/>
        <w:rPr/>
      </w:pPr>
      <w:r>
        <w:rPr>
          <w:rFonts w:ascii="Times New Roman;sans-serif" w:hAnsi="Times New Roman;sans-serif"/>
          <w:b w:val="false"/>
          <w:color w:val="000000"/>
          <w:sz w:val="22"/>
        </w:rPr>
        <w:t>5.Notwithstanding the terms of the Depository Covenants in the Loan Agreement to the contrary, solely with respect to accounts of Borrower, Bank hereby agrees that Borrower shall only be required to maintain its primary operating accounts, depository accounts and excess cash with Bank</w:t>
      </w:r>
      <w:r>
        <w:rPr>
          <w:color w:val="000000"/>
        </w:rPr>
        <w:t xml:space="preserve"> </w:t>
      </w:r>
      <w:r>
        <w:rPr>
          <w:rFonts w:ascii="Times New Roman;sans-serif" w:hAnsi="Times New Roman;sans-serif"/>
          <w:b w:val="false"/>
          <w:color w:val="000000"/>
          <w:sz w:val="22"/>
        </w:rPr>
        <w:t>or Bank’s Affiliates, which shall represent at least 50.0% of the Dollar value of all of Borrower’s accounts at all financial institutions.</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2"/>
        </w:rPr>
        <w:t>6.Except for the limited purpose expressly set forth herein, this letter agreement shall in no way limit, amend or waive any other provision of the Loan Agreement or any of the Loan Documents, or any of Bank’s rights stated therein.</w:t>
      </w:r>
      <w:r>
        <w:rPr>
          <w:color w:val="000000"/>
        </w:rPr>
        <w:t xml:space="preserve"> </w:t>
      </w:r>
      <w:r>
        <w:rPr>
          <w:rFonts w:ascii="Times New Roman;sans-serif" w:hAnsi="Times New Roman;sans-serif"/>
          <w:b w:val="false"/>
          <w:color w:val="000000"/>
          <w:sz w:val="22"/>
        </w:rPr>
        <w:t xml:space="preserve">This letter agreement shall be deemed to be a Loan Document. </w:t>
      </w:r>
    </w:p>
    <w:p>
      <w:pPr>
        <w:pStyle w:val="TextBody"/>
        <w:spacing w:before="0" w:after="0"/>
        <w:rPr/>
      </w:pPr>
      <w:r>
        <w:rPr/>
      </w:r>
    </w:p>
    <w:p>
      <w:pPr>
        <w:pStyle w:val="TextBody"/>
        <w:spacing w:lineRule="auto" w:line="276" w:before="0" w:after="0"/>
        <w:ind w:left="0" w:right="0" w:hanging="360"/>
        <w:rPr/>
      </w:pPr>
      <w:r>
        <w:rPr>
          <w:rFonts w:ascii="Times New Roman;sans-serif" w:hAnsi="Times New Roman;sans-serif"/>
          <w:b w:val="false"/>
          <w:color w:val="000000"/>
          <w:sz w:val="22"/>
        </w:rPr>
        <w:t>7.In consideration for Bank’s agreements hereunder, Borrower hereby forever relieves, releases, and discharges Bank, its predecessors in interest,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arising out of or in any manner whatsoever connected with or related to facts, circumstances, issues, controversies or claims existing or arising from the beginning of time through and including the date of execution of this letter agreement.</w:t>
      </w:r>
      <w:r>
        <w:rPr>
          <w:color w:val="000000"/>
        </w:rPr>
        <w:t xml:space="preserve"> </w:t>
      </w:r>
      <w:r>
        <w:rPr>
          <w:rFonts w:ascii="Times New Roman;sans-serif" w:hAnsi="Times New Roman;sans-serif"/>
          <w:b w:val="false"/>
          <w:color w:val="000000"/>
          <w:sz w:val="22"/>
        </w:rPr>
        <w:t>Borrower expressly acknowledges and waives any and all rights under Section 1542 of the California Civil Code, which provides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color w:val="000000"/>
        </w:rPr>
        <w:t xml:space="preserve"> </w:t>
      </w:r>
      <w:r>
        <w:rPr>
          <w:rFonts w:ascii="Times New Roman;sans-serif" w:hAnsi="Times New Roman;sans-serif"/>
          <w:b w:val="false"/>
          <w:color w:val="000000"/>
          <w:sz w:val="22"/>
        </w:rPr>
        <w:t xml:space="preserve">Borrower expressly, knowingly, and intentionally waive any and all rights, benefits, and protections of Section 1542 of the California Civil Code and of any other state or federal statute or common law principle limiting the scope of a general release. </w:t>
      </w:r>
    </w:p>
    <w:p>
      <w:pPr>
        <w:pStyle w:val="TextBody"/>
        <w:spacing w:before="0" w:after="0"/>
        <w:rPr/>
      </w:pPr>
      <w:r>
        <w:rPr/>
      </w:r>
    </w:p>
    <w:p>
      <w:pPr>
        <w:pStyle w:val="TextBody"/>
        <w:spacing w:lineRule="auto" w:line="276"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 xml:space="preserve">8.This letter agreement shall be effective as of the date first written above. </w:t>
      </w:r>
    </w:p>
    <w:p>
      <w:pPr>
        <w:pStyle w:val="TextBody"/>
        <w:spacing w:before="0" w:after="0"/>
        <w:rPr/>
      </w:pPr>
      <w:r>
        <w:rPr/>
      </w:r>
    </w:p>
    <w:p>
      <w:pPr>
        <w:pStyle w:val="TextBody"/>
        <w:spacing w:before="0" w:after="0"/>
        <w:rPr/>
      </w:pPr>
      <w:r>
        <w:rPr/>
      </w:r>
    </w:p>
    <w:p>
      <w:pPr>
        <w:pStyle w:val="TextBody"/>
        <w:spacing w:lineRule="auto" w:line="247" w:before="0" w:after="0"/>
        <w:ind w:left="0" w:right="0" w:hanging="14"/>
        <w:rPr>
          <w:rFonts w:ascii="Times New Roman;sans-serif" w:hAnsi="Times New Roman;sans-serif"/>
          <w:b w:val="false"/>
          <w:color w:val="000000"/>
          <w:sz w:val="22"/>
        </w:rPr>
      </w:pPr>
      <w:r>
        <w:rPr>
          <w:rFonts w:ascii="Times New Roman;sans-serif" w:hAnsi="Times New Roman;sans-serif"/>
          <w:b w:val="false"/>
          <w:color w:val="000000"/>
          <w:sz w:val="22"/>
        </w:rPr>
        <w:t xml:space="preserve">Sincerely, </w:t>
      </w:r>
    </w:p>
    <w:p>
      <w:pPr>
        <w:pStyle w:val="TextBody"/>
        <w:spacing w:before="0" w:after="0"/>
        <w:rPr/>
      </w:pPr>
      <w:r>
        <w:rPr/>
      </w:r>
    </w:p>
    <w:p>
      <w:pPr>
        <w:pStyle w:val="TextBody"/>
        <w:spacing w:lineRule="auto" w:line="256" w:before="0" w:after="0"/>
        <w:ind w:left="0" w:right="0" w:hanging="15"/>
        <w:rPr>
          <w:rFonts w:ascii="Times New Roman;sans-serif" w:hAnsi="Times New Roman;sans-serif"/>
          <w:b/>
          <w:color w:val="000000"/>
          <w:sz w:val="24"/>
        </w:rPr>
      </w:pPr>
      <w:r>
        <w:rPr>
          <w:rFonts w:ascii="Times New Roman;sans-serif" w:hAnsi="Times New Roman;sans-serif"/>
          <w:b/>
          <w:color w:val="000000"/>
          <w:sz w:val="24"/>
        </w:rPr>
        <w:t xml:space="preserve">SILICON VALLEY BRIDGE BANK, N.A. </w:t>
      </w:r>
    </w:p>
    <w:p>
      <w:pPr>
        <w:pStyle w:val="TextBody"/>
        <w:spacing w:before="0" w:after="0"/>
        <w:rPr/>
      </w:pPr>
      <w:r>
        <w:rPr/>
      </w:r>
    </w:p>
    <w:p>
      <w:pPr>
        <w:pStyle w:val="TextBody"/>
        <w:spacing w:before="0" w:after="0"/>
        <w:rPr/>
      </w:pPr>
      <w:r>
        <w:rPr/>
      </w:r>
    </w:p>
    <w:p>
      <w:pPr>
        <w:pStyle w:val="TextBody"/>
        <w:spacing w:lineRule="auto" w:line="247"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 xml:space="preserve">By /s/ Mark Davis </w:t>
      </w:r>
    </w:p>
    <w:p>
      <w:pPr>
        <w:pStyle w:val="TextBody"/>
        <w:spacing w:lineRule="auto" w:line="247"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 xml:space="preserve">Name: Mark Davis </w:t>
      </w:r>
    </w:p>
    <w:p>
      <w:pPr>
        <w:pStyle w:val="TextBody"/>
        <w:spacing w:lineRule="auto" w:line="247" w:before="0" w:after="0"/>
        <w:ind w:left="0" w:right="0" w:firstLine="4320"/>
        <w:rPr>
          <w:rFonts w:ascii="Times New Roman;sans-serif" w:hAnsi="Times New Roman;sans-serif"/>
          <w:b w:val="false"/>
          <w:color w:val="000000"/>
          <w:sz w:val="22"/>
        </w:rPr>
      </w:pPr>
      <w:r>
        <w:rPr>
          <w:rFonts w:ascii="Times New Roman;sans-serif" w:hAnsi="Times New Roman;sans-serif"/>
          <w:b w:val="false"/>
          <w:color w:val="000000"/>
          <w:sz w:val="22"/>
        </w:rPr>
        <w:t xml:space="preserve">Title: Senior Vice President </w:t>
      </w:r>
    </w:p>
    <w:p>
      <w:pPr>
        <w:pStyle w:val="TextBody"/>
        <w:spacing w:before="0" w:after="0"/>
        <w:rPr/>
      </w:pPr>
      <w:r>
        <w:rPr/>
      </w:r>
    </w:p>
    <w:p>
      <w:pPr>
        <w:pStyle w:val="TextBody"/>
        <w:spacing w:before="0" w:after="0"/>
        <w:rPr/>
      </w:pPr>
      <w:r>
        <w:rPr/>
      </w:r>
    </w:p>
    <w:p>
      <w:pPr>
        <w:pStyle w:val="TextBody"/>
        <w:spacing w:lineRule="auto" w:line="247" w:before="0" w:after="0"/>
        <w:ind w:left="0" w:right="0" w:hanging="14"/>
        <w:rPr>
          <w:rFonts w:ascii="Times New Roman;sans-serif" w:hAnsi="Times New Roman;sans-serif"/>
          <w:b w:val="false"/>
          <w:color w:val="000000"/>
          <w:sz w:val="22"/>
        </w:rPr>
      </w:pPr>
      <w:r>
        <w:rPr>
          <w:rFonts w:ascii="Times New Roman;sans-serif" w:hAnsi="Times New Roman;sans-serif"/>
          <w:b w:val="false"/>
          <w:color w:val="000000"/>
          <w:sz w:val="22"/>
        </w:rPr>
        <w:t xml:space="preserve">Acknowledged and agreed: </w:t>
      </w:r>
    </w:p>
    <w:p>
      <w:pPr>
        <w:pStyle w:val="TextBody"/>
        <w:spacing w:before="0" w:after="0"/>
        <w:rPr/>
      </w:pPr>
      <w:r>
        <w:rPr/>
      </w:r>
    </w:p>
    <w:p>
      <w:pPr>
        <w:pStyle w:val="TextBody"/>
        <w:spacing w:lineRule="auto" w:line="256" w:before="0" w:after="0"/>
        <w:ind w:left="0" w:right="0" w:hanging="15"/>
        <w:rPr>
          <w:rFonts w:ascii="Times New Roman;sans-serif" w:hAnsi="Times New Roman;sans-serif"/>
          <w:b/>
          <w:color w:val="000000"/>
          <w:sz w:val="24"/>
        </w:rPr>
      </w:pPr>
      <w:r>
        <w:rPr>
          <w:rFonts w:ascii="Times New Roman;sans-serif" w:hAnsi="Times New Roman;sans-serif"/>
          <w:b/>
          <w:color w:val="000000"/>
          <w:sz w:val="24"/>
        </w:rPr>
        <w:t xml:space="preserve">SI-BONE, INC. </w:t>
      </w:r>
    </w:p>
    <w:p>
      <w:pPr>
        <w:pStyle w:val="TextBody"/>
        <w:spacing w:before="0" w:after="0"/>
        <w:rPr/>
      </w:pPr>
      <w:r>
        <w:rPr/>
      </w:r>
    </w:p>
    <w:p>
      <w:pPr>
        <w:pStyle w:val="TextBody"/>
        <w:spacing w:before="0" w:after="0"/>
        <w:rPr/>
      </w:pPr>
      <w:r>
        <w:rPr/>
      </w:r>
    </w:p>
    <w:p>
      <w:pPr>
        <w:pStyle w:val="TextBody"/>
        <w:spacing w:lineRule="auto" w:line="247" w:before="0" w:after="0"/>
        <w:ind w:left="0" w:right="0" w:hanging="14"/>
        <w:rPr>
          <w:rFonts w:ascii="Times New Roman;sans-serif" w:hAnsi="Times New Roman;sans-serif"/>
          <w:b w:val="false"/>
          <w:color w:val="000000"/>
          <w:sz w:val="22"/>
        </w:rPr>
      </w:pPr>
      <w:r>
        <w:rPr>
          <w:rFonts w:ascii="Times New Roman;sans-serif" w:hAnsi="Times New Roman;sans-serif"/>
          <w:b w:val="false"/>
          <w:color w:val="000000"/>
          <w:sz w:val="22"/>
        </w:rPr>
        <w:t>By /s/ Anshul Maheshwari</w:t>
      </w:r>
    </w:p>
    <w:p>
      <w:pPr>
        <w:pStyle w:val="TextBody"/>
        <w:spacing w:lineRule="auto" w:line="247" w:before="0" w:after="0"/>
        <w:ind w:left="0" w:right="0" w:hanging="14"/>
        <w:rPr>
          <w:rFonts w:ascii="Times New Roman;sans-serif" w:hAnsi="Times New Roman;sans-serif"/>
          <w:b w:val="false"/>
          <w:color w:val="000000"/>
          <w:sz w:val="22"/>
        </w:rPr>
      </w:pPr>
      <w:r>
        <w:rPr>
          <w:rFonts w:ascii="Times New Roman;sans-serif" w:hAnsi="Times New Roman;sans-serif"/>
          <w:b w:val="false"/>
          <w:color w:val="000000"/>
          <w:sz w:val="22"/>
        </w:rPr>
        <w:t xml:space="preserve">Name: Anshul Maheshwari </w:t>
      </w:r>
    </w:p>
    <w:p>
      <w:pPr>
        <w:pStyle w:val="TextBody"/>
        <w:spacing w:lineRule="auto" w:line="247"/>
        <w:ind w:left="0" w:right="0" w:hanging="14"/>
        <w:rPr>
          <w:rFonts w:ascii="Times New Roman;sans-serif" w:hAnsi="Times New Roman;sans-serif"/>
          <w:b w:val="false"/>
          <w:color w:val="000000"/>
          <w:sz w:val="22"/>
        </w:rPr>
      </w:pPr>
      <w:r>
        <w:rPr>
          <w:rFonts w:ascii="Times New Roman;sans-serif" w:hAnsi="Times New Roman;sans-serif"/>
          <w:b w:val="false"/>
          <w:color w:val="000000"/>
          <w:sz w:val="22"/>
        </w:rPr>
        <w:t xml:space="preserve">Title: CFO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568" name="Frame19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Laura A. Francis, certify that:</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9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9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9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36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9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ind w:left="0" w:right="0" w:hanging="90"/>
        <w:jc w:val="both"/>
        <w:rPr>
          <w:color w:val="000000"/>
        </w:rPr>
      </w:pPr>
      <w:r>
        <w:rPr>
          <w:color w:val="000000"/>
        </w:rPr>
        <w:t> </w:t>
      </w:r>
    </w:p>
    <w:tbl>
      <w:tblPr>
        <w:tblW w:w="4817"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ind w:left="0" w:right="0" w:hanging="9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260"/>
                <wp:effectExtent l="0" t="0" r="0" b="0"/>
                <wp:wrapNone/>
                <wp:docPr id="569" name="Frame19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right"/>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Anshul Maheshwari, certify that:</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SI-BONE,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9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9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9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36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9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center"/>
        <w:rPr/>
      </w:pPr>
      <w:r>
        <w:rPr/>
      </w:r>
    </w:p>
    <w:p>
      <w:pPr>
        <w:pStyle w:val="TextBody"/>
        <w:spacing w:lineRule="auto" w:line="288" w:before="0" w:after="0"/>
        <w:rPr>
          <w:color w:val="000000"/>
        </w:rPr>
      </w:pPr>
      <w:r>
        <w:rPr>
          <w:color w:val="000000"/>
        </w:rPr>
        <w:t> </w:t>
      </w:r>
    </w:p>
    <w:tbl>
      <w:tblPr>
        <w:tblW w:w="4761"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256"/>
        <w:gridCol w:w="256"/>
        <w:gridCol w:w="256"/>
        <w:gridCol w:w="256"/>
        <w:gridCol w:w="256"/>
        <w:gridCol w:w="256"/>
        <w:gridCol w:w="256"/>
        <w:gridCol w:w="256"/>
        <w:gridCol w:w="36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260"/>
                <wp:effectExtent l="0" t="0" r="0" b="0"/>
                <wp:wrapNone/>
                <wp:docPr id="570" name="Frame1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AND PRINCIPAL FINANCIAL OFFICER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certify that, to the best of her or his knowledge: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Company’s Quarterly Report on Form 10-Q for the period ended March 31, 2023, to which this Certification is attached as Exhibit 32.1 (the “Periodic Report”), fully complies with the requirements of Section 13(a) or Section 15(d) of the Exchange Act; and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Periodic Report fairly presents, in all material respects, the financial condition and results of operations of the Company. </w:t>
      </w:r>
    </w:p>
    <w:tbl>
      <w:tblPr>
        <w:tblW w:w="5477" w:type="dxa"/>
        <w:jc w:val="left"/>
        <w:tblInd w:w="0" w:type="dxa"/>
        <w:tblCellMar>
          <w:top w:w="28" w:type="dxa"/>
          <w:left w:w="28" w:type="dxa"/>
          <w:bottom w:w="28" w:type="dxa"/>
          <w:right w:w="28" w:type="dxa"/>
        </w:tblCellMar>
      </w:tblPr>
      <w:tblGrid>
        <w:gridCol w:w="200"/>
        <w:gridCol w:w="177"/>
        <w:gridCol w:w="178"/>
        <w:gridCol w:w="379"/>
        <w:gridCol w:w="379"/>
        <w:gridCol w:w="381"/>
        <w:gridCol w:w="109"/>
        <w:gridCol w:w="109"/>
        <w:gridCol w:w="109"/>
        <w:gridCol w:w="109"/>
        <w:gridCol w:w="109"/>
        <w:gridCol w:w="109"/>
        <w:gridCol w:w="219"/>
        <w:gridCol w:w="219"/>
        <w:gridCol w:w="219"/>
        <w:gridCol w:w="385"/>
        <w:gridCol w:w="385"/>
        <w:gridCol w:w="385"/>
        <w:gridCol w:w="385"/>
        <w:gridCol w:w="385"/>
        <w:gridCol w:w="547"/>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Laura A. Francis</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Laura A. Francis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6"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Anshul Maheshwari</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 </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571" name="Frame1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Arial">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59839/000119312518303020/d641574dex31.htm" TargetMode="External"/><Relationship Id="rId3" Type="http://schemas.openxmlformats.org/officeDocument/2006/relationships/hyperlink" Target="http://www.sec.gov/Archives/edgar/data/1459839/000119312518293978/d452987dex34.htm" TargetMode="External"/><Relationship Id="rId4" Type="http://schemas.openxmlformats.org/officeDocument/2006/relationships/hyperlink" Target="http://www.sec.gov/Archives/edgar/data/1459839/000119312518293978/d452987dex41.htm" TargetMode="External"/><Relationship Id="rId5" Type="http://schemas.openxmlformats.org/officeDocument/2006/relationships/hyperlink" Target="http://www.sec.gov/Archives/edgar/data/1459839/000119312518303020/d641574dex31.htm" TargetMode="External"/><Relationship Id="rId6" Type="http://schemas.openxmlformats.org/officeDocument/2006/relationships/hyperlink" Target="http://www.sec.gov/Archives/edgar/data/1459839/000119312518293978/d452987dex34.htm"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pn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png"/><Relationship Id="rId37" Type="http://schemas.openxmlformats.org/officeDocument/2006/relationships/image" Target="media/image31.png"/><Relationship Id="rId38" Type="http://schemas.openxmlformats.org/officeDocument/2006/relationships/image" Target="media/image32.png"/><Relationship Id="rId39" Type="http://schemas.openxmlformats.org/officeDocument/2006/relationships/image" Target="media/image33.png"/><Relationship Id="rId40" Type="http://schemas.openxmlformats.org/officeDocument/2006/relationships/image" Target="media/image34.png"/><Relationship Id="rId41" Type="http://schemas.openxmlformats.org/officeDocument/2006/relationships/image" Target="media/image35.png"/><Relationship Id="rId42" Type="http://schemas.openxmlformats.org/officeDocument/2006/relationships/image" Target="media/image36.png"/><Relationship Id="rId43" Type="http://schemas.openxmlformats.org/officeDocument/2006/relationships/image" Target="media/image37.png"/><Relationship Id="rId44" Type="http://schemas.openxmlformats.org/officeDocument/2006/relationships/image" Target="media/image38.png"/><Relationship Id="rId45" Type="http://schemas.openxmlformats.org/officeDocument/2006/relationships/image" Target="media/image39.png"/><Relationship Id="rId46" Type="http://schemas.openxmlformats.org/officeDocument/2006/relationships/image" Target="media/image40.png"/><Relationship Id="rId47" Type="http://schemas.openxmlformats.org/officeDocument/2006/relationships/image" Target="media/image41.png"/><Relationship Id="rId48" Type="http://schemas.openxmlformats.org/officeDocument/2006/relationships/image" Target="media/image42.png"/><Relationship Id="rId49" Type="http://schemas.openxmlformats.org/officeDocument/2006/relationships/image" Target="media/image43.png"/><Relationship Id="rId50" Type="http://schemas.openxmlformats.org/officeDocument/2006/relationships/image" Target="media/image44.png"/><Relationship Id="rId51" Type="http://schemas.openxmlformats.org/officeDocument/2006/relationships/image" Target="media/image45.png"/><Relationship Id="rId52" Type="http://schemas.openxmlformats.org/officeDocument/2006/relationships/image" Target="media/image46.png"/><Relationship Id="rId53" Type="http://schemas.openxmlformats.org/officeDocument/2006/relationships/image" Target="media/image47.png"/><Relationship Id="rId54" Type="http://schemas.openxmlformats.org/officeDocument/2006/relationships/image" Target="media/image48.png"/><Relationship Id="rId55" Type="http://schemas.openxmlformats.org/officeDocument/2006/relationships/image" Target="media/image49.png"/><Relationship Id="rId56" Type="http://schemas.openxmlformats.org/officeDocument/2006/relationships/image" Target="media/image50.png"/><Relationship Id="rId57" Type="http://schemas.openxmlformats.org/officeDocument/2006/relationships/image" Target="media/image51.png"/><Relationship Id="rId58" Type="http://schemas.openxmlformats.org/officeDocument/2006/relationships/image" Target="media/image52.png"/><Relationship Id="rId59" Type="http://schemas.openxmlformats.org/officeDocument/2006/relationships/image" Target="media/image53.png"/><Relationship Id="rId60" Type="http://schemas.openxmlformats.org/officeDocument/2006/relationships/image" Target="media/image54.png"/><Relationship Id="rId61" Type="http://schemas.openxmlformats.org/officeDocument/2006/relationships/image" Target="media/image55.png"/><Relationship Id="rId62" Type="http://schemas.openxmlformats.org/officeDocument/2006/relationships/image" Target="media/image56.png"/><Relationship Id="rId63" Type="http://schemas.openxmlformats.org/officeDocument/2006/relationships/image" Target="media/image57.png"/><Relationship Id="rId64" Type="http://schemas.openxmlformats.org/officeDocument/2006/relationships/image" Target="media/image58.png"/><Relationship Id="rId65" Type="http://schemas.openxmlformats.org/officeDocument/2006/relationships/image" Target="media/image59.png"/><Relationship Id="rId66" Type="http://schemas.openxmlformats.org/officeDocument/2006/relationships/image" Target="media/image60.png"/><Relationship Id="rId67" Type="http://schemas.openxmlformats.org/officeDocument/2006/relationships/image" Target="media/image61.png"/><Relationship Id="rId68" Type="http://schemas.openxmlformats.org/officeDocument/2006/relationships/image" Target="media/image62.png"/><Relationship Id="rId69" Type="http://schemas.openxmlformats.org/officeDocument/2006/relationships/image" Target="media/image63.png"/><Relationship Id="rId70" Type="http://schemas.openxmlformats.org/officeDocument/2006/relationships/image" Target="media/image64.png"/><Relationship Id="rId71" Type="http://schemas.openxmlformats.org/officeDocument/2006/relationships/image" Target="media/image65.png"/><Relationship Id="rId72" Type="http://schemas.openxmlformats.org/officeDocument/2006/relationships/image" Target="media/image66.png"/><Relationship Id="rId73" Type="http://schemas.openxmlformats.org/officeDocument/2006/relationships/image" Target="media/image67.png"/><Relationship Id="rId74" Type="http://schemas.openxmlformats.org/officeDocument/2006/relationships/image" Target="media/image68.png"/><Relationship Id="rId75" Type="http://schemas.openxmlformats.org/officeDocument/2006/relationships/image" Target="media/image69.png"/><Relationship Id="rId76" Type="http://schemas.openxmlformats.org/officeDocument/2006/relationships/image" Target="media/image70.png"/><Relationship Id="rId77" Type="http://schemas.openxmlformats.org/officeDocument/2006/relationships/image" Target="media/image71.png"/><Relationship Id="rId78" Type="http://schemas.openxmlformats.org/officeDocument/2006/relationships/image" Target="media/image72.png"/><Relationship Id="rId79" Type="http://schemas.openxmlformats.org/officeDocument/2006/relationships/image" Target="media/image73.png"/><Relationship Id="rId80" Type="http://schemas.openxmlformats.org/officeDocument/2006/relationships/image" Target="media/image74.png"/><Relationship Id="rId81" Type="http://schemas.openxmlformats.org/officeDocument/2006/relationships/image" Target="media/image75.png"/><Relationship Id="rId82" Type="http://schemas.openxmlformats.org/officeDocument/2006/relationships/image" Target="media/image76.png"/><Relationship Id="rId83" Type="http://schemas.openxmlformats.org/officeDocument/2006/relationships/image" Target="media/image77.png"/><Relationship Id="rId84" Type="http://schemas.openxmlformats.org/officeDocument/2006/relationships/image" Target="media/image78.png"/><Relationship Id="rId85" Type="http://schemas.openxmlformats.org/officeDocument/2006/relationships/image" Target="media/image79.png"/><Relationship Id="rId86" Type="http://schemas.openxmlformats.org/officeDocument/2006/relationships/image" Target="media/image80.png"/><Relationship Id="rId87" Type="http://schemas.openxmlformats.org/officeDocument/2006/relationships/image" Target="media/image81.png"/><Relationship Id="rId88" Type="http://schemas.openxmlformats.org/officeDocument/2006/relationships/image" Target="media/image82.png"/><Relationship Id="rId89" Type="http://schemas.openxmlformats.org/officeDocument/2006/relationships/image" Target="media/image83.png"/><Relationship Id="rId90" Type="http://schemas.openxmlformats.org/officeDocument/2006/relationships/image" Target="media/image84.png"/><Relationship Id="rId91" Type="http://schemas.openxmlformats.org/officeDocument/2006/relationships/image" Target="media/image85.png"/><Relationship Id="rId92" Type="http://schemas.openxmlformats.org/officeDocument/2006/relationships/image" Target="media/image86.png"/><Relationship Id="rId93" Type="http://schemas.openxmlformats.org/officeDocument/2006/relationships/image" Target="media/image87.png"/><Relationship Id="rId94" Type="http://schemas.openxmlformats.org/officeDocument/2006/relationships/image" Target="media/image88.png"/><Relationship Id="rId95" Type="http://schemas.openxmlformats.org/officeDocument/2006/relationships/image" Target="media/image89.png"/><Relationship Id="rId96" Type="http://schemas.openxmlformats.org/officeDocument/2006/relationships/image" Target="media/image90.png"/><Relationship Id="rId97" Type="http://schemas.openxmlformats.org/officeDocument/2006/relationships/image" Target="media/image91.png"/><Relationship Id="rId98" Type="http://schemas.openxmlformats.org/officeDocument/2006/relationships/image" Target="media/image92.png"/><Relationship Id="rId99" Type="http://schemas.openxmlformats.org/officeDocument/2006/relationships/image" Target="media/image93.png"/><Relationship Id="rId100" Type="http://schemas.openxmlformats.org/officeDocument/2006/relationships/image" Target="media/image94.png"/><Relationship Id="rId101" Type="http://schemas.openxmlformats.org/officeDocument/2006/relationships/image" Target="media/image95.png"/><Relationship Id="rId102" Type="http://schemas.openxmlformats.org/officeDocument/2006/relationships/image" Target="media/image96.png"/><Relationship Id="rId103" Type="http://schemas.openxmlformats.org/officeDocument/2006/relationships/image" Target="media/image97.png"/><Relationship Id="rId104" Type="http://schemas.openxmlformats.org/officeDocument/2006/relationships/image" Target="media/image98.png"/><Relationship Id="rId105" Type="http://schemas.openxmlformats.org/officeDocument/2006/relationships/image" Target="media/image99.png"/><Relationship Id="rId106" Type="http://schemas.openxmlformats.org/officeDocument/2006/relationships/image" Target="media/image100.png"/><Relationship Id="rId107" Type="http://schemas.openxmlformats.org/officeDocument/2006/relationships/image" Target="media/image101.png"/><Relationship Id="rId108" Type="http://schemas.openxmlformats.org/officeDocument/2006/relationships/image" Target="media/image102.png"/><Relationship Id="rId109" Type="http://schemas.openxmlformats.org/officeDocument/2006/relationships/image" Target="media/image103.png"/><Relationship Id="rId110" Type="http://schemas.openxmlformats.org/officeDocument/2006/relationships/image" Target="media/image104.png"/><Relationship Id="rId111" Type="http://schemas.openxmlformats.org/officeDocument/2006/relationships/image" Target="media/image105.png"/><Relationship Id="rId112" Type="http://schemas.openxmlformats.org/officeDocument/2006/relationships/image" Target="media/image106.png"/><Relationship Id="rId113" Type="http://schemas.openxmlformats.org/officeDocument/2006/relationships/image" Target="media/image107.png"/><Relationship Id="rId114" Type="http://schemas.openxmlformats.org/officeDocument/2006/relationships/image" Target="media/image108.png"/><Relationship Id="rId115" Type="http://schemas.openxmlformats.org/officeDocument/2006/relationships/image" Target="media/image109.png"/><Relationship Id="rId116" Type="http://schemas.openxmlformats.org/officeDocument/2006/relationships/image" Target="media/image110.png"/><Relationship Id="rId117" Type="http://schemas.openxmlformats.org/officeDocument/2006/relationships/image" Target="media/image111.png"/><Relationship Id="rId118" Type="http://schemas.openxmlformats.org/officeDocument/2006/relationships/image" Target="media/image112.png"/><Relationship Id="rId119" Type="http://schemas.openxmlformats.org/officeDocument/2006/relationships/image" Target="media/image113.png"/><Relationship Id="rId120" Type="http://schemas.openxmlformats.org/officeDocument/2006/relationships/image" Target="media/image114.png"/><Relationship Id="rId121" Type="http://schemas.openxmlformats.org/officeDocument/2006/relationships/image" Target="media/image115.png"/><Relationship Id="rId122" Type="http://schemas.openxmlformats.org/officeDocument/2006/relationships/image" Target="media/image116.png"/><Relationship Id="rId123" Type="http://schemas.openxmlformats.org/officeDocument/2006/relationships/image" Target="media/image117.png"/><Relationship Id="rId124" Type="http://schemas.openxmlformats.org/officeDocument/2006/relationships/image" Target="media/image118.png"/><Relationship Id="rId125" Type="http://schemas.openxmlformats.org/officeDocument/2006/relationships/image" Target="media/image119.png"/><Relationship Id="rId126" Type="http://schemas.openxmlformats.org/officeDocument/2006/relationships/image" Target="media/image120.png"/><Relationship Id="rId127" Type="http://schemas.openxmlformats.org/officeDocument/2006/relationships/image" Target="media/image121.png"/><Relationship Id="rId128" Type="http://schemas.openxmlformats.org/officeDocument/2006/relationships/image" Target="media/image122.png"/><Relationship Id="rId129" Type="http://schemas.openxmlformats.org/officeDocument/2006/relationships/image" Target="media/image123.png"/><Relationship Id="rId130" Type="http://schemas.openxmlformats.org/officeDocument/2006/relationships/image" Target="media/image124.png"/><Relationship Id="rId131" Type="http://schemas.openxmlformats.org/officeDocument/2006/relationships/image" Target="media/image125.png"/><Relationship Id="rId132" Type="http://schemas.openxmlformats.org/officeDocument/2006/relationships/image" Target="media/image126.png"/><Relationship Id="rId133" Type="http://schemas.openxmlformats.org/officeDocument/2006/relationships/image" Target="media/image127.png"/><Relationship Id="rId134" Type="http://schemas.openxmlformats.org/officeDocument/2006/relationships/image" Target="media/image128.png"/><Relationship Id="rId135" Type="http://schemas.openxmlformats.org/officeDocument/2006/relationships/image" Target="media/image129.png"/><Relationship Id="rId136" Type="http://schemas.openxmlformats.org/officeDocument/2006/relationships/image" Target="media/image130.png"/><Relationship Id="rId137" Type="http://schemas.openxmlformats.org/officeDocument/2006/relationships/image" Target="media/image131.png"/><Relationship Id="rId138" Type="http://schemas.openxmlformats.org/officeDocument/2006/relationships/image" Target="media/image132.png"/><Relationship Id="rId139" Type="http://schemas.openxmlformats.org/officeDocument/2006/relationships/image" Target="media/image133.png"/><Relationship Id="rId140" Type="http://schemas.openxmlformats.org/officeDocument/2006/relationships/image" Target="media/image134.png"/><Relationship Id="rId141" Type="http://schemas.openxmlformats.org/officeDocument/2006/relationships/image" Target="media/image135.png"/><Relationship Id="rId142" Type="http://schemas.openxmlformats.org/officeDocument/2006/relationships/image" Target="media/image136.png"/><Relationship Id="rId143" Type="http://schemas.openxmlformats.org/officeDocument/2006/relationships/image" Target="media/image137.png"/><Relationship Id="rId144" Type="http://schemas.openxmlformats.org/officeDocument/2006/relationships/image" Target="media/image138.png"/><Relationship Id="rId145" Type="http://schemas.openxmlformats.org/officeDocument/2006/relationships/image" Target="media/image139.png"/><Relationship Id="rId146" Type="http://schemas.openxmlformats.org/officeDocument/2006/relationships/image" Target="media/image140.png"/><Relationship Id="rId147" Type="http://schemas.openxmlformats.org/officeDocument/2006/relationships/image" Target="media/image141.png"/><Relationship Id="rId148" Type="http://schemas.openxmlformats.org/officeDocument/2006/relationships/image" Target="media/image142.png"/><Relationship Id="rId149" Type="http://schemas.openxmlformats.org/officeDocument/2006/relationships/image" Target="media/image143.png"/><Relationship Id="rId150" Type="http://schemas.openxmlformats.org/officeDocument/2006/relationships/image" Target="media/image144.png"/><Relationship Id="rId151" Type="http://schemas.openxmlformats.org/officeDocument/2006/relationships/image" Target="media/image145.png"/><Relationship Id="rId152" Type="http://schemas.openxmlformats.org/officeDocument/2006/relationships/image" Target="media/image146.png"/><Relationship Id="rId153" Type="http://schemas.openxmlformats.org/officeDocument/2006/relationships/image" Target="media/image147.png"/><Relationship Id="rId154" Type="http://schemas.openxmlformats.org/officeDocument/2006/relationships/image" Target="media/image148.png"/><Relationship Id="rId155" Type="http://schemas.openxmlformats.org/officeDocument/2006/relationships/image" Target="media/image149.png"/><Relationship Id="rId156" Type="http://schemas.openxmlformats.org/officeDocument/2006/relationships/image" Target="media/image150.png"/><Relationship Id="rId157" Type="http://schemas.openxmlformats.org/officeDocument/2006/relationships/image" Target="media/image151.png"/><Relationship Id="rId158" Type="http://schemas.openxmlformats.org/officeDocument/2006/relationships/image" Target="media/image152.png"/><Relationship Id="rId159" Type="http://schemas.openxmlformats.org/officeDocument/2006/relationships/image" Target="media/image153.png"/><Relationship Id="rId160" Type="http://schemas.openxmlformats.org/officeDocument/2006/relationships/image" Target="media/image154.png"/><Relationship Id="rId161" Type="http://schemas.openxmlformats.org/officeDocument/2006/relationships/image" Target="media/image155.png"/><Relationship Id="rId162" Type="http://schemas.openxmlformats.org/officeDocument/2006/relationships/image" Target="media/image156.png"/><Relationship Id="rId163" Type="http://schemas.openxmlformats.org/officeDocument/2006/relationships/image" Target="media/image157.png"/><Relationship Id="rId164" Type="http://schemas.openxmlformats.org/officeDocument/2006/relationships/image" Target="media/image158.png"/><Relationship Id="rId165" Type="http://schemas.openxmlformats.org/officeDocument/2006/relationships/image" Target="media/image159.png"/><Relationship Id="rId166" Type="http://schemas.openxmlformats.org/officeDocument/2006/relationships/image" Target="media/image160.png"/><Relationship Id="rId167" Type="http://schemas.openxmlformats.org/officeDocument/2006/relationships/image" Target="media/image161.png"/><Relationship Id="rId168" Type="http://schemas.openxmlformats.org/officeDocument/2006/relationships/image" Target="media/image162.png"/><Relationship Id="rId169" Type="http://schemas.openxmlformats.org/officeDocument/2006/relationships/image" Target="media/image163.png"/><Relationship Id="rId170" Type="http://schemas.openxmlformats.org/officeDocument/2006/relationships/image" Target="media/image164.png"/><Relationship Id="rId171" Type="http://schemas.openxmlformats.org/officeDocument/2006/relationships/image" Target="media/image165.png"/><Relationship Id="rId172" Type="http://schemas.openxmlformats.org/officeDocument/2006/relationships/image" Target="media/image166.png"/><Relationship Id="rId173" Type="http://schemas.openxmlformats.org/officeDocument/2006/relationships/image" Target="media/image167.png"/><Relationship Id="rId174" Type="http://schemas.openxmlformats.org/officeDocument/2006/relationships/image" Target="media/image168.png"/><Relationship Id="rId175" Type="http://schemas.openxmlformats.org/officeDocument/2006/relationships/image" Target="media/image169.png"/><Relationship Id="rId176" Type="http://schemas.openxmlformats.org/officeDocument/2006/relationships/image" Target="media/image170.png"/><Relationship Id="rId177" Type="http://schemas.openxmlformats.org/officeDocument/2006/relationships/image" Target="media/image171.png"/><Relationship Id="rId178" Type="http://schemas.openxmlformats.org/officeDocument/2006/relationships/image" Target="media/image172.png"/><Relationship Id="rId179" Type="http://schemas.openxmlformats.org/officeDocument/2006/relationships/image" Target="media/image173.png"/><Relationship Id="rId180" Type="http://schemas.openxmlformats.org/officeDocument/2006/relationships/image" Target="media/image174.png"/><Relationship Id="rId181" Type="http://schemas.openxmlformats.org/officeDocument/2006/relationships/image" Target="media/image175.png"/><Relationship Id="rId182" Type="http://schemas.openxmlformats.org/officeDocument/2006/relationships/image" Target="media/image176.png"/><Relationship Id="rId183" Type="http://schemas.openxmlformats.org/officeDocument/2006/relationships/image" Target="media/image177.png"/><Relationship Id="rId184" Type="http://schemas.openxmlformats.org/officeDocument/2006/relationships/image" Target="media/image178.png"/><Relationship Id="rId185" Type="http://schemas.openxmlformats.org/officeDocument/2006/relationships/image" Target="media/image179.png"/><Relationship Id="rId186" Type="http://schemas.openxmlformats.org/officeDocument/2006/relationships/image" Target="media/image180.png"/><Relationship Id="rId187" Type="http://schemas.openxmlformats.org/officeDocument/2006/relationships/image" Target="media/image181.png"/><Relationship Id="rId188" Type="http://schemas.openxmlformats.org/officeDocument/2006/relationships/image" Target="media/image182.png"/><Relationship Id="rId189" Type="http://schemas.openxmlformats.org/officeDocument/2006/relationships/image" Target="media/image183.png"/><Relationship Id="rId190" Type="http://schemas.openxmlformats.org/officeDocument/2006/relationships/image" Target="media/image184.png"/><Relationship Id="rId191" Type="http://schemas.openxmlformats.org/officeDocument/2006/relationships/image" Target="media/image185.png"/><Relationship Id="rId192" Type="http://schemas.openxmlformats.org/officeDocument/2006/relationships/image" Target="media/image186.png"/><Relationship Id="rId193" Type="http://schemas.openxmlformats.org/officeDocument/2006/relationships/image" Target="media/image187.png"/><Relationship Id="rId194" Type="http://schemas.openxmlformats.org/officeDocument/2006/relationships/image" Target="media/image188.png"/><Relationship Id="rId195" Type="http://schemas.openxmlformats.org/officeDocument/2006/relationships/image" Target="media/image189.png"/><Relationship Id="rId196" Type="http://schemas.openxmlformats.org/officeDocument/2006/relationships/image" Target="media/image190.png"/><Relationship Id="rId197" Type="http://schemas.openxmlformats.org/officeDocument/2006/relationships/image" Target="media/image191.png"/><Relationship Id="rId198" Type="http://schemas.openxmlformats.org/officeDocument/2006/relationships/image" Target="media/image192.png"/><Relationship Id="rId199" Type="http://schemas.openxmlformats.org/officeDocument/2006/relationships/image" Target="media/image193.png"/><Relationship Id="rId200" Type="http://schemas.openxmlformats.org/officeDocument/2006/relationships/image" Target="media/image194.png"/><Relationship Id="rId201" Type="http://schemas.openxmlformats.org/officeDocument/2006/relationships/image" Target="media/image195.png"/><Relationship Id="rId202" Type="http://schemas.openxmlformats.org/officeDocument/2006/relationships/image" Target="media/image196.png"/><Relationship Id="rId203" Type="http://schemas.openxmlformats.org/officeDocument/2006/relationships/image" Target="media/image197.png"/><Relationship Id="rId204" Type="http://schemas.openxmlformats.org/officeDocument/2006/relationships/image" Target="media/image198.png"/><Relationship Id="rId205" Type="http://schemas.openxmlformats.org/officeDocument/2006/relationships/image" Target="media/image199.png"/><Relationship Id="rId206" Type="http://schemas.openxmlformats.org/officeDocument/2006/relationships/image" Target="media/image200.png"/><Relationship Id="rId207" Type="http://schemas.openxmlformats.org/officeDocument/2006/relationships/image" Target="media/image201.png"/><Relationship Id="rId208" Type="http://schemas.openxmlformats.org/officeDocument/2006/relationships/image" Target="media/image202.png"/><Relationship Id="rId209" Type="http://schemas.openxmlformats.org/officeDocument/2006/relationships/image" Target="media/image203.png"/><Relationship Id="rId210" Type="http://schemas.openxmlformats.org/officeDocument/2006/relationships/image" Target="media/image204.png"/><Relationship Id="rId211" Type="http://schemas.openxmlformats.org/officeDocument/2006/relationships/image" Target="media/image205.png"/><Relationship Id="rId212" Type="http://schemas.openxmlformats.org/officeDocument/2006/relationships/image" Target="media/image206.png"/><Relationship Id="rId213" Type="http://schemas.openxmlformats.org/officeDocument/2006/relationships/image" Target="media/image207.png"/><Relationship Id="rId214" Type="http://schemas.openxmlformats.org/officeDocument/2006/relationships/image" Target="media/image208.png"/><Relationship Id="rId215" Type="http://schemas.openxmlformats.org/officeDocument/2006/relationships/image" Target="media/image209.png"/><Relationship Id="rId216" Type="http://schemas.openxmlformats.org/officeDocument/2006/relationships/image" Target="media/image210.png"/><Relationship Id="rId217" Type="http://schemas.openxmlformats.org/officeDocument/2006/relationships/image" Target="media/image211.png"/><Relationship Id="rId218" Type="http://schemas.openxmlformats.org/officeDocument/2006/relationships/image" Target="media/image212.png"/><Relationship Id="rId219" Type="http://schemas.openxmlformats.org/officeDocument/2006/relationships/image" Target="media/image213.png"/><Relationship Id="rId220" Type="http://schemas.openxmlformats.org/officeDocument/2006/relationships/image" Target="media/image214.png"/><Relationship Id="rId221" Type="http://schemas.openxmlformats.org/officeDocument/2006/relationships/image" Target="media/image215.png"/><Relationship Id="rId222" Type="http://schemas.openxmlformats.org/officeDocument/2006/relationships/image" Target="media/image216.png"/><Relationship Id="rId223" Type="http://schemas.openxmlformats.org/officeDocument/2006/relationships/image" Target="media/image217.png"/><Relationship Id="rId224" Type="http://schemas.openxmlformats.org/officeDocument/2006/relationships/image" Target="media/image218.png"/><Relationship Id="rId225" Type="http://schemas.openxmlformats.org/officeDocument/2006/relationships/image" Target="media/image219.png"/><Relationship Id="rId226" Type="http://schemas.openxmlformats.org/officeDocument/2006/relationships/image" Target="media/image220.png"/><Relationship Id="rId227" Type="http://schemas.openxmlformats.org/officeDocument/2006/relationships/image" Target="media/image221.png"/><Relationship Id="rId228" Type="http://schemas.openxmlformats.org/officeDocument/2006/relationships/image" Target="media/image222.png"/><Relationship Id="rId229" Type="http://schemas.openxmlformats.org/officeDocument/2006/relationships/image" Target="media/image223.png"/><Relationship Id="rId230" Type="http://schemas.openxmlformats.org/officeDocument/2006/relationships/image" Target="media/image224.png"/><Relationship Id="rId231" Type="http://schemas.openxmlformats.org/officeDocument/2006/relationships/image" Target="media/image225.png"/><Relationship Id="rId232" Type="http://schemas.openxmlformats.org/officeDocument/2006/relationships/image" Target="media/image226.png"/><Relationship Id="rId233" Type="http://schemas.openxmlformats.org/officeDocument/2006/relationships/image" Target="media/image227.png"/><Relationship Id="rId234" Type="http://schemas.openxmlformats.org/officeDocument/2006/relationships/image" Target="media/image228.png"/><Relationship Id="rId235" Type="http://schemas.openxmlformats.org/officeDocument/2006/relationships/image" Target="media/image229.png"/><Relationship Id="rId236" Type="http://schemas.openxmlformats.org/officeDocument/2006/relationships/image" Target="media/image230.png"/><Relationship Id="rId237" Type="http://schemas.openxmlformats.org/officeDocument/2006/relationships/image" Target="media/image231.png"/><Relationship Id="rId238" Type="http://schemas.openxmlformats.org/officeDocument/2006/relationships/image" Target="media/image232.png"/><Relationship Id="rId239" Type="http://schemas.openxmlformats.org/officeDocument/2006/relationships/image" Target="media/image233.png"/><Relationship Id="rId240" Type="http://schemas.openxmlformats.org/officeDocument/2006/relationships/image" Target="media/image234.png"/><Relationship Id="rId241" Type="http://schemas.openxmlformats.org/officeDocument/2006/relationships/image" Target="media/image235.png"/><Relationship Id="rId242" Type="http://schemas.openxmlformats.org/officeDocument/2006/relationships/image" Target="media/image236.png"/><Relationship Id="rId243" Type="http://schemas.openxmlformats.org/officeDocument/2006/relationships/image" Target="media/image237.png"/><Relationship Id="rId244" Type="http://schemas.openxmlformats.org/officeDocument/2006/relationships/image" Target="media/image238.png"/><Relationship Id="rId245" Type="http://schemas.openxmlformats.org/officeDocument/2006/relationships/image" Target="media/image239.png"/><Relationship Id="rId246" Type="http://schemas.openxmlformats.org/officeDocument/2006/relationships/image" Target="media/image240.png"/><Relationship Id="rId247" Type="http://schemas.openxmlformats.org/officeDocument/2006/relationships/image" Target="media/image241.png"/><Relationship Id="rId248" Type="http://schemas.openxmlformats.org/officeDocument/2006/relationships/image" Target="media/image242.png"/><Relationship Id="rId249" Type="http://schemas.openxmlformats.org/officeDocument/2006/relationships/image" Target="media/image243.png"/><Relationship Id="rId250" Type="http://schemas.openxmlformats.org/officeDocument/2006/relationships/image" Target="media/image244.png"/><Relationship Id="rId251" Type="http://schemas.openxmlformats.org/officeDocument/2006/relationships/image" Target="media/image245.png"/><Relationship Id="rId252" Type="http://schemas.openxmlformats.org/officeDocument/2006/relationships/image" Target="media/image246.png"/><Relationship Id="rId253" Type="http://schemas.openxmlformats.org/officeDocument/2006/relationships/image" Target="media/image247.png"/><Relationship Id="rId254" Type="http://schemas.openxmlformats.org/officeDocument/2006/relationships/image" Target="media/image248.png"/><Relationship Id="rId255" Type="http://schemas.openxmlformats.org/officeDocument/2006/relationships/image" Target="media/image249.png"/><Relationship Id="rId256" Type="http://schemas.openxmlformats.org/officeDocument/2006/relationships/image" Target="media/image250.png"/><Relationship Id="rId257" Type="http://schemas.openxmlformats.org/officeDocument/2006/relationships/image" Target="media/image251.png"/><Relationship Id="rId258" Type="http://schemas.openxmlformats.org/officeDocument/2006/relationships/image" Target="media/image252.png"/><Relationship Id="rId259" Type="http://schemas.openxmlformats.org/officeDocument/2006/relationships/image" Target="media/image253.png"/><Relationship Id="rId260" Type="http://schemas.openxmlformats.org/officeDocument/2006/relationships/image" Target="media/image254.png"/><Relationship Id="rId261" Type="http://schemas.openxmlformats.org/officeDocument/2006/relationships/image" Target="media/image255.png"/><Relationship Id="rId262" Type="http://schemas.openxmlformats.org/officeDocument/2006/relationships/image" Target="media/image256.png"/><Relationship Id="rId263" Type="http://schemas.openxmlformats.org/officeDocument/2006/relationships/image" Target="media/image257.png"/><Relationship Id="rId264" Type="http://schemas.openxmlformats.org/officeDocument/2006/relationships/image" Target="media/image258.png"/><Relationship Id="rId265" Type="http://schemas.openxmlformats.org/officeDocument/2006/relationships/image" Target="media/image259.png"/><Relationship Id="rId266" Type="http://schemas.openxmlformats.org/officeDocument/2006/relationships/image" Target="media/image260.png"/><Relationship Id="rId267" Type="http://schemas.openxmlformats.org/officeDocument/2006/relationships/image" Target="media/image261.png"/><Relationship Id="rId268" Type="http://schemas.openxmlformats.org/officeDocument/2006/relationships/image" Target="media/image262.png"/><Relationship Id="rId269" Type="http://schemas.openxmlformats.org/officeDocument/2006/relationships/image" Target="media/image263.png"/><Relationship Id="rId270" Type="http://schemas.openxmlformats.org/officeDocument/2006/relationships/image" Target="media/image264.png"/><Relationship Id="rId271" Type="http://schemas.openxmlformats.org/officeDocument/2006/relationships/image" Target="media/image265.png"/><Relationship Id="rId272" Type="http://schemas.openxmlformats.org/officeDocument/2006/relationships/image" Target="media/image266.png"/><Relationship Id="rId273" Type="http://schemas.openxmlformats.org/officeDocument/2006/relationships/image" Target="media/image267.png"/><Relationship Id="rId274" Type="http://schemas.openxmlformats.org/officeDocument/2006/relationships/image" Target="media/image268.png"/><Relationship Id="rId275" Type="http://schemas.openxmlformats.org/officeDocument/2006/relationships/image" Target="media/image269.png"/><Relationship Id="rId276" Type="http://schemas.openxmlformats.org/officeDocument/2006/relationships/image" Target="media/image270.png"/><Relationship Id="rId277" Type="http://schemas.openxmlformats.org/officeDocument/2006/relationships/image" Target="media/image271.png"/><Relationship Id="rId278" Type="http://schemas.openxmlformats.org/officeDocument/2006/relationships/image" Target="media/image272.png"/><Relationship Id="rId279" Type="http://schemas.openxmlformats.org/officeDocument/2006/relationships/image" Target="media/image273.png"/><Relationship Id="rId280" Type="http://schemas.openxmlformats.org/officeDocument/2006/relationships/image" Target="media/image274.png"/><Relationship Id="rId281" Type="http://schemas.openxmlformats.org/officeDocument/2006/relationships/image" Target="media/image275.png"/><Relationship Id="rId282" Type="http://schemas.openxmlformats.org/officeDocument/2006/relationships/image" Target="media/image276.png"/><Relationship Id="rId283" Type="http://schemas.openxmlformats.org/officeDocument/2006/relationships/image" Target="media/image277.png"/><Relationship Id="rId284" Type="http://schemas.openxmlformats.org/officeDocument/2006/relationships/image" Target="media/image278.png"/><Relationship Id="rId285" Type="http://schemas.openxmlformats.org/officeDocument/2006/relationships/image" Target="media/image279.png"/><Relationship Id="rId286" Type="http://schemas.openxmlformats.org/officeDocument/2006/relationships/image" Target="media/image280.png"/><Relationship Id="rId287" Type="http://schemas.openxmlformats.org/officeDocument/2006/relationships/image" Target="media/image281.png"/><Relationship Id="rId288" Type="http://schemas.openxmlformats.org/officeDocument/2006/relationships/image" Target="media/image282.png"/><Relationship Id="rId289" Type="http://schemas.openxmlformats.org/officeDocument/2006/relationships/image" Target="media/image283.png"/><Relationship Id="rId290" Type="http://schemas.openxmlformats.org/officeDocument/2006/relationships/image" Target="media/image284.png"/><Relationship Id="rId291" Type="http://schemas.openxmlformats.org/officeDocument/2006/relationships/image" Target="media/image285.png"/><Relationship Id="rId292" Type="http://schemas.openxmlformats.org/officeDocument/2006/relationships/image" Target="media/image286.png"/><Relationship Id="rId293" Type="http://schemas.openxmlformats.org/officeDocument/2006/relationships/image" Target="media/image287.png"/><Relationship Id="rId294" Type="http://schemas.openxmlformats.org/officeDocument/2006/relationships/image" Target="media/image288.png"/><Relationship Id="rId295" Type="http://schemas.openxmlformats.org/officeDocument/2006/relationships/image" Target="media/image289.png"/><Relationship Id="rId296" Type="http://schemas.openxmlformats.org/officeDocument/2006/relationships/image" Target="media/image290.png"/><Relationship Id="rId297" Type="http://schemas.openxmlformats.org/officeDocument/2006/relationships/image" Target="media/image291.png"/><Relationship Id="rId298" Type="http://schemas.openxmlformats.org/officeDocument/2006/relationships/image" Target="media/image292.png"/><Relationship Id="rId299" Type="http://schemas.openxmlformats.org/officeDocument/2006/relationships/image" Target="media/image293.png"/><Relationship Id="rId300" Type="http://schemas.openxmlformats.org/officeDocument/2006/relationships/image" Target="media/image294.png"/><Relationship Id="rId301" Type="http://schemas.openxmlformats.org/officeDocument/2006/relationships/image" Target="media/image295.png"/><Relationship Id="rId302" Type="http://schemas.openxmlformats.org/officeDocument/2006/relationships/image" Target="media/image296.png"/><Relationship Id="rId303" Type="http://schemas.openxmlformats.org/officeDocument/2006/relationships/image" Target="media/image297.png"/><Relationship Id="rId304" Type="http://schemas.openxmlformats.org/officeDocument/2006/relationships/image" Target="media/image298.png"/><Relationship Id="rId305" Type="http://schemas.openxmlformats.org/officeDocument/2006/relationships/image" Target="media/image299.png"/><Relationship Id="rId306" Type="http://schemas.openxmlformats.org/officeDocument/2006/relationships/image" Target="media/image300.png"/><Relationship Id="rId307" Type="http://schemas.openxmlformats.org/officeDocument/2006/relationships/image" Target="media/image301.png"/><Relationship Id="rId308" Type="http://schemas.openxmlformats.org/officeDocument/2006/relationships/image" Target="media/image302.png"/><Relationship Id="rId309" Type="http://schemas.openxmlformats.org/officeDocument/2006/relationships/image" Target="media/image303.png"/><Relationship Id="rId310" Type="http://schemas.openxmlformats.org/officeDocument/2006/relationships/image" Target="media/image304.png"/><Relationship Id="rId311" Type="http://schemas.openxmlformats.org/officeDocument/2006/relationships/image" Target="media/image305.png"/><Relationship Id="rId312" Type="http://schemas.openxmlformats.org/officeDocument/2006/relationships/image" Target="media/image306.png"/><Relationship Id="rId313" Type="http://schemas.openxmlformats.org/officeDocument/2006/relationships/image" Target="media/image307.png"/><Relationship Id="rId314" Type="http://schemas.openxmlformats.org/officeDocument/2006/relationships/image" Target="media/image308.png"/><Relationship Id="rId315" Type="http://schemas.openxmlformats.org/officeDocument/2006/relationships/image" Target="media/image309.png"/><Relationship Id="rId316" Type="http://schemas.openxmlformats.org/officeDocument/2006/relationships/image" Target="media/image310.png"/><Relationship Id="rId317" Type="http://schemas.openxmlformats.org/officeDocument/2006/relationships/image" Target="media/image311.png"/><Relationship Id="rId318" Type="http://schemas.openxmlformats.org/officeDocument/2006/relationships/image" Target="media/image312.png"/><Relationship Id="rId319" Type="http://schemas.openxmlformats.org/officeDocument/2006/relationships/image" Target="media/image313.png"/><Relationship Id="rId320" Type="http://schemas.openxmlformats.org/officeDocument/2006/relationships/image" Target="media/image314.png"/><Relationship Id="rId321" Type="http://schemas.openxmlformats.org/officeDocument/2006/relationships/fontTable" Target="fontTable.xml"/><Relationship Id="rId3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138</Pages>
  <Words>115910</Words>
  <CharactersWithSpaces>750925</CharactersWithSpaces>
  <Paragraphs>4105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