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10/02/2023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200"/>
              <w:spacing w:after="0"/>
              <w:rPr>
                <w:sz w:val="20"/>
                <w:szCs w:val="20"/>
                <w:color w:val="auto"/>
              </w:rPr>
            </w:pPr>
            <w:r>
              <w:rPr>
                <w:rFonts w:ascii="Arial" w:cs="Arial" w:eastAsia="Arial" w:hAnsi="Arial"/>
                <w:sz w:val="17"/>
                <w:szCs w:val="17"/>
                <w:color w:val="0000FF"/>
              </w:rPr>
              <w:t>President, Commercial Ops</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10/02/2023</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1,712</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9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21.1576</w:t>
            </w:r>
            <w:r>
              <w:rPr>
                <w:rFonts w:ascii="Arial" w:cs="Arial" w:eastAsia="Arial" w:hAnsi="Arial"/>
                <w:sz w:val="22"/>
                <w:szCs w:val="22"/>
                <w:color w:val="008000"/>
                <w:w w:val="94"/>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209,296</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$20.92 USD to $21.27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137,445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10/04/2023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2023-10-04T16:58:01Z</dcterms:created>
  <dcterms:modified xsi:type="dcterms:W3CDTF">2023-10-04T16:58:01Z</dcterms:modified>
</cp:coreProperties>
</file>