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39"/>
        <w:spacing w:after="0" w:line="228" w:lineRule="auto"/>
        <w:rPr>
          <w:sz w:val="20"/>
          <w:szCs w:val="20"/>
          <w:color w:val="auto"/>
        </w:rPr>
      </w:pPr>
      <w:r>
        <w:rPr>
          <w:rFonts w:ascii="Arial" w:cs="Arial" w:eastAsia="Arial" w:hAnsi="Arial"/>
          <w:sz w:val="11"/>
          <w:szCs w:val="11"/>
          <w:b w:val="1"/>
          <w:bCs w:val="1"/>
          <w:color w:val="auto"/>
        </w:rPr>
        <w:t>Washington, D.C. 20549</w:t>
      </w: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____________________________________________________________________________</w:t>
      </w:r>
    </w:p>
    <w:p>
      <w:pPr>
        <w:jc w:val="center"/>
        <w:ind w:right="-139"/>
        <w:spacing w:after="0" w:line="236" w:lineRule="auto"/>
        <w:rPr>
          <w:sz w:val="20"/>
          <w:szCs w:val="20"/>
          <w:color w:val="auto"/>
        </w:rPr>
      </w:pPr>
      <w:r>
        <w:rPr>
          <w:rFonts w:ascii="Arial" w:cs="Arial" w:eastAsia="Arial" w:hAnsi="Arial"/>
          <w:sz w:val="17"/>
          <w:szCs w:val="17"/>
          <w:b w:val="1"/>
          <w:bCs w:val="1"/>
          <w:color w:val="auto"/>
        </w:rPr>
        <w:t>FORM 8-K</w:t>
      </w:r>
    </w:p>
    <w:p>
      <w:pPr>
        <w:ind w:left="3820"/>
        <w:spacing w:after="0" w:line="237" w:lineRule="auto"/>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14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CURRENT REPORT</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Pursuant to Section 13 or 15(d) of</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the Securities Exchange Act of 1934</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1"/>
          <w:szCs w:val="11"/>
          <w:b w:val="1"/>
          <w:bCs w:val="1"/>
          <w:color w:val="auto"/>
        </w:rPr>
        <w:t>Date of report (Date of earliest event reported): January 6, 2022</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____________________________________________________________________________</w:t>
      </w:r>
    </w:p>
    <w:p>
      <w:pPr>
        <w:jc w:val="center"/>
        <w:ind w:right="-139"/>
        <w:spacing w:after="0"/>
        <w:rPr>
          <w:sz w:val="20"/>
          <w:szCs w:val="20"/>
          <w:color w:val="auto"/>
        </w:rPr>
      </w:pPr>
      <w:r>
        <w:rPr>
          <w:rFonts w:ascii="Arial" w:cs="Arial" w:eastAsia="Arial" w:hAnsi="Arial"/>
          <w:sz w:val="17"/>
          <w:szCs w:val="17"/>
          <w:b w:val="1"/>
          <w:bCs w:val="1"/>
          <w:color w:val="auto"/>
        </w:rPr>
        <w:t>SI-BONE, INC.</w:t>
      </w:r>
    </w:p>
    <w:p>
      <w:pPr>
        <w:jc w:val="center"/>
        <w:ind w:right="-139"/>
        <w:spacing w:after="0" w:line="233" w:lineRule="auto"/>
        <w:rPr>
          <w:sz w:val="20"/>
          <w:szCs w:val="20"/>
          <w:color w:val="auto"/>
        </w:rPr>
      </w:pPr>
      <w:r>
        <w:rPr>
          <w:rFonts w:ascii="Arial" w:cs="Arial" w:eastAsia="Arial" w:hAnsi="Arial"/>
          <w:sz w:val="11"/>
          <w:szCs w:val="11"/>
          <w:color w:val="auto"/>
        </w:rPr>
        <w:t>(Exact name of registrant as specified in its charter)</w:t>
      </w:r>
    </w:p>
    <w:p>
      <w:pPr>
        <w:ind w:left="3820"/>
        <w:spacing w:after="0" w:line="237" w:lineRule="auto"/>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26" w:lineRule="exact"/>
        <w:rPr>
          <w:sz w:val="24"/>
          <w:szCs w:val="24"/>
          <w:color w:val="auto"/>
        </w:rPr>
      </w:pPr>
    </w:p>
    <w:tbl>
      <w:tblPr>
        <w:tblLayout w:type="fixed"/>
        <w:tblInd w:w="1100" w:type="dxa"/>
        <w:tblCellMar>
          <w:top w:w="0" w:type="dxa"/>
          <w:left w:w="0" w:type="dxa"/>
          <w:bottom w:w="0" w:type="dxa"/>
          <w:right w:w="0" w:type="dxa"/>
        </w:tblCellMar>
      </w:tblPr>
      <w:tr>
        <w:trPr>
          <w:trHeight w:val="140"/>
        </w:trPr>
        <w:tc>
          <w:tcPr>
            <w:tcW w:w="2200" w:type="dxa"/>
            <w:vAlign w:val="bottom"/>
          </w:tcPr>
          <w:p>
            <w:pPr>
              <w:jc w:val="center"/>
              <w:ind w:right="866"/>
              <w:spacing w:after="0"/>
              <w:rPr>
                <w:sz w:val="20"/>
                <w:szCs w:val="20"/>
                <w:color w:val="auto"/>
              </w:rPr>
            </w:pPr>
            <w:r>
              <w:rPr>
                <w:rFonts w:ascii="Arial" w:cs="Arial" w:eastAsia="Arial" w:hAnsi="Arial"/>
                <w:sz w:val="11"/>
                <w:szCs w:val="11"/>
                <w:b w:val="1"/>
                <w:bCs w:val="1"/>
                <w:color w:val="auto"/>
                <w:w w:val="90"/>
              </w:rPr>
              <w:t>Delaware</w:t>
            </w:r>
          </w:p>
        </w:tc>
        <w:tc>
          <w:tcPr>
            <w:tcW w:w="4760" w:type="dxa"/>
            <w:vAlign w:val="bottom"/>
          </w:tcPr>
          <w:p>
            <w:pPr>
              <w:jc w:val="center"/>
              <w:ind w:right="46"/>
              <w:spacing w:after="0"/>
              <w:rPr>
                <w:sz w:val="20"/>
                <w:szCs w:val="20"/>
                <w:color w:val="auto"/>
              </w:rPr>
            </w:pPr>
            <w:r>
              <w:rPr>
                <w:rFonts w:ascii="Arial" w:cs="Arial" w:eastAsia="Arial" w:hAnsi="Arial"/>
                <w:sz w:val="11"/>
                <w:szCs w:val="11"/>
                <w:b w:val="1"/>
                <w:bCs w:val="1"/>
                <w:color w:val="auto"/>
                <w:w w:val="87"/>
              </w:rPr>
              <w:t>001-38701</w:t>
            </w:r>
          </w:p>
        </w:tc>
        <w:tc>
          <w:tcPr>
            <w:tcW w:w="1780" w:type="dxa"/>
            <w:vAlign w:val="bottom"/>
          </w:tcPr>
          <w:p>
            <w:pPr>
              <w:jc w:val="center"/>
              <w:ind w:left="926"/>
              <w:spacing w:after="0"/>
              <w:rPr>
                <w:sz w:val="20"/>
                <w:szCs w:val="20"/>
                <w:color w:val="auto"/>
              </w:rPr>
            </w:pPr>
            <w:r>
              <w:rPr>
                <w:rFonts w:ascii="Arial" w:cs="Arial" w:eastAsia="Arial" w:hAnsi="Arial"/>
                <w:sz w:val="11"/>
                <w:szCs w:val="11"/>
                <w:b w:val="1"/>
                <w:bCs w:val="1"/>
                <w:color w:val="auto"/>
                <w:w w:val="88"/>
              </w:rPr>
              <w:t>26-2216351</w:t>
            </w:r>
          </w:p>
        </w:tc>
      </w:tr>
      <w:tr>
        <w:trPr>
          <w:trHeight w:val="116"/>
        </w:trPr>
        <w:tc>
          <w:tcPr>
            <w:tcW w:w="2200" w:type="dxa"/>
            <w:vAlign w:val="bottom"/>
          </w:tcPr>
          <w:p>
            <w:pPr>
              <w:jc w:val="center"/>
              <w:ind w:right="866"/>
              <w:spacing w:after="0" w:line="116" w:lineRule="exact"/>
              <w:rPr>
                <w:sz w:val="20"/>
                <w:szCs w:val="20"/>
                <w:color w:val="auto"/>
              </w:rPr>
            </w:pPr>
            <w:r>
              <w:rPr>
                <w:rFonts w:ascii="Arial" w:cs="Arial" w:eastAsia="Arial" w:hAnsi="Arial"/>
                <w:sz w:val="11"/>
                <w:szCs w:val="11"/>
                <w:color w:val="auto"/>
                <w:w w:val="90"/>
              </w:rPr>
              <w:t>(State or other jurisdiction of</w:t>
            </w:r>
          </w:p>
        </w:tc>
        <w:tc>
          <w:tcPr>
            <w:tcW w:w="4760" w:type="dxa"/>
            <w:vAlign w:val="bottom"/>
          </w:tcPr>
          <w:p>
            <w:pPr>
              <w:jc w:val="center"/>
              <w:ind w:right="46"/>
              <w:spacing w:after="0" w:line="116" w:lineRule="exact"/>
              <w:rPr>
                <w:sz w:val="20"/>
                <w:szCs w:val="20"/>
                <w:color w:val="auto"/>
              </w:rPr>
            </w:pPr>
            <w:r>
              <w:rPr>
                <w:rFonts w:ascii="Arial" w:cs="Arial" w:eastAsia="Arial" w:hAnsi="Arial"/>
                <w:sz w:val="11"/>
                <w:szCs w:val="11"/>
                <w:color w:val="auto"/>
                <w:w w:val="90"/>
              </w:rPr>
              <w:t>(Commission</w:t>
            </w:r>
          </w:p>
        </w:tc>
        <w:tc>
          <w:tcPr>
            <w:tcW w:w="1780" w:type="dxa"/>
            <w:vAlign w:val="bottom"/>
          </w:tcPr>
          <w:p>
            <w:pPr>
              <w:jc w:val="center"/>
              <w:ind w:left="906"/>
              <w:spacing w:after="0" w:line="116" w:lineRule="exact"/>
              <w:rPr>
                <w:sz w:val="20"/>
                <w:szCs w:val="20"/>
                <w:color w:val="auto"/>
              </w:rPr>
            </w:pPr>
            <w:r>
              <w:rPr>
                <w:rFonts w:ascii="Arial" w:cs="Arial" w:eastAsia="Arial" w:hAnsi="Arial"/>
                <w:sz w:val="11"/>
                <w:szCs w:val="11"/>
                <w:color w:val="auto"/>
                <w:w w:val="91"/>
              </w:rPr>
              <w:t>(I.R.S. Employer</w:t>
            </w:r>
          </w:p>
        </w:tc>
      </w:tr>
      <w:tr>
        <w:trPr>
          <w:trHeight w:val="136"/>
        </w:trPr>
        <w:tc>
          <w:tcPr>
            <w:tcW w:w="2200" w:type="dxa"/>
            <w:vAlign w:val="bottom"/>
          </w:tcPr>
          <w:p>
            <w:pPr>
              <w:jc w:val="center"/>
              <w:ind w:right="846"/>
              <w:spacing w:after="0"/>
              <w:rPr>
                <w:sz w:val="20"/>
                <w:szCs w:val="20"/>
                <w:color w:val="auto"/>
              </w:rPr>
            </w:pPr>
            <w:r>
              <w:rPr>
                <w:rFonts w:ascii="Arial" w:cs="Arial" w:eastAsia="Arial" w:hAnsi="Arial"/>
                <w:sz w:val="11"/>
                <w:szCs w:val="11"/>
                <w:color w:val="auto"/>
                <w:w w:val="90"/>
              </w:rPr>
              <w:t>incorporation or organization)</w:t>
            </w:r>
          </w:p>
        </w:tc>
        <w:tc>
          <w:tcPr>
            <w:tcW w:w="4760" w:type="dxa"/>
            <w:vAlign w:val="bottom"/>
          </w:tcPr>
          <w:p>
            <w:pPr>
              <w:jc w:val="center"/>
              <w:ind w:right="46"/>
              <w:spacing w:after="0"/>
              <w:rPr>
                <w:sz w:val="20"/>
                <w:szCs w:val="20"/>
                <w:color w:val="auto"/>
              </w:rPr>
            </w:pPr>
            <w:r>
              <w:rPr>
                <w:rFonts w:ascii="Arial" w:cs="Arial" w:eastAsia="Arial" w:hAnsi="Arial"/>
                <w:sz w:val="11"/>
                <w:szCs w:val="11"/>
                <w:color w:val="auto"/>
                <w:w w:val="91"/>
              </w:rPr>
              <w:t>File Number)</w:t>
            </w:r>
          </w:p>
        </w:tc>
        <w:tc>
          <w:tcPr>
            <w:tcW w:w="1780" w:type="dxa"/>
            <w:vAlign w:val="bottom"/>
          </w:tcPr>
          <w:p>
            <w:pPr>
              <w:jc w:val="center"/>
              <w:ind w:left="926"/>
              <w:spacing w:after="0"/>
              <w:rPr>
                <w:sz w:val="20"/>
                <w:szCs w:val="20"/>
                <w:color w:val="auto"/>
              </w:rPr>
            </w:pPr>
            <w:r>
              <w:rPr>
                <w:rFonts w:ascii="Arial" w:cs="Arial" w:eastAsia="Arial" w:hAnsi="Arial"/>
                <w:sz w:val="11"/>
                <w:szCs w:val="11"/>
                <w:color w:val="auto"/>
                <w:w w:val="93"/>
              </w:rPr>
              <w:t>Identification No.)</w:t>
            </w:r>
          </w:p>
        </w:tc>
      </w:tr>
      <w:tr>
        <w:trPr>
          <w:trHeight w:val="346"/>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471 El Camino Real</w:t>
            </w:r>
          </w:p>
        </w:tc>
        <w:tc>
          <w:tcPr>
            <w:tcW w:w="1780" w:type="dxa"/>
            <w:vAlign w:val="bottom"/>
          </w:tcPr>
          <w:p>
            <w:pPr>
              <w:spacing w:after="0"/>
              <w:rPr>
                <w:sz w:val="24"/>
                <w:szCs w:val="24"/>
                <w:color w:val="auto"/>
              </w:rPr>
            </w:pPr>
          </w:p>
        </w:tc>
      </w:tr>
      <w:tr>
        <w:trPr>
          <w:trHeight w:val="126"/>
        </w:trPr>
        <w:tc>
          <w:tcPr>
            <w:tcW w:w="2200" w:type="dxa"/>
            <w:vAlign w:val="bottom"/>
          </w:tcPr>
          <w:p>
            <w:pPr>
              <w:spacing w:after="0"/>
              <w:rPr>
                <w:sz w:val="10"/>
                <w:szCs w:val="10"/>
                <w:color w:val="auto"/>
              </w:rPr>
            </w:pPr>
          </w:p>
        </w:tc>
        <w:tc>
          <w:tcPr>
            <w:tcW w:w="4760" w:type="dxa"/>
            <w:vAlign w:val="bottom"/>
          </w:tcPr>
          <w:p>
            <w:pPr>
              <w:jc w:val="center"/>
              <w:ind w:right="6"/>
              <w:spacing w:after="0"/>
              <w:rPr>
                <w:sz w:val="20"/>
                <w:szCs w:val="20"/>
                <w:color w:val="auto"/>
              </w:rPr>
            </w:pPr>
            <w:r>
              <w:rPr>
                <w:rFonts w:ascii="Arial" w:cs="Arial" w:eastAsia="Arial" w:hAnsi="Arial"/>
                <w:sz w:val="11"/>
                <w:szCs w:val="11"/>
                <w:b w:val="1"/>
                <w:bCs w:val="1"/>
                <w:color w:val="auto"/>
                <w:w w:val="86"/>
              </w:rPr>
              <w:t>Suite 101</w:t>
            </w:r>
          </w:p>
        </w:tc>
        <w:tc>
          <w:tcPr>
            <w:tcW w:w="1780" w:type="dxa"/>
            <w:vAlign w:val="bottom"/>
          </w:tcPr>
          <w:p>
            <w:pPr>
              <w:spacing w:after="0"/>
              <w:rPr>
                <w:sz w:val="10"/>
                <w:szCs w:val="10"/>
                <w:color w:val="auto"/>
              </w:rPr>
            </w:pPr>
          </w:p>
        </w:tc>
      </w:tr>
      <w:tr>
        <w:trPr>
          <w:trHeight w:val="130"/>
        </w:trPr>
        <w:tc>
          <w:tcPr>
            <w:tcW w:w="2200" w:type="dxa"/>
            <w:vAlign w:val="bottom"/>
          </w:tcPr>
          <w:p>
            <w:pPr>
              <w:spacing w:after="0"/>
              <w:rPr>
                <w:sz w:val="11"/>
                <w:szCs w:val="11"/>
                <w:color w:val="auto"/>
              </w:rPr>
            </w:pPr>
          </w:p>
        </w:tc>
        <w:tc>
          <w:tcPr>
            <w:tcW w:w="4760" w:type="dxa"/>
            <w:vAlign w:val="bottom"/>
          </w:tcPr>
          <w:p>
            <w:pPr>
              <w:jc w:val="center"/>
              <w:ind w:right="6"/>
              <w:spacing w:after="0"/>
              <w:rPr>
                <w:sz w:val="20"/>
                <w:szCs w:val="20"/>
                <w:color w:val="auto"/>
              </w:rPr>
            </w:pPr>
            <w:r>
              <w:rPr>
                <w:rFonts w:ascii="Arial" w:cs="Arial" w:eastAsia="Arial" w:hAnsi="Arial"/>
                <w:sz w:val="11"/>
                <w:szCs w:val="11"/>
                <w:b w:val="1"/>
                <w:bCs w:val="1"/>
                <w:color w:val="auto"/>
                <w:w w:val="91"/>
              </w:rPr>
              <w:t>Santa Clara, CA 95050</w:t>
            </w:r>
          </w:p>
        </w:tc>
        <w:tc>
          <w:tcPr>
            <w:tcW w:w="1780" w:type="dxa"/>
            <w:vAlign w:val="bottom"/>
          </w:tcPr>
          <w:p>
            <w:pPr>
              <w:spacing w:after="0"/>
              <w:rPr>
                <w:sz w:val="11"/>
                <w:szCs w:val="11"/>
                <w:color w:val="auto"/>
              </w:rPr>
            </w:pPr>
          </w:p>
        </w:tc>
      </w:tr>
      <w:tr>
        <w:trPr>
          <w:trHeight w:val="136"/>
        </w:trPr>
        <w:tc>
          <w:tcPr>
            <w:tcW w:w="2200" w:type="dxa"/>
            <w:vAlign w:val="bottom"/>
          </w:tcPr>
          <w:p>
            <w:pPr>
              <w:spacing w:after="0"/>
              <w:rPr>
                <w:sz w:val="11"/>
                <w:szCs w:val="11"/>
                <w:color w:val="auto"/>
              </w:rPr>
            </w:pPr>
          </w:p>
        </w:tc>
        <w:tc>
          <w:tcPr>
            <w:tcW w:w="4760" w:type="dxa"/>
            <w:vAlign w:val="bottom"/>
          </w:tcPr>
          <w:p>
            <w:pPr>
              <w:jc w:val="center"/>
              <w:ind w:right="6"/>
              <w:spacing w:after="0"/>
              <w:rPr>
                <w:sz w:val="20"/>
                <w:szCs w:val="20"/>
                <w:color w:val="auto"/>
              </w:rPr>
            </w:pPr>
            <w:r>
              <w:rPr>
                <w:rFonts w:ascii="Arial" w:cs="Arial" w:eastAsia="Arial" w:hAnsi="Arial"/>
                <w:sz w:val="11"/>
                <w:szCs w:val="11"/>
                <w:color w:val="auto"/>
                <w:w w:val="91"/>
              </w:rPr>
              <w:t>(Address of principal executive offices) (Zip Code)</w:t>
            </w:r>
          </w:p>
        </w:tc>
        <w:tc>
          <w:tcPr>
            <w:tcW w:w="1780" w:type="dxa"/>
            <w:vAlign w:val="bottom"/>
          </w:tcPr>
          <w:p>
            <w:pPr>
              <w:spacing w:after="0"/>
              <w:rPr>
                <w:sz w:val="11"/>
                <w:szCs w:val="11"/>
                <w:color w:val="auto"/>
              </w:rPr>
            </w:pPr>
          </w:p>
        </w:tc>
      </w:tr>
      <w:tr>
        <w:trPr>
          <w:trHeight w:val="278"/>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(408) 207-0700</w:t>
            </w:r>
          </w:p>
        </w:tc>
        <w:tc>
          <w:tcPr>
            <w:tcW w:w="1780" w:type="dxa"/>
            <w:vAlign w:val="bottom"/>
          </w:tcPr>
          <w:p>
            <w:pPr>
              <w:spacing w:after="0"/>
              <w:rPr>
                <w:sz w:val="24"/>
                <w:szCs w:val="24"/>
                <w:color w:val="auto"/>
              </w:rPr>
            </w:pPr>
          </w:p>
        </w:tc>
      </w:tr>
      <w:tr>
        <w:trPr>
          <w:trHeight w:val="136"/>
        </w:trPr>
        <w:tc>
          <w:tcPr>
            <w:tcW w:w="2200" w:type="dxa"/>
            <w:vAlign w:val="bottom"/>
          </w:tcPr>
          <w:p>
            <w:pPr>
              <w:spacing w:after="0"/>
              <w:rPr>
                <w:sz w:val="11"/>
                <w:szCs w:val="11"/>
                <w:color w:val="auto"/>
              </w:rPr>
            </w:pPr>
          </w:p>
        </w:tc>
        <w:tc>
          <w:tcPr>
            <w:tcW w:w="4760" w:type="dxa"/>
            <w:vAlign w:val="bottom"/>
          </w:tcPr>
          <w:p>
            <w:pPr>
              <w:jc w:val="center"/>
              <w:ind w:right="26"/>
              <w:spacing w:after="0"/>
              <w:rPr>
                <w:sz w:val="20"/>
                <w:szCs w:val="20"/>
                <w:color w:val="auto"/>
              </w:rPr>
            </w:pPr>
            <w:r>
              <w:rPr>
                <w:rFonts w:ascii="Arial" w:cs="Arial" w:eastAsia="Arial" w:hAnsi="Arial"/>
                <w:sz w:val="11"/>
                <w:szCs w:val="11"/>
                <w:color w:val="auto"/>
                <w:w w:val="87"/>
              </w:rPr>
              <w:t>(Registrant’s telephone number, include area code)</w:t>
            </w:r>
          </w:p>
        </w:tc>
        <w:tc>
          <w:tcPr>
            <w:tcW w:w="1780" w:type="dxa"/>
            <w:vAlign w:val="bottom"/>
          </w:tcPr>
          <w:p>
            <w:pPr>
              <w:spacing w:after="0"/>
              <w:rPr>
                <w:sz w:val="11"/>
                <w:szCs w:val="11"/>
                <w:color w:val="auto"/>
              </w:rPr>
            </w:pPr>
          </w:p>
        </w:tc>
      </w:tr>
      <w:tr>
        <w:trPr>
          <w:trHeight w:val="278"/>
        </w:trPr>
        <w:tc>
          <w:tcPr>
            <w:tcW w:w="2200" w:type="dxa"/>
            <w:vAlign w:val="bottom"/>
          </w:tcPr>
          <w:p>
            <w:pPr>
              <w:spacing w:after="0"/>
              <w:rPr>
                <w:sz w:val="24"/>
                <w:szCs w:val="24"/>
                <w:color w:val="auto"/>
              </w:rPr>
            </w:pPr>
          </w:p>
        </w:tc>
        <w:tc>
          <w:tcPr>
            <w:tcW w:w="4760" w:type="dxa"/>
            <w:vAlign w:val="bottom"/>
          </w:tcPr>
          <w:p>
            <w:pPr>
              <w:jc w:val="center"/>
              <w:ind w:right="6"/>
              <w:spacing w:after="0"/>
              <w:rPr>
                <w:sz w:val="20"/>
                <w:szCs w:val="20"/>
                <w:color w:val="auto"/>
              </w:rPr>
            </w:pPr>
            <w:r>
              <w:rPr>
                <w:rFonts w:ascii="Arial" w:cs="Arial" w:eastAsia="Arial" w:hAnsi="Arial"/>
                <w:sz w:val="11"/>
                <w:szCs w:val="11"/>
                <w:b w:val="1"/>
                <w:bCs w:val="1"/>
                <w:color w:val="auto"/>
                <w:w w:val="94"/>
              </w:rPr>
              <w:t>N/A</w:t>
            </w:r>
          </w:p>
        </w:tc>
        <w:tc>
          <w:tcPr>
            <w:tcW w:w="1780" w:type="dxa"/>
            <w:vAlign w:val="bottom"/>
          </w:tcPr>
          <w:p>
            <w:pPr>
              <w:spacing w:after="0"/>
              <w:rPr>
                <w:sz w:val="24"/>
                <w:szCs w:val="24"/>
                <w:color w:val="auto"/>
              </w:rPr>
            </w:pPr>
          </w:p>
        </w:tc>
      </w:tr>
      <w:tr>
        <w:trPr>
          <w:trHeight w:val="136"/>
        </w:trPr>
        <w:tc>
          <w:tcPr>
            <w:tcW w:w="2200" w:type="dxa"/>
            <w:vAlign w:val="bottom"/>
          </w:tcPr>
          <w:p>
            <w:pPr>
              <w:spacing w:after="0"/>
              <w:rPr>
                <w:sz w:val="11"/>
                <w:szCs w:val="11"/>
                <w:color w:val="auto"/>
              </w:rPr>
            </w:pPr>
          </w:p>
        </w:tc>
        <w:tc>
          <w:tcPr>
            <w:tcW w:w="4760" w:type="dxa"/>
            <w:vAlign w:val="bottom"/>
          </w:tcPr>
          <w:p>
            <w:pPr>
              <w:jc w:val="center"/>
              <w:ind w:right="26"/>
              <w:spacing w:after="0"/>
              <w:rPr>
                <w:sz w:val="20"/>
                <w:szCs w:val="20"/>
                <w:color w:val="auto"/>
              </w:rPr>
            </w:pPr>
            <w:r>
              <w:rPr>
                <w:rFonts w:ascii="Arial" w:cs="Arial" w:eastAsia="Arial" w:hAnsi="Arial"/>
                <w:sz w:val="11"/>
                <w:szCs w:val="11"/>
                <w:color w:val="auto"/>
                <w:w w:val="88"/>
              </w:rPr>
              <w:t>(Former Name or Former Address, if Changed Since Last Report)</w:t>
            </w:r>
          </w:p>
        </w:tc>
        <w:tc>
          <w:tcPr>
            <w:tcW w:w="1780" w:type="dxa"/>
            <w:vAlign w:val="bottom"/>
          </w:tcPr>
          <w:p>
            <w:pPr>
              <w:spacing w:after="0"/>
              <w:rPr>
                <w:sz w:val="11"/>
                <w:szCs w:val="11"/>
                <w:color w:val="auto"/>
              </w:rPr>
            </w:pPr>
          </w:p>
        </w:tc>
      </w:tr>
    </w:tbl>
    <w:p>
      <w:pPr>
        <w:spacing w:after="0" w:line="314" w:lineRule="exact"/>
        <w:rPr>
          <w:sz w:val="24"/>
          <w:szCs w:val="24"/>
          <w:color w:val="auto"/>
        </w:rPr>
      </w:pPr>
    </w:p>
    <w:p>
      <w:pPr>
        <w:jc w:val="center"/>
        <w:ind w:right="-139"/>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89"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98"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1620" w:hanging="562"/>
        <w:spacing w:after="0"/>
        <w:tabs>
          <w:tab w:leader="none" w:pos="1620" w:val="left"/>
        </w:tabs>
        <w:numPr>
          <w:ilvl w:val="1"/>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5" w:lineRule="exact"/>
        <w:rPr>
          <w:sz w:val="24"/>
          <w:szCs w:val="24"/>
          <w:color w:val="auto"/>
        </w:rPr>
      </w:pPr>
    </w:p>
    <w:tbl>
      <w:tblPr>
        <w:tblLayout w:type="fixed"/>
        <w:tblInd w:w="148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900" w:type="dxa"/>
            <w:vAlign w:val="bottom"/>
            <w:gridSpan w:val="3"/>
          </w:tcPr>
          <w:p>
            <w:pPr>
              <w:ind w:left="500"/>
              <w:spacing w:after="0"/>
              <w:rPr>
                <w:sz w:val="20"/>
                <w:szCs w:val="20"/>
                <w:color w:val="auto"/>
              </w:rPr>
            </w:pPr>
            <w:r>
              <w:rPr>
                <w:rFonts w:ascii="Arial" w:cs="Arial" w:eastAsia="Arial" w:hAnsi="Arial"/>
                <w:sz w:val="11"/>
                <w:szCs w:val="11"/>
                <w:color w:val="auto"/>
              </w:rPr>
              <w:t>Securities registered pursuant to Section 12(b) of the Act:</w:t>
            </w:r>
          </w:p>
        </w:tc>
        <w:tc>
          <w:tcPr>
            <w:tcW w:w="2000" w:type="dxa"/>
            <w:vAlign w:val="bottom"/>
          </w:tcPr>
          <w:p>
            <w:pPr>
              <w:spacing w:after="0"/>
              <w:rPr>
                <w:sz w:val="11"/>
                <w:szCs w:val="11"/>
                <w:color w:val="auto"/>
              </w:rPr>
            </w:pPr>
          </w:p>
        </w:tc>
      </w:tr>
      <w:tr>
        <w:trPr>
          <w:trHeight w:val="130"/>
        </w:trPr>
        <w:tc>
          <w:tcPr>
            <w:tcW w:w="560" w:type="dxa"/>
            <w:vAlign w:val="bottom"/>
          </w:tcPr>
          <w:p>
            <w:pPr>
              <w:spacing w:after="0"/>
              <w:rPr>
                <w:sz w:val="11"/>
                <w:szCs w:val="11"/>
                <w:color w:val="auto"/>
              </w:rPr>
            </w:pPr>
          </w:p>
        </w:tc>
        <w:tc>
          <w:tcPr>
            <w:tcW w:w="1860" w:type="dxa"/>
            <w:vAlign w:val="bottom"/>
            <w:gridSpan w:val="2"/>
          </w:tcPr>
          <w:p>
            <w:pPr>
              <w:jc w:val="center"/>
              <w:ind w:right="1060"/>
              <w:spacing w:after="0"/>
              <w:rPr>
                <w:sz w:val="20"/>
                <w:szCs w:val="20"/>
                <w:color w:val="auto"/>
              </w:rPr>
            </w:pPr>
            <w:r>
              <w:rPr>
                <w:rFonts w:ascii="Arial" w:cs="Arial" w:eastAsia="Arial" w:hAnsi="Arial"/>
                <w:sz w:val="11"/>
                <w:szCs w:val="11"/>
                <w:b w:val="1"/>
                <w:bCs w:val="1"/>
                <w:color w:val="auto"/>
                <w:w w:val="84"/>
              </w:rPr>
              <w:t>Title of each class</w:t>
            </w:r>
          </w:p>
        </w:tc>
        <w:tc>
          <w:tcPr>
            <w:tcW w:w="390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89"/>
              </w:rPr>
              <w:t>Trading Symbol(s)</w:t>
            </w:r>
          </w:p>
        </w:tc>
        <w:tc>
          <w:tcPr>
            <w:tcW w:w="20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7"/>
        </w:trPr>
        <w:tc>
          <w:tcPr>
            <w:tcW w:w="2420" w:type="dxa"/>
            <w:vAlign w:val="bottom"/>
            <w:gridSpan w:val="3"/>
          </w:tcPr>
          <w:p>
            <w:pPr>
              <w:jc w:val="center"/>
              <w:ind w:right="500"/>
              <w:spacing w:after="0"/>
              <w:rPr>
                <w:sz w:val="20"/>
                <w:szCs w:val="20"/>
                <w:color w:val="auto"/>
              </w:rPr>
            </w:pPr>
            <w:r>
              <w:rPr>
                <w:rFonts w:ascii="Arial" w:cs="Arial" w:eastAsia="Arial" w:hAnsi="Arial"/>
                <w:sz w:val="11"/>
                <w:szCs w:val="11"/>
                <w:color w:val="auto"/>
                <w:w w:val="87"/>
              </w:rPr>
              <w:t>Common Stock, par value $0.0001 per share</w:t>
            </w:r>
          </w:p>
        </w:tc>
        <w:tc>
          <w:tcPr>
            <w:tcW w:w="1260" w:type="dxa"/>
            <w:vAlign w:val="bottom"/>
          </w:tcPr>
          <w:p>
            <w:pPr>
              <w:spacing w:after="0"/>
              <w:rPr>
                <w:sz w:val="12"/>
                <w:szCs w:val="12"/>
                <w:color w:val="auto"/>
              </w:rPr>
            </w:pPr>
          </w:p>
        </w:tc>
        <w:tc>
          <w:tcPr>
            <w:tcW w:w="2640" w:type="dxa"/>
            <w:vAlign w:val="bottom"/>
            <w:gridSpan w:val="2"/>
          </w:tcPr>
          <w:p>
            <w:pPr>
              <w:jc w:val="center"/>
              <w:ind w:right="1760"/>
              <w:spacing w:after="0"/>
              <w:rPr>
                <w:sz w:val="20"/>
                <w:szCs w:val="20"/>
                <w:color w:val="auto"/>
              </w:rPr>
            </w:pPr>
            <w:r>
              <w:rPr>
                <w:rFonts w:ascii="Arial" w:cs="Arial" w:eastAsia="Arial" w:hAnsi="Arial"/>
                <w:sz w:val="11"/>
                <w:szCs w:val="11"/>
                <w:color w:val="auto"/>
                <w:w w:val="93"/>
              </w:rPr>
              <w:t>SIBN</w:t>
            </w: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The Nasdaq Global Market</w:t>
            </w:r>
          </w:p>
        </w:tc>
      </w:tr>
    </w:tbl>
    <w:p>
      <w:pPr>
        <w:spacing w:after="0" w:line="224" w:lineRule="exact"/>
        <w:rPr>
          <w:sz w:val="24"/>
          <w:szCs w:val="24"/>
          <w:color w:val="auto"/>
        </w:rPr>
      </w:pPr>
    </w:p>
    <w:p>
      <w:pPr>
        <w:jc w:val="center"/>
        <w:ind w:right="-139"/>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jc w:val="center"/>
        <w:ind w:right="-119"/>
        <w:spacing w:after="0" w:line="127" w:lineRule="exact"/>
        <w:tabs>
          <w:tab w:leader="none" w:pos="120" w:val="left"/>
        </w:tabs>
        <w:rPr>
          <w:sz w:val="20"/>
          <w:szCs w:val="20"/>
          <w:color w:val="auto"/>
        </w:rPr>
      </w:pP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162" w:lineRule="exact"/>
        <w:rPr>
          <w:sz w:val="24"/>
          <w:szCs w:val="24"/>
          <w:color w:val="auto"/>
        </w:rPr>
      </w:pPr>
    </w:p>
    <w:p>
      <w:pPr>
        <w:ind w:left="120"/>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2.02 – Results of Operations and Financial Condition.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473710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10" w:right="439" w:bottom="1440" w:gutter="0" w:footer="0" w:header="0"/>
        </w:sectPr>
      </w:pPr>
    </w:p>
    <w:bookmarkStart w:id="1" w:name="page2"/>
    <w:bookmarkEnd w:id="1"/>
    <w:p>
      <w:pPr>
        <w:jc w:val="both"/>
        <w:ind w:right="20" w:firstLine="324"/>
        <w:spacing w:after="0" w:line="276" w:lineRule="auto"/>
        <w:rPr>
          <w:sz w:val="20"/>
          <w:szCs w:val="20"/>
          <w:color w:val="auto"/>
        </w:rPr>
      </w:pPr>
      <w:r>
        <w:rPr>
          <w:rFonts w:ascii="Arial" w:cs="Arial" w:eastAsia="Arial" w:hAnsi="Arial"/>
          <w:sz w:val="12"/>
          <w:szCs w:val="12"/>
          <w:color w:val="auto"/>
        </w:rPr>
        <w:t>On January 10, 2022, SI-BONE, Inc. (the "Company") issued a press release (the “Press Release”) announcing preliminary unaudited revenue for the fourth quarter and full year 2021. A copy of the Press Release is attached as Exhibit 99.1 to this current report on Form 8-K and is incorporated by reference herein.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Approval of Time-Based and Performance-Based Restricted Stock Unit Awards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On January 7, 2022, the Board of Directors of SI-BONE approved to Laura Francis, SI-BONE's Chief Executive Officer, the grant of time-based restricted stock unit awards to acquire 63,865 shares of SI-BONE common stock ("RSUs"), and performance-based restricted stock unit awards to acquire up to a maximum of 127,728 shares of SI-BONE common stock (“PSUs”). On January 6, 2022 the Compensation Committee of the Board of Directors approved to Anshul Maheshwari, SI-BONE's Chief Financial Officer, the grant of RSUs to acquire 41,802 shares of SI-BONE common stock and PSUs to acquire up to a maximum of 27,868 shares of SI-BONE common stock; in each case under SI-BONE's 2018 Equity Incentive Plan (the “Equity Plan”).</w:t>
      </w:r>
    </w:p>
    <w:p>
      <w:pPr>
        <w:spacing w:after="0" w:line="14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Subject to Ms. Francis's and Mr. Maheshwari's continued employment with SI-BONE and the terms and conditions of the Equity Plan and the related award agreement, (i) the RSUs will vest in a series of 16 consecutive quarterly installments, and (ii) the PSUs will vest over the three-year performance period beginning January 1, 2022 and ending on December 31, 2024.</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the PSUs, there will be three separate measurement periods, with each starting on January 1, 2022 and with the first ending on December 31, 2022, the second on December 31, 2023 and the third on December 31, 2024. The actual number of PSUs that will vest ("Shares Earned") in each measurement period will be determined by the Compensation Committee based on SI-BONE's total shareholder return (“TSR”) relative to the TSR of the Median Peer Companies (as defined in the award agreement) in accordance with the following TSR Performance Formula:</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Target Number of PSUs * (100% + ((SI-BONE's TSR - Median Peer Company's TSR)*2)) = Shares Earned</w:t>
      </w:r>
    </w:p>
    <w:p>
      <w:pPr>
        <w:spacing w:after="0" w:line="159"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If SI-BONE’s TSR is –50 points as compared to the Median Peer Company during any measurement period, no PSUs are eligible to vest. The target number of PSUs for Ms. Francis and Mr. Maheshwari are 63,864 shares and 13,934 shares, respectively. For purposes of calculating TSR, stock price will be measured using the average closing price over the 60 consecutive trading days, as defined in the award agreement.</w:t>
      </w:r>
    </w:p>
    <w:p>
      <w:pPr>
        <w:spacing w:after="0" w:line="11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the event of a Change in Control of SI-BONE (as defined in the Equity Plan), the number of PSUs that are eligible to vest will be determined by the Compensation Committee prior to the Change in Control based upon the criteria set forth in the award agreement.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See the form of the PSU award agreement, a copy of which is attached hereto as Exhibit 10.1, for a further description of the terms of the PSUs.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 Regulation FD Disclosure.</w:t>
      </w:r>
    </w:p>
    <w:p>
      <w:pPr>
        <w:spacing w:after="0" w:line="168"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2"/>
          <w:szCs w:val="12"/>
          <w:color w:val="auto"/>
        </w:rPr>
        <w:t>Members of the Company’s management team expect to meet with investors and analysts the week of January 10, 2022, including participating in the 24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Annual Needham Virtual Growth Conference to discuss the Company, using presentation materials which are furnished and attached as Exhibit 99.2.</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51"/>
        </w:trPr>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1500"/>
              <w:spacing w:after="0"/>
              <w:rPr>
                <w:sz w:val="20"/>
                <w:szCs w:val="20"/>
                <w:color w:val="auto"/>
              </w:rPr>
            </w:pPr>
            <w:r>
              <w:rPr>
                <w:rFonts w:ascii="Arial" w:cs="Arial" w:eastAsia="Arial" w:hAnsi="Arial"/>
                <w:sz w:val="12"/>
                <w:szCs w:val="12"/>
                <w:b w:val="1"/>
                <w:bCs w:val="1"/>
                <w:color w:val="auto"/>
              </w:rPr>
              <w:t>Description</w:t>
            </w:r>
          </w:p>
        </w:tc>
        <w:tc>
          <w:tcPr>
            <w:tcW w:w="620" w:type="dxa"/>
            <w:vAlign w:val="bottom"/>
          </w:tcPr>
          <w:p>
            <w:pPr>
              <w:spacing w:after="0"/>
              <w:rPr>
                <w:sz w:val="24"/>
                <w:szCs w:val="24"/>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93"/>
              </w:rPr>
              <w:t>99.1</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0" w:type="dxa"/>
            <w:vAlign w:val="bottom"/>
            <w:gridSpan w:val="5"/>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Press release dated January 10, 2022</w:t>
              </w:r>
            </w:hyperlink>
          </w:p>
        </w:tc>
      </w:tr>
      <w:tr>
        <w:trPr>
          <w:trHeight w:val="133"/>
        </w:trPr>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3"/>
              </w:rPr>
              <w:t>99.2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FF"/>
              <w:bottom w:val="single" w:sz="8" w:color="0000FF"/>
            </w:tcBorders>
          </w:tcPr>
          <w:p>
            <w:pPr>
              <w:spacing w:after="0" w:line="133" w:lineRule="exact"/>
              <w:rPr>
                <w:rFonts w:ascii="Arial" w:cs="Arial" w:eastAsia="Arial" w:hAnsi="Arial"/>
                <w:sz w:val="12"/>
                <w:szCs w:val="12"/>
                <w:color w:val="0000FF"/>
                <w:w w:val="87"/>
              </w:rPr>
            </w:pPr>
            <w:hyperlink w:anchor="page48">
              <w:r>
                <w:rPr>
                  <w:rFonts w:ascii="Arial" w:cs="Arial" w:eastAsia="Arial" w:hAnsi="Arial"/>
                  <w:sz w:val="12"/>
                  <w:szCs w:val="12"/>
                  <w:color w:val="0000FF"/>
                  <w:w w:val="87"/>
                </w:rPr>
                <w:t>Presentation dated January 2022</w:t>
              </w:r>
            </w:hyperlink>
          </w:p>
        </w:tc>
        <w:tc>
          <w:tcPr>
            <w:tcW w:w="200" w:type="dxa"/>
            <w:vAlign w:val="bottom"/>
            <w:tcBorders>
              <w:top w:val="single" w:sz="8" w:color="0000FF"/>
            </w:tcBorders>
          </w:tcPr>
          <w:p>
            <w:pPr>
              <w:spacing w:after="0"/>
              <w:rPr>
                <w:sz w:val="11"/>
                <w:szCs w:val="11"/>
                <w:color w:val="auto"/>
              </w:rPr>
            </w:pPr>
          </w:p>
        </w:tc>
        <w:tc>
          <w:tcPr>
            <w:tcW w:w="8440" w:type="dxa"/>
            <w:vAlign w:val="bottom"/>
            <w:gridSpan w:val="3"/>
          </w:tcPr>
          <w:p>
            <w:pPr>
              <w:spacing w:after="0"/>
              <w:rPr>
                <w:sz w:val="11"/>
                <w:szCs w:val="11"/>
                <w:color w:val="auto"/>
              </w:rPr>
            </w:pPr>
          </w:p>
        </w:tc>
      </w:tr>
      <w:tr>
        <w:trPr>
          <w:trHeight w:val="133"/>
        </w:trPr>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3"/>
              </w:rPr>
              <w:t>10.1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bottom w:val="single" w:sz="8" w:color="0000FF"/>
            </w:tcBorders>
            <w:gridSpan w:val="3"/>
          </w:tcPr>
          <w:p>
            <w:pPr>
              <w:spacing w:after="0" w:line="133" w:lineRule="exact"/>
              <w:rPr>
                <w:rFonts w:ascii="Arial" w:cs="Arial" w:eastAsia="Arial" w:hAnsi="Arial"/>
                <w:sz w:val="12"/>
                <w:szCs w:val="12"/>
                <w:color w:val="0000FF"/>
                <w:w w:val="90"/>
              </w:rPr>
            </w:pPr>
            <w:hyperlink w:anchor="page5">
              <w:r>
                <w:rPr>
                  <w:rFonts w:ascii="Arial" w:cs="Arial" w:eastAsia="Arial" w:hAnsi="Arial"/>
                  <w:sz w:val="12"/>
                  <w:szCs w:val="12"/>
                  <w:color w:val="0000FF"/>
                  <w:w w:val="90"/>
                </w:rPr>
                <w:t>Form of Performance-Based Restricted Stock Unit Agreement</w:t>
              </w:r>
            </w:hyperlink>
          </w:p>
        </w:tc>
        <w:tc>
          <w:tcPr>
            <w:tcW w:w="7200" w:type="dxa"/>
            <w:vAlign w:val="bottom"/>
            <w:gridSpan w:val="2"/>
          </w:tcPr>
          <w:p>
            <w:pPr>
              <w:spacing w:after="0"/>
              <w:rPr>
                <w:sz w:val="11"/>
                <w:szCs w:val="11"/>
                <w:color w:val="auto"/>
              </w:rPr>
            </w:pPr>
          </w:p>
        </w:tc>
      </w:tr>
      <w:tr>
        <w:trPr>
          <w:trHeight w:val="160"/>
        </w:trPr>
        <w:tc>
          <w:tcPr>
            <w:tcW w:w="82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5"/>
          </w:tcPr>
          <w:p>
            <w:pPr>
              <w:spacing w:after="0"/>
              <w:rPr>
                <w:sz w:val="20"/>
                <w:szCs w:val="20"/>
                <w:color w:val="auto"/>
              </w:rPr>
            </w:pPr>
            <w:r>
              <w:rPr>
                <w:rFonts w:ascii="Arial" w:cs="Arial" w:eastAsia="Arial" w:hAnsi="Arial"/>
                <w:sz w:val="12"/>
                <w:szCs w:val="12"/>
                <w:color w:val="auto"/>
              </w:rPr>
              <w:t>Cover Page Interactive Date File (embedded within the Inline XBRL document)</w:t>
            </w:r>
          </w:p>
        </w:tc>
      </w:tr>
      <w:tr>
        <w:trPr>
          <w:trHeight w:val="648"/>
        </w:trPr>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 w:name="page3"/>
    <w:bookmarkEnd w:id="2"/>
    <w:p>
      <w:pPr>
        <w:jc w:val="both"/>
        <w:ind w:firstLine="324"/>
        <w:spacing w:after="0" w:line="298" w:lineRule="auto"/>
        <w:rPr>
          <w:sz w:val="20"/>
          <w:szCs w:val="20"/>
          <w:color w:val="auto"/>
        </w:rPr>
      </w:pPr>
      <w:r>
        <w:rPr>
          <w:rFonts w:ascii="Arial" w:cs="Arial" w:eastAsia="Arial" w:hAnsi="Arial"/>
          <w:sz w:val="11"/>
          <w:szCs w:val="11"/>
          <w:color w:val="auto"/>
        </w:rPr>
        <w:t>The information in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442595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100" w:type="dxa"/>
            <w:vAlign w:val="bottom"/>
            <w:gridSpan w:val="2"/>
          </w:tcPr>
          <w:p>
            <w:pPr>
              <w:ind w:left="1520"/>
              <w:spacing w:after="0"/>
              <w:rPr>
                <w:sz w:val="20"/>
                <w:szCs w:val="20"/>
                <w:color w:val="auto"/>
              </w:rPr>
            </w:pPr>
            <w:r>
              <w:rPr>
                <w:rFonts w:ascii="Arial" w:cs="Arial" w:eastAsia="Arial" w:hAnsi="Arial"/>
                <w:sz w:val="12"/>
                <w:szCs w:val="12"/>
                <w:b w:val="1"/>
                <w:bCs w:val="1"/>
                <w:color w:val="auto"/>
              </w:rPr>
              <w:t>SI-BONE, INC.</w:t>
            </w:r>
          </w:p>
        </w:tc>
      </w:tr>
      <w:tr>
        <w:trPr>
          <w:trHeight w:val="306"/>
        </w:trPr>
        <w:tc>
          <w:tcPr>
            <w:tcW w:w="540" w:type="dxa"/>
            <w:vAlign w:val="bottom"/>
          </w:tcPr>
          <w:p>
            <w:pPr>
              <w:spacing w:after="0"/>
              <w:rPr>
                <w:sz w:val="20"/>
                <w:szCs w:val="20"/>
                <w:color w:val="auto"/>
              </w:rPr>
            </w:pPr>
            <w:r>
              <w:rPr>
                <w:rFonts w:ascii="Arial" w:cs="Arial" w:eastAsia="Arial" w:hAnsi="Arial"/>
                <w:sz w:val="12"/>
                <w:szCs w:val="12"/>
                <w:color w:val="auto"/>
              </w:rPr>
              <w:t>Date:</w:t>
            </w:r>
          </w:p>
        </w:tc>
        <w:tc>
          <w:tcPr>
            <w:tcW w:w="2640" w:type="dxa"/>
            <w:vAlign w:val="bottom"/>
          </w:tcPr>
          <w:p>
            <w:pPr>
              <w:ind w:left="280"/>
              <w:spacing w:after="0"/>
              <w:rPr>
                <w:sz w:val="20"/>
                <w:szCs w:val="20"/>
                <w:color w:val="auto"/>
              </w:rPr>
            </w:pPr>
            <w:r>
              <w:rPr>
                <w:rFonts w:ascii="Arial" w:cs="Arial" w:eastAsia="Arial" w:hAnsi="Arial"/>
                <w:sz w:val="12"/>
                <w:szCs w:val="12"/>
                <w:color w:val="auto"/>
              </w:rPr>
              <w:t>January 10, 2022</w:t>
            </w:r>
          </w:p>
        </w:tc>
        <w:tc>
          <w:tcPr>
            <w:tcW w:w="2220" w:type="dxa"/>
            <w:vAlign w:val="bottom"/>
          </w:tcPr>
          <w:p>
            <w:pPr>
              <w:ind w:left="1520"/>
              <w:spacing w:after="0"/>
              <w:rPr>
                <w:sz w:val="20"/>
                <w:szCs w:val="20"/>
                <w:color w:val="auto"/>
              </w:rPr>
            </w:pPr>
            <w:r>
              <w:rPr>
                <w:rFonts w:ascii="Arial" w:cs="Arial" w:eastAsia="Arial" w:hAnsi="Arial"/>
                <w:sz w:val="12"/>
                <w:szCs w:val="12"/>
                <w:color w:val="auto"/>
              </w:rPr>
              <w:t>By:</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Anshul Maheshwari</w:t>
            </w:r>
          </w:p>
        </w:tc>
      </w:tr>
      <w:tr>
        <w:trPr>
          <w:trHeight w:val="142"/>
        </w:trPr>
        <w:tc>
          <w:tcPr>
            <w:tcW w:w="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80" w:type="dxa"/>
            <w:vAlign w:val="bottom"/>
          </w:tcPr>
          <w:p>
            <w:pPr>
              <w:ind w:left="20"/>
              <w:spacing w:after="0"/>
              <w:rPr>
                <w:sz w:val="20"/>
                <w:szCs w:val="20"/>
                <w:color w:val="auto"/>
              </w:rPr>
            </w:pPr>
            <w:r>
              <w:rPr>
                <w:rFonts w:ascii="Arial" w:cs="Arial" w:eastAsia="Arial" w:hAnsi="Arial"/>
                <w:sz w:val="12"/>
                <w:szCs w:val="12"/>
                <w:color w:val="auto"/>
              </w:rPr>
              <w:t>Anshul Maheshwari</w:t>
            </w:r>
          </w:p>
        </w:tc>
      </w:tr>
    </w:tbl>
    <w:p>
      <w:pPr>
        <w:ind w:left="542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(Principal Financial and Accounting Officer)</w:t>
      </w:r>
    </w:p>
    <w:p>
      <w:pPr>
        <w:sectPr>
          <w:pgSz w:w="11900" w:h="16838" w:orient="portrait"/>
          <w:cols w:equalWidth="0" w:num="1">
            <w:col w:w="11280"/>
          </w:cols>
          <w:pgMar w:left="300" w:top="640"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8269605</wp:posOffset>
            </wp:positionV>
            <wp:extent cx="603631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8280400</wp:posOffset>
            </wp:positionV>
            <wp:extent cx="603631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12065</wp:posOffset>
            </wp:positionV>
            <wp:extent cx="880110" cy="50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011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SI-BONE Announces Revenue for the Fourth Quarter and Full Year 2021</w:t>
      </w:r>
    </w:p>
    <w:p>
      <w:pPr>
        <w:spacing w:after="0" w:line="25" w:lineRule="exact"/>
        <w:rPr>
          <w:sz w:val="20"/>
          <w:szCs w:val="20"/>
          <w:color w:val="auto"/>
        </w:rPr>
      </w:pPr>
    </w:p>
    <w:p>
      <w:pPr>
        <w:ind w:left="3360"/>
        <w:spacing w:after="0"/>
        <w:rPr>
          <w:sz w:val="20"/>
          <w:szCs w:val="20"/>
          <w:color w:val="auto"/>
        </w:rPr>
      </w:pPr>
      <w:r>
        <w:rPr>
          <w:rFonts w:ascii="Arial" w:cs="Arial" w:eastAsia="Arial" w:hAnsi="Arial"/>
          <w:sz w:val="14"/>
          <w:szCs w:val="14"/>
          <w:i w:val="1"/>
          <w:iCs w:val="1"/>
          <w:color w:val="auto"/>
        </w:rPr>
        <w:t>Preliminary 2021 revenue of $89.8-90.1 million represents growth of 22%-23%</w:t>
      </w:r>
    </w:p>
    <w:p>
      <w:pPr>
        <w:spacing w:after="0" w:line="313" w:lineRule="exact"/>
        <w:rPr>
          <w:sz w:val="20"/>
          <w:szCs w:val="20"/>
          <w:color w:val="auto"/>
        </w:rPr>
      </w:pPr>
    </w:p>
    <w:p>
      <w:pPr>
        <w:jc w:val="both"/>
        <w:ind w:right="20"/>
        <w:spacing w:after="0" w:line="277" w:lineRule="auto"/>
        <w:rPr>
          <w:sz w:val="20"/>
          <w:szCs w:val="20"/>
          <w:color w:val="auto"/>
        </w:rPr>
      </w:pPr>
      <w:r>
        <w:rPr>
          <w:rFonts w:ascii="Arial" w:cs="Arial" w:eastAsia="Arial" w:hAnsi="Arial"/>
          <w:sz w:val="13"/>
          <w:szCs w:val="13"/>
          <w:b w:val="1"/>
          <w:bCs w:val="1"/>
          <w:color w:val="auto"/>
        </w:rPr>
        <w:t>SANTA CLARA, Calif.</w:t>
      </w:r>
      <w:r>
        <w:rPr>
          <w:rFonts w:ascii="Arial" w:cs="Arial" w:eastAsia="Arial" w:hAnsi="Arial"/>
          <w:sz w:val="13"/>
          <w:szCs w:val="13"/>
          <w:color w:val="auto"/>
        </w:rPr>
        <w:t>, January 10, 2022 – SI-BONE, Inc. (Nasdaq: SIBN) (“SI-BONE” or the “Company”), a medical device company dedicated to solving musculoskeletal disorders of the sacropelvic anatomy,</w:t>
      </w:r>
      <w:r>
        <w:rPr>
          <w:rFonts w:ascii="Arial" w:cs="Arial" w:eastAsia="Arial" w:hAnsi="Arial"/>
          <w:sz w:val="13"/>
          <w:szCs w:val="13"/>
          <w:b w:val="1"/>
          <w:bCs w:val="1"/>
          <w:color w:val="auto"/>
        </w:rPr>
        <w:t xml:space="preserve"> </w:t>
      </w:r>
      <w:r>
        <w:rPr>
          <w:rFonts w:ascii="Arial" w:cs="Arial" w:eastAsia="Arial" w:hAnsi="Arial"/>
          <w:sz w:val="13"/>
          <w:szCs w:val="13"/>
          <w:color w:val="auto"/>
        </w:rPr>
        <w:t>today announced its preliminary and unaudited revenue for fourth quarter and full year 2021.</w:t>
      </w:r>
    </w:p>
    <w:p>
      <w:pPr>
        <w:spacing w:after="0" w:line="136" w:lineRule="exact"/>
        <w:rPr>
          <w:sz w:val="20"/>
          <w:szCs w:val="20"/>
          <w:color w:val="auto"/>
        </w:rPr>
      </w:pPr>
    </w:p>
    <w:p>
      <w:pPr>
        <w:jc w:val="both"/>
        <w:ind w:right="20"/>
        <w:spacing w:after="0" w:line="300" w:lineRule="auto"/>
        <w:rPr>
          <w:sz w:val="20"/>
          <w:szCs w:val="20"/>
          <w:color w:val="auto"/>
        </w:rPr>
      </w:pPr>
      <w:r>
        <w:rPr>
          <w:rFonts w:ascii="Arial" w:cs="Arial" w:eastAsia="Arial" w:hAnsi="Arial"/>
          <w:sz w:val="13"/>
          <w:szCs w:val="13"/>
          <w:color w:val="auto"/>
        </w:rPr>
        <w:t>Preliminary and unaudited revenue for fourth quarter 2021 is expected to be in the range of $24.9-$25.2 million, reflecting growth of 13%-14% compared to the prior year period. U.S. revenue is expected to be in the range of $23.1-$23.3 million, reflecting growth of 12%-13% compared to the prior year period. International revenue is expected to be in the range of $1.8-$1.9 million.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Preliminary and unaudited revenue for full year 2021 is expected to be in the range of $89.8-90.1 million, reflecting growth of 22%-23% over full year 2020. U.S. revenue is expected to be in the range of $82.5-$82.7 million, reflecting growth of approximately 21% compared to the prior year period. International revenue is expected to be in the range of $7.3-$7.4 million. Cash and marketable securities are expected to be approximately $146 million as of December 31, 2021.</w:t>
      </w:r>
    </w:p>
    <w:p>
      <w:pPr>
        <w:spacing w:after="0" w:line="139" w:lineRule="exact"/>
        <w:rPr>
          <w:sz w:val="20"/>
          <w:szCs w:val="20"/>
          <w:color w:val="auto"/>
        </w:rPr>
      </w:pPr>
    </w:p>
    <w:p>
      <w:pPr>
        <w:jc w:val="both"/>
        <w:spacing w:after="0" w:line="345" w:lineRule="auto"/>
        <w:rPr>
          <w:sz w:val="20"/>
          <w:szCs w:val="20"/>
          <w:color w:val="auto"/>
        </w:rPr>
      </w:pPr>
      <w:r>
        <w:rPr>
          <w:rFonts w:ascii="Arial" w:cs="Arial" w:eastAsia="Arial" w:hAnsi="Arial"/>
          <w:sz w:val="12"/>
          <w:szCs w:val="12"/>
          <w:color w:val="auto"/>
        </w:rPr>
        <w:t>The fourth quarter and full year 2021 revenue and cash and marketable securities included in this release are preliminary and prior to the completion of SI-BONE's financial closing procedures and audit procedures by its external auditors and therefore may be subject to adjustment. SI-BONE expects to provide fourth quarter and full year 2021 financial results during its fourth quarter 2021 earnings call in February 2022.</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SI-BONE, Inc.</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 xml:space="preserve">SI-BONE (NASDAQ: SIBN) is a global leader in technology for surgical treatment of musculoskeletal disorders of the sacropelvic anatomy. In 2009, SI-BONE introduced the iFuse Implant System for minimally invasive surgery of the SI joint, shown to be a source of pain in 15% to 30% of chronic low back pain. Since then, more than 2,600 surgeons have performed a combined total of more than 60,000 SI joint fusion procedures. A unique body of evidence, supporting the iFuse Implant System, including two RCT’s and over 100 peer reviewed publications, has enabled multiple government and private insurance payors to establish coverage of the SI joint fusion procedure exclusively when performed with the iFuse Implant System. SI-BONE is leveraging its market leadership position, supported by this proprietary reimbursement advantage, to commercialize other devices intended for surgical treatment of related aspects of the human anatomy. For more information or to join our team, please visit us at </w:t>
      </w:r>
      <w:r>
        <w:rPr>
          <w:rFonts w:ascii="Arial" w:cs="Arial" w:eastAsia="Arial" w:hAnsi="Arial"/>
          <w:sz w:val="12"/>
          <w:szCs w:val="12"/>
          <w:color w:val="0000FF"/>
        </w:rPr>
        <w:t>www.si-bone.com</w:t>
      </w:r>
      <w:r>
        <w:rPr>
          <w:rFonts w:ascii="Arial" w:cs="Arial" w:eastAsia="Arial" w:hAnsi="Arial"/>
          <w:sz w:val="12"/>
          <w:szCs w:val="12"/>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additional information on the company or the products including risks and benefits, please visit </w:t>
      </w:r>
      <w:r>
        <w:rPr>
          <w:rFonts w:ascii="Arial" w:cs="Arial" w:eastAsia="Arial" w:hAnsi="Arial"/>
          <w:sz w:val="13"/>
          <w:szCs w:val="13"/>
          <w:color w:val="0000FF"/>
        </w:rPr>
        <w:t>www.si-bone.com</w:t>
      </w: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SI-BONE and iFuse Implant System are registered trademarks of SI-BONE, Inc. ©2022 SI-BONE, Inc. All Rights Reserved.</w:t>
      </w:r>
    </w:p>
    <w:p>
      <w:pPr>
        <w:sectPr>
          <w:pgSz w:w="11900" w:h="16838" w:orient="portrait"/>
          <w:cols w:equalWidth="0" w:num="1">
            <w:col w:w="11300"/>
          </w:cols>
          <w:pgMar w:left="300" w:top="640" w:right="29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Forward Looking Statements</w:t>
      </w:r>
    </w:p>
    <w:p>
      <w:pPr>
        <w:spacing w:after="0" w:line="206" w:lineRule="exact"/>
        <w:rPr>
          <w:sz w:val="20"/>
          <w:szCs w:val="20"/>
          <w:color w:val="auto"/>
        </w:rPr>
      </w:pPr>
    </w:p>
    <w:p>
      <w:pPr>
        <w:jc w:val="both"/>
        <w:spacing w:after="0" w:line="335" w:lineRule="auto"/>
        <w:rPr>
          <w:sz w:val="20"/>
          <w:szCs w:val="20"/>
          <w:color w:val="auto"/>
        </w:rPr>
      </w:pPr>
      <w:r>
        <w:rPr>
          <w:rFonts w:ascii="Arial" w:cs="Arial" w:eastAsia="Arial" w:hAnsi="Arial"/>
          <w:sz w:val="12"/>
          <w:szCs w:val="12"/>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SI-BONE’s preliminary fourth quarter and full year 2021 revenue and cash and marketable securities, which is subject to continued review by SI-BONE and its auditors and significant adjustments may be made before final results are determined,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Matt Bacso, CFA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investors@SI-BONE.com</w:t>
      </w:r>
    </w:p>
    <w:p>
      <w:pPr>
        <w:sectPr>
          <w:pgSz w:w="11900" w:h="16838" w:orient="portrait"/>
          <w:cols w:equalWidth="0" w:num="1">
            <w:col w:w="11300"/>
          </w:cols>
          <w:pgMar w:left="300" w:top="818" w:right="299" w:bottom="1440"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2022-01-10T06:10:11Z</dcterms:created>
  <dcterms:modified xsi:type="dcterms:W3CDTF">2022-01-10T06:10:11Z</dcterms:modified>
</cp:coreProperties>
</file>