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ind w:left="294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1" w:lineRule="exact"/>
        <w:rPr>
          <w:sz w:val="24"/>
          <w:szCs w:val="24"/>
          <w:color w:val="auto"/>
        </w:rPr>
      </w:pPr>
    </w:p>
    <w:p>
      <w:pPr>
        <w:ind w:left="294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Date of report (Date of earliest event reported): November 11, 2019</w:t>
      </w:r>
    </w:p>
    <w:p>
      <w:pPr>
        <w:spacing w:after="0" w:line="12" w:lineRule="exact"/>
        <w:rPr>
          <w:sz w:val="24"/>
          <w:szCs w:val="24"/>
          <w:color w:val="auto"/>
        </w:rPr>
      </w:pPr>
    </w:p>
    <w:p>
      <w:pPr>
        <w:ind w:left="294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SI-BONE, INC.</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ind w:left="294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170" w:lineRule="exact"/>
        <w:rPr>
          <w:sz w:val="24"/>
          <w:szCs w:val="24"/>
          <w:color w:val="auto"/>
        </w:rPr>
      </w:pPr>
    </w:p>
    <w:tbl>
      <w:tblPr>
        <w:tblLayout w:type="fixed"/>
        <w:tblInd w:w="700" w:type="dxa"/>
        <w:tblCellMar>
          <w:top w:w="0" w:type="dxa"/>
          <w:left w:w="0" w:type="dxa"/>
          <w:bottom w:w="0" w:type="dxa"/>
          <w:right w:w="0" w:type="dxa"/>
        </w:tblCellMar>
      </w:tblPr>
      <w:tr>
        <w:trPr>
          <w:trHeight w:val="210"/>
        </w:trPr>
        <w:tc>
          <w:tcPr>
            <w:tcW w:w="3240" w:type="dxa"/>
            <w:vAlign w:val="bottom"/>
            <w:gridSpan w:val="3"/>
          </w:tcPr>
          <w:p>
            <w:pPr>
              <w:jc w:val="center"/>
              <w:ind w:right="1179"/>
              <w:spacing w:after="0"/>
              <w:rPr>
                <w:sz w:val="20"/>
                <w:szCs w:val="20"/>
                <w:color w:val="auto"/>
              </w:rPr>
            </w:pPr>
            <w:r>
              <w:rPr>
                <w:rFonts w:ascii="Arial" w:cs="Arial" w:eastAsia="Arial" w:hAnsi="Arial"/>
                <w:sz w:val="16"/>
                <w:szCs w:val="16"/>
                <w:b w:val="1"/>
                <w:bCs w:val="1"/>
                <w:color w:val="auto"/>
                <w:w w:val="93"/>
              </w:rPr>
              <w:t>Delaware</w:t>
            </w:r>
          </w:p>
        </w:tc>
        <w:tc>
          <w:tcPr>
            <w:tcW w:w="2340" w:type="dxa"/>
            <w:vAlign w:val="bottom"/>
            <w:gridSpan w:val="2"/>
          </w:tcPr>
          <w:p>
            <w:pPr>
              <w:jc w:val="center"/>
              <w:ind w:left="959"/>
              <w:spacing w:after="0"/>
              <w:rPr>
                <w:sz w:val="20"/>
                <w:szCs w:val="20"/>
                <w:color w:val="auto"/>
              </w:rPr>
            </w:pPr>
            <w:r>
              <w:rPr>
                <w:rFonts w:ascii="Arial" w:cs="Arial" w:eastAsia="Arial" w:hAnsi="Arial"/>
                <w:sz w:val="16"/>
                <w:szCs w:val="16"/>
                <w:b w:val="1"/>
                <w:bCs w:val="1"/>
                <w:color w:val="auto"/>
                <w:w w:val="91"/>
              </w:rPr>
              <w:t>001-38701</w:t>
            </w:r>
          </w:p>
        </w:tc>
        <w:tc>
          <w:tcPr>
            <w:tcW w:w="1080" w:type="dxa"/>
            <w:vAlign w:val="bottom"/>
          </w:tcPr>
          <w:p>
            <w:pPr>
              <w:spacing w:after="0"/>
              <w:rPr>
                <w:sz w:val="18"/>
                <w:szCs w:val="18"/>
                <w:color w:val="auto"/>
              </w:rPr>
            </w:pPr>
          </w:p>
        </w:tc>
        <w:tc>
          <w:tcPr>
            <w:tcW w:w="3020" w:type="dxa"/>
            <w:vAlign w:val="bottom"/>
          </w:tcPr>
          <w:p>
            <w:pPr>
              <w:jc w:val="right"/>
              <w:ind w:right="339"/>
              <w:spacing w:after="0"/>
              <w:rPr>
                <w:sz w:val="20"/>
                <w:szCs w:val="20"/>
                <w:color w:val="auto"/>
              </w:rPr>
            </w:pPr>
            <w:r>
              <w:rPr>
                <w:rFonts w:ascii="Arial" w:cs="Arial" w:eastAsia="Arial" w:hAnsi="Arial"/>
                <w:sz w:val="16"/>
                <w:szCs w:val="16"/>
                <w:b w:val="1"/>
                <w:bCs w:val="1"/>
                <w:color w:val="auto"/>
              </w:rPr>
              <w:t>26-2216351</w:t>
            </w:r>
          </w:p>
        </w:tc>
      </w:tr>
      <w:tr>
        <w:trPr>
          <w:trHeight w:val="253"/>
        </w:trPr>
        <w:tc>
          <w:tcPr>
            <w:tcW w:w="3240" w:type="dxa"/>
            <w:vAlign w:val="bottom"/>
            <w:gridSpan w:val="3"/>
          </w:tcPr>
          <w:p>
            <w:pPr>
              <w:jc w:val="center"/>
              <w:ind w:right="1199"/>
              <w:spacing w:after="0"/>
              <w:rPr>
                <w:sz w:val="20"/>
                <w:szCs w:val="20"/>
                <w:color w:val="auto"/>
              </w:rPr>
            </w:pPr>
            <w:r>
              <w:rPr>
                <w:rFonts w:ascii="Arial" w:cs="Arial" w:eastAsia="Arial" w:hAnsi="Arial"/>
                <w:sz w:val="16"/>
                <w:szCs w:val="16"/>
                <w:color w:val="auto"/>
                <w:w w:val="93"/>
              </w:rPr>
              <w:t>(State or other jurisdiction of</w:t>
            </w:r>
          </w:p>
        </w:tc>
        <w:tc>
          <w:tcPr>
            <w:tcW w:w="1040" w:type="dxa"/>
            <w:vAlign w:val="bottom"/>
          </w:tcPr>
          <w:p>
            <w:pPr>
              <w:spacing w:after="0"/>
              <w:rPr>
                <w:sz w:val="21"/>
                <w:szCs w:val="21"/>
                <w:color w:val="auto"/>
              </w:rPr>
            </w:pPr>
          </w:p>
        </w:tc>
        <w:tc>
          <w:tcPr>
            <w:tcW w:w="2380" w:type="dxa"/>
            <w:vAlign w:val="bottom"/>
            <w:gridSpan w:val="2"/>
          </w:tcPr>
          <w:p>
            <w:pPr>
              <w:jc w:val="center"/>
              <w:ind w:right="1080"/>
              <w:spacing w:after="0"/>
              <w:rPr>
                <w:sz w:val="20"/>
                <w:szCs w:val="20"/>
                <w:color w:val="auto"/>
              </w:rPr>
            </w:pPr>
            <w:r>
              <w:rPr>
                <w:rFonts w:ascii="Arial" w:cs="Arial" w:eastAsia="Arial" w:hAnsi="Arial"/>
                <w:sz w:val="16"/>
                <w:szCs w:val="16"/>
                <w:color w:val="auto"/>
                <w:w w:val="92"/>
              </w:rPr>
              <w:t>(Commission</w:t>
            </w:r>
          </w:p>
        </w:tc>
        <w:tc>
          <w:tcPr>
            <w:tcW w:w="3020" w:type="dxa"/>
            <w:vAlign w:val="bottom"/>
          </w:tcPr>
          <w:p>
            <w:pPr>
              <w:jc w:val="center"/>
              <w:ind w:left="1179"/>
              <w:spacing w:after="0"/>
              <w:rPr>
                <w:sz w:val="20"/>
                <w:szCs w:val="20"/>
                <w:color w:val="auto"/>
              </w:rPr>
            </w:pPr>
            <w:r>
              <w:rPr>
                <w:rFonts w:ascii="Arial" w:cs="Arial" w:eastAsia="Arial" w:hAnsi="Arial"/>
                <w:sz w:val="16"/>
                <w:szCs w:val="16"/>
                <w:color w:val="auto"/>
                <w:w w:val="95"/>
              </w:rPr>
              <w:t>(I.R.S. Employer</w:t>
            </w:r>
          </w:p>
        </w:tc>
      </w:tr>
      <w:tr>
        <w:trPr>
          <w:trHeight w:val="206"/>
        </w:trPr>
        <w:tc>
          <w:tcPr>
            <w:tcW w:w="3240" w:type="dxa"/>
            <w:vAlign w:val="bottom"/>
            <w:gridSpan w:val="3"/>
          </w:tcPr>
          <w:p>
            <w:pPr>
              <w:jc w:val="center"/>
              <w:ind w:right="1199"/>
              <w:spacing w:after="0"/>
              <w:rPr>
                <w:sz w:val="20"/>
                <w:szCs w:val="20"/>
                <w:color w:val="auto"/>
              </w:rPr>
            </w:pPr>
            <w:r>
              <w:rPr>
                <w:rFonts w:ascii="Arial" w:cs="Arial" w:eastAsia="Arial" w:hAnsi="Arial"/>
                <w:sz w:val="16"/>
                <w:szCs w:val="16"/>
                <w:color w:val="auto"/>
                <w:w w:val="94"/>
              </w:rPr>
              <w:t>incorporation or organization)</w:t>
            </w:r>
          </w:p>
        </w:tc>
        <w:tc>
          <w:tcPr>
            <w:tcW w:w="1040" w:type="dxa"/>
            <w:vAlign w:val="bottom"/>
          </w:tcPr>
          <w:p>
            <w:pPr>
              <w:spacing w:after="0"/>
              <w:rPr>
                <w:sz w:val="17"/>
                <w:szCs w:val="17"/>
                <w:color w:val="auto"/>
              </w:rPr>
            </w:pPr>
          </w:p>
        </w:tc>
        <w:tc>
          <w:tcPr>
            <w:tcW w:w="2380" w:type="dxa"/>
            <w:vAlign w:val="bottom"/>
            <w:gridSpan w:val="2"/>
          </w:tcPr>
          <w:p>
            <w:pPr>
              <w:jc w:val="center"/>
              <w:ind w:right="1100"/>
              <w:spacing w:after="0"/>
              <w:rPr>
                <w:sz w:val="20"/>
                <w:szCs w:val="20"/>
                <w:color w:val="auto"/>
              </w:rPr>
            </w:pPr>
            <w:r>
              <w:rPr>
                <w:rFonts w:ascii="Arial" w:cs="Arial" w:eastAsia="Arial" w:hAnsi="Arial"/>
                <w:sz w:val="16"/>
                <w:szCs w:val="16"/>
                <w:color w:val="auto"/>
                <w:w w:val="95"/>
              </w:rPr>
              <w:t>File Number)</w:t>
            </w:r>
          </w:p>
        </w:tc>
        <w:tc>
          <w:tcPr>
            <w:tcW w:w="3020" w:type="dxa"/>
            <w:vAlign w:val="bottom"/>
          </w:tcPr>
          <w:p>
            <w:pPr>
              <w:jc w:val="center"/>
              <w:ind w:left="1179"/>
              <w:spacing w:after="0"/>
              <w:rPr>
                <w:sz w:val="20"/>
                <w:szCs w:val="20"/>
                <w:color w:val="auto"/>
              </w:rPr>
            </w:pPr>
            <w:r>
              <w:rPr>
                <w:rFonts w:ascii="Arial" w:cs="Arial" w:eastAsia="Arial" w:hAnsi="Arial"/>
                <w:sz w:val="16"/>
                <w:szCs w:val="16"/>
                <w:color w:val="auto"/>
                <w:w w:val="96"/>
              </w:rPr>
              <w:t>Identification No.)</w:t>
            </w:r>
          </w:p>
        </w:tc>
      </w:tr>
      <w:tr>
        <w:trPr>
          <w:trHeight w:val="397"/>
        </w:trPr>
        <w:tc>
          <w:tcPr>
            <w:tcW w:w="1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3"/>
              </w:rPr>
              <w:t>471 El Camino Real</w:t>
            </w:r>
          </w:p>
        </w:tc>
        <w:tc>
          <w:tcPr>
            <w:tcW w:w="3020" w:type="dxa"/>
            <w:vAlign w:val="bottom"/>
          </w:tcPr>
          <w:p>
            <w:pPr>
              <w:spacing w:after="0"/>
              <w:rPr>
                <w:sz w:val="24"/>
                <w:szCs w:val="24"/>
                <w:color w:val="auto"/>
              </w:rPr>
            </w:pPr>
          </w:p>
        </w:tc>
      </w:tr>
      <w:tr>
        <w:trPr>
          <w:trHeight w:val="189"/>
        </w:trPr>
        <w:tc>
          <w:tcPr>
            <w:tcW w:w="1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380" w:type="dxa"/>
            <w:vAlign w:val="bottom"/>
            <w:gridSpan w:val="2"/>
          </w:tcPr>
          <w:p>
            <w:pPr>
              <w:jc w:val="center"/>
              <w:ind w:right="980"/>
              <w:spacing w:after="0"/>
              <w:rPr>
                <w:sz w:val="20"/>
                <w:szCs w:val="20"/>
                <w:color w:val="auto"/>
              </w:rPr>
            </w:pPr>
            <w:r>
              <w:rPr>
                <w:rFonts w:ascii="Arial" w:cs="Arial" w:eastAsia="Arial" w:hAnsi="Arial"/>
                <w:sz w:val="16"/>
                <w:szCs w:val="16"/>
                <w:b w:val="1"/>
                <w:bCs w:val="1"/>
                <w:color w:val="auto"/>
                <w:w w:val="91"/>
              </w:rPr>
              <w:t>Suite 101</w:t>
            </w:r>
          </w:p>
        </w:tc>
        <w:tc>
          <w:tcPr>
            <w:tcW w:w="3020" w:type="dxa"/>
            <w:vAlign w:val="bottom"/>
          </w:tcPr>
          <w:p>
            <w:pPr>
              <w:spacing w:after="0"/>
              <w:rPr>
                <w:sz w:val="16"/>
                <w:szCs w:val="16"/>
                <w:color w:val="auto"/>
              </w:rPr>
            </w:pPr>
          </w:p>
        </w:tc>
      </w:tr>
      <w:tr>
        <w:trPr>
          <w:trHeight w:val="193"/>
        </w:trPr>
        <w:tc>
          <w:tcPr>
            <w:tcW w:w="1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4"/>
              </w:rPr>
              <w:t>Santa Clara, CA 95050</w:t>
            </w:r>
          </w:p>
        </w:tc>
        <w:tc>
          <w:tcPr>
            <w:tcW w:w="3020" w:type="dxa"/>
            <w:vAlign w:val="bottom"/>
          </w:tcPr>
          <w:p>
            <w:pPr>
              <w:spacing w:after="0"/>
              <w:rPr>
                <w:sz w:val="16"/>
                <w:szCs w:val="16"/>
                <w:color w:val="auto"/>
              </w:rPr>
            </w:pPr>
          </w:p>
        </w:tc>
      </w:tr>
      <w:tr>
        <w:trPr>
          <w:trHeight w:val="206"/>
        </w:trPr>
        <w:tc>
          <w:tcPr>
            <w:tcW w:w="1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20" w:type="dxa"/>
            <w:vAlign w:val="bottom"/>
            <w:gridSpan w:val="3"/>
          </w:tcPr>
          <w:p>
            <w:pPr>
              <w:jc w:val="center"/>
              <w:spacing w:after="0"/>
              <w:rPr>
                <w:sz w:val="20"/>
                <w:szCs w:val="20"/>
                <w:color w:val="auto"/>
              </w:rPr>
            </w:pPr>
            <w:r>
              <w:rPr>
                <w:rFonts w:ascii="Arial" w:cs="Arial" w:eastAsia="Arial" w:hAnsi="Arial"/>
                <w:sz w:val="16"/>
                <w:szCs w:val="16"/>
                <w:color w:val="auto"/>
                <w:w w:val="93"/>
              </w:rPr>
              <w:t>(Address of principal executive offices) (Zip Code)</w:t>
            </w:r>
          </w:p>
        </w:tc>
        <w:tc>
          <w:tcPr>
            <w:tcW w:w="3020" w:type="dxa"/>
            <w:vAlign w:val="bottom"/>
          </w:tcPr>
          <w:p>
            <w:pPr>
              <w:spacing w:after="0"/>
              <w:rPr>
                <w:sz w:val="17"/>
                <w:szCs w:val="17"/>
                <w:color w:val="auto"/>
              </w:rPr>
            </w:pPr>
          </w:p>
        </w:tc>
      </w:tr>
      <w:tr>
        <w:trPr>
          <w:trHeight w:val="388"/>
        </w:trPr>
        <w:tc>
          <w:tcPr>
            <w:tcW w:w="1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340" w:type="dxa"/>
            <w:vAlign w:val="bottom"/>
            <w:gridSpan w:val="2"/>
          </w:tcPr>
          <w:p>
            <w:pPr>
              <w:jc w:val="center"/>
              <w:ind w:left="1039"/>
              <w:spacing w:after="0"/>
              <w:rPr>
                <w:sz w:val="20"/>
                <w:szCs w:val="20"/>
                <w:color w:val="auto"/>
              </w:rPr>
            </w:pPr>
            <w:r>
              <w:rPr>
                <w:rFonts w:ascii="Arial" w:cs="Arial" w:eastAsia="Arial" w:hAnsi="Arial"/>
                <w:sz w:val="16"/>
                <w:szCs w:val="16"/>
                <w:b w:val="1"/>
                <w:bCs w:val="1"/>
                <w:color w:val="auto"/>
                <w:w w:val="93"/>
              </w:rPr>
              <w:t>(408) 207-0700</w:t>
            </w:r>
          </w:p>
        </w:tc>
        <w:tc>
          <w:tcPr>
            <w:tcW w:w="108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206"/>
        </w:trPr>
        <w:tc>
          <w:tcPr>
            <w:tcW w:w="1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20" w:type="dxa"/>
            <w:vAlign w:val="bottom"/>
            <w:gridSpan w:val="3"/>
          </w:tcPr>
          <w:p>
            <w:pPr>
              <w:jc w:val="center"/>
              <w:spacing w:after="0"/>
              <w:rPr>
                <w:sz w:val="20"/>
                <w:szCs w:val="20"/>
                <w:color w:val="auto"/>
              </w:rPr>
            </w:pPr>
            <w:r>
              <w:rPr>
                <w:rFonts w:ascii="Arial" w:cs="Arial" w:eastAsia="Arial" w:hAnsi="Arial"/>
                <w:sz w:val="16"/>
                <w:szCs w:val="16"/>
                <w:color w:val="auto"/>
                <w:w w:val="90"/>
              </w:rPr>
              <w:t>(Registrant’s telephone number, include area code)</w:t>
            </w:r>
          </w:p>
        </w:tc>
        <w:tc>
          <w:tcPr>
            <w:tcW w:w="3020" w:type="dxa"/>
            <w:vAlign w:val="bottom"/>
          </w:tcPr>
          <w:p>
            <w:pPr>
              <w:spacing w:after="0"/>
              <w:rPr>
                <w:sz w:val="17"/>
                <w:szCs w:val="17"/>
                <w:color w:val="auto"/>
              </w:rPr>
            </w:pPr>
          </w:p>
        </w:tc>
      </w:tr>
      <w:tr>
        <w:trPr>
          <w:trHeight w:val="388"/>
        </w:trPr>
        <w:tc>
          <w:tcPr>
            <w:tcW w:w="1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380" w:type="dxa"/>
            <w:vAlign w:val="bottom"/>
            <w:gridSpan w:val="2"/>
          </w:tcPr>
          <w:p>
            <w:pPr>
              <w:jc w:val="center"/>
              <w:ind w:right="980"/>
              <w:spacing w:after="0"/>
              <w:rPr>
                <w:sz w:val="20"/>
                <w:szCs w:val="20"/>
                <w:color w:val="auto"/>
              </w:rPr>
            </w:pPr>
            <w:r>
              <w:rPr>
                <w:rFonts w:ascii="Arial" w:cs="Arial" w:eastAsia="Arial" w:hAnsi="Arial"/>
                <w:sz w:val="16"/>
                <w:szCs w:val="16"/>
                <w:b w:val="1"/>
                <w:bCs w:val="1"/>
                <w:color w:val="auto"/>
              </w:rPr>
              <w:t>N/A</w:t>
            </w:r>
          </w:p>
        </w:tc>
        <w:tc>
          <w:tcPr>
            <w:tcW w:w="3020" w:type="dxa"/>
            <w:vAlign w:val="bottom"/>
          </w:tcPr>
          <w:p>
            <w:pPr>
              <w:spacing w:after="0"/>
              <w:rPr>
                <w:sz w:val="24"/>
                <w:szCs w:val="24"/>
                <w:color w:val="auto"/>
              </w:rPr>
            </w:pPr>
          </w:p>
        </w:tc>
      </w:tr>
      <w:tr>
        <w:trPr>
          <w:trHeight w:val="206"/>
        </w:trPr>
        <w:tc>
          <w:tcPr>
            <w:tcW w:w="1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340" w:type="dxa"/>
            <w:vAlign w:val="bottom"/>
            <w:gridSpan w:val="5"/>
          </w:tcPr>
          <w:p>
            <w:pPr>
              <w:jc w:val="center"/>
              <w:ind w:right="1979"/>
              <w:spacing w:after="0"/>
              <w:rPr>
                <w:sz w:val="20"/>
                <w:szCs w:val="20"/>
                <w:color w:val="auto"/>
              </w:rPr>
            </w:pPr>
            <w:r>
              <w:rPr>
                <w:rFonts w:ascii="Arial" w:cs="Arial" w:eastAsia="Arial" w:hAnsi="Arial"/>
                <w:sz w:val="16"/>
                <w:szCs w:val="16"/>
                <w:color w:val="auto"/>
                <w:w w:val="92"/>
              </w:rPr>
              <w:t>(Former Name or Former Address, if Changed Since Last Report)</w:t>
            </w:r>
          </w:p>
        </w:tc>
      </w:tr>
      <w:tr>
        <w:trPr>
          <w:trHeight w:val="378"/>
        </w:trPr>
        <w:tc>
          <w:tcPr>
            <w:tcW w:w="1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340" w:type="dxa"/>
            <w:vAlign w:val="bottom"/>
            <w:gridSpan w:val="5"/>
          </w:tcPr>
          <w:p>
            <w:pPr>
              <w:jc w:val="center"/>
              <w:ind w:right="1999"/>
              <w:spacing w:after="0"/>
              <w:rPr>
                <w:sz w:val="20"/>
                <w:szCs w:val="20"/>
                <w:color w:val="auto"/>
              </w:rPr>
            </w:pPr>
            <w:r>
              <w:rPr>
                <w:rFonts w:ascii="Arial" w:cs="Arial" w:eastAsia="Arial" w:hAnsi="Arial"/>
                <w:sz w:val="16"/>
                <w:szCs w:val="16"/>
                <w:color w:val="auto"/>
                <w:w w:val="92"/>
              </w:rPr>
              <w:t>Securities registered pursuant to Section 12(b) of the Act:</w:t>
            </w:r>
          </w:p>
        </w:tc>
      </w:tr>
      <w:tr>
        <w:trPr>
          <w:trHeight w:val="317"/>
        </w:trPr>
        <w:tc>
          <w:tcPr>
            <w:tcW w:w="1140" w:type="dxa"/>
            <w:vAlign w:val="bottom"/>
          </w:tcPr>
          <w:p>
            <w:pPr>
              <w:spacing w:after="0"/>
              <w:rPr>
                <w:sz w:val="24"/>
                <w:szCs w:val="24"/>
                <w:color w:val="auto"/>
              </w:rPr>
            </w:pPr>
          </w:p>
        </w:tc>
        <w:tc>
          <w:tcPr>
            <w:tcW w:w="2100" w:type="dxa"/>
            <w:vAlign w:val="bottom"/>
            <w:gridSpan w:val="2"/>
          </w:tcPr>
          <w:p>
            <w:pPr>
              <w:jc w:val="center"/>
              <w:ind w:right="819"/>
              <w:spacing w:after="0"/>
              <w:rPr>
                <w:sz w:val="20"/>
                <w:szCs w:val="20"/>
                <w:color w:val="auto"/>
              </w:rPr>
            </w:pPr>
            <w:r>
              <w:rPr>
                <w:rFonts w:ascii="Arial" w:cs="Arial" w:eastAsia="Arial" w:hAnsi="Arial"/>
                <w:sz w:val="16"/>
                <w:szCs w:val="16"/>
                <w:b w:val="1"/>
                <w:bCs w:val="1"/>
                <w:color w:val="auto"/>
                <w:w w:val="87"/>
              </w:rPr>
              <w:t>Title of each class</w:t>
            </w:r>
          </w:p>
        </w:tc>
        <w:tc>
          <w:tcPr>
            <w:tcW w:w="342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92"/>
              </w:rPr>
              <w:t>Trading Symbol(s)</w:t>
            </w:r>
          </w:p>
        </w:tc>
        <w:tc>
          <w:tcPr>
            <w:tcW w:w="3020" w:type="dxa"/>
            <w:vAlign w:val="bottom"/>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0"/>
        </w:trPr>
        <w:tc>
          <w:tcPr>
            <w:tcW w:w="11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r>
      <w:tr>
        <w:trPr>
          <w:trHeight w:val="271"/>
        </w:trPr>
        <w:tc>
          <w:tcPr>
            <w:tcW w:w="3240" w:type="dxa"/>
            <w:vAlign w:val="bottom"/>
            <w:gridSpan w:val="3"/>
          </w:tcPr>
          <w:p>
            <w:pPr>
              <w:jc w:val="center"/>
              <w:ind w:left="159"/>
              <w:spacing w:after="0"/>
              <w:rPr>
                <w:sz w:val="20"/>
                <w:szCs w:val="20"/>
                <w:color w:val="auto"/>
              </w:rPr>
            </w:pPr>
            <w:r>
              <w:rPr>
                <w:rFonts w:ascii="Arial" w:cs="Arial" w:eastAsia="Arial" w:hAnsi="Arial"/>
                <w:sz w:val="16"/>
                <w:szCs w:val="16"/>
                <w:color w:val="auto"/>
                <w:w w:val="90"/>
              </w:rPr>
              <w:t>Common Stock, par value $0.0001 per share</w:t>
            </w:r>
          </w:p>
        </w:tc>
        <w:tc>
          <w:tcPr>
            <w:tcW w:w="1040" w:type="dxa"/>
            <w:vAlign w:val="bottom"/>
          </w:tcPr>
          <w:p>
            <w:pPr>
              <w:spacing w:after="0"/>
              <w:rPr>
                <w:sz w:val="23"/>
                <w:szCs w:val="23"/>
                <w:color w:val="auto"/>
              </w:rPr>
            </w:pPr>
          </w:p>
        </w:tc>
        <w:tc>
          <w:tcPr>
            <w:tcW w:w="2380" w:type="dxa"/>
            <w:vAlign w:val="bottom"/>
            <w:gridSpan w:val="2"/>
          </w:tcPr>
          <w:p>
            <w:pPr>
              <w:jc w:val="center"/>
              <w:ind w:right="1080"/>
              <w:spacing w:after="0"/>
              <w:rPr>
                <w:sz w:val="20"/>
                <w:szCs w:val="20"/>
                <w:color w:val="auto"/>
              </w:rPr>
            </w:pPr>
            <w:r>
              <w:rPr>
                <w:rFonts w:ascii="Arial" w:cs="Arial" w:eastAsia="Arial" w:hAnsi="Arial"/>
                <w:sz w:val="16"/>
                <w:szCs w:val="16"/>
                <w:color w:val="auto"/>
              </w:rPr>
              <w:t>SIBN</w:t>
            </w:r>
          </w:p>
        </w:tc>
        <w:tc>
          <w:tcPr>
            <w:tcW w:w="3020" w:type="dxa"/>
            <w:vAlign w:val="bottom"/>
          </w:tcPr>
          <w:p>
            <w:pPr>
              <w:jc w:val="center"/>
              <w:spacing w:after="0"/>
              <w:rPr>
                <w:sz w:val="20"/>
                <w:szCs w:val="20"/>
                <w:color w:val="auto"/>
              </w:rPr>
            </w:pPr>
            <w:r>
              <w:rPr>
                <w:rFonts w:ascii="Arial" w:cs="Arial" w:eastAsia="Arial" w:hAnsi="Arial"/>
                <w:sz w:val="16"/>
                <w:szCs w:val="16"/>
                <w:color w:val="auto"/>
                <w:w w:val="93"/>
              </w:rPr>
              <w:t>The Nasdaq Global Market</w:t>
            </w:r>
          </w:p>
        </w:tc>
      </w:tr>
    </w:tbl>
    <w:p>
      <w:pPr>
        <w:spacing w:after="0" w:line="212"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395" w:lineRule="exact"/>
        <w:rPr>
          <w:sz w:val="24"/>
          <w:szCs w:val="24"/>
          <w:color w:val="auto"/>
        </w:rPr>
      </w:pPr>
    </w:p>
    <w:p>
      <w:pPr>
        <w:ind w:left="1620" w:hanging="707"/>
        <w:spacing w:after="0"/>
        <w:tabs>
          <w:tab w:leader="none" w:pos="162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07" w:lineRule="exact"/>
        <w:rPr>
          <w:rFonts w:ascii="Arial" w:cs="Arial" w:eastAsia="Arial" w:hAnsi="Arial"/>
          <w:sz w:val="16"/>
          <w:szCs w:val="16"/>
          <w:color w:val="auto"/>
        </w:rPr>
      </w:pPr>
    </w:p>
    <w:p>
      <w:pPr>
        <w:ind w:left="1620" w:hanging="707"/>
        <w:spacing w:after="0"/>
        <w:tabs>
          <w:tab w:leader="none" w:pos="162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07" w:lineRule="exact"/>
        <w:rPr>
          <w:rFonts w:ascii="Arial" w:cs="Arial" w:eastAsia="Arial" w:hAnsi="Arial"/>
          <w:sz w:val="16"/>
          <w:szCs w:val="16"/>
          <w:color w:val="auto"/>
        </w:rPr>
      </w:pPr>
    </w:p>
    <w:p>
      <w:pPr>
        <w:ind w:left="1620" w:hanging="707"/>
        <w:spacing w:after="0"/>
        <w:tabs>
          <w:tab w:leader="none" w:pos="162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208" w:lineRule="exact"/>
        <w:rPr>
          <w:sz w:val="24"/>
          <w:szCs w:val="24"/>
          <w:color w:val="auto"/>
        </w:rPr>
      </w:pPr>
    </w:p>
    <w:p>
      <w:pPr>
        <w:ind w:left="1640" w:hanging="706"/>
        <w:spacing w:after="0"/>
        <w:tabs>
          <w:tab w:leader="none" w:pos="1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62" w:lineRule="exact"/>
        <w:rPr>
          <w:sz w:val="24"/>
          <w:szCs w:val="24"/>
          <w:color w:val="auto"/>
        </w:rPr>
      </w:pPr>
    </w:p>
    <w:p>
      <w:pPr>
        <w:jc w:val="center"/>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3" w:lineRule="exact"/>
        <w:rPr>
          <w:sz w:val="24"/>
          <w:szCs w:val="24"/>
          <w:color w:val="auto"/>
        </w:rPr>
      </w:pPr>
    </w:p>
    <w:p>
      <w:pPr>
        <w:jc w:val="center"/>
        <w:ind w:right="-19"/>
        <w:spacing w:after="0" w:line="184" w:lineRule="exact"/>
        <w:tabs>
          <w:tab w:leader="none" w:pos="18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1" w:lineRule="exact"/>
        <w:rPr>
          <w:sz w:val="24"/>
          <w:szCs w:val="24"/>
          <w:color w:val="auto"/>
        </w:rPr>
      </w:pPr>
    </w:p>
    <w:p>
      <w:pPr>
        <w:jc w:val="center"/>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340"/>
          </w:cols>
          <w:pgMar w:left="280" w:top="684" w:right="2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229"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On November 11, 2019, SI-BONE, Inc. (the "Company") issued a press release (the “Press Release”) announcing results for the quarter ended September 30, 2019. A copy of the Press Release is attached as Exhibit 99.1 to this current report on Form 8-K and is incorporated by reference herein.</w:t>
      </w:r>
    </w:p>
    <w:p>
      <w:pPr>
        <w:spacing w:after="0" w:line="12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information under Item 2.02 in this current report on Form 8-K and the related information in the exhibit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 No.</w:t>
            </w:r>
          </w:p>
        </w:tc>
        <w:tc>
          <w:tcPr>
            <w:tcW w:w="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6800" w:type="dxa"/>
            <w:vAlign w:val="bottom"/>
          </w:tcPr>
          <w:p>
            <w:pPr>
              <w:ind w:left="15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6800" w:type="dxa"/>
            <w:vAlign w:val="bottom"/>
            <w:tcBorders>
              <w:bottom w:val="single" w:sz="8" w:color="auto"/>
            </w:tcBorders>
          </w:tcPr>
          <w:p>
            <w:pPr>
              <w:spacing w:after="0"/>
              <w:rPr>
                <w:sz w:val="2"/>
                <w:szCs w:val="2"/>
                <w:color w:val="auto"/>
              </w:rPr>
            </w:pPr>
          </w:p>
        </w:tc>
      </w:tr>
      <w:tr>
        <w:trPr>
          <w:trHeight w:val="466"/>
        </w:trPr>
        <w:tc>
          <w:tcPr>
            <w:tcW w:w="960" w:type="dxa"/>
            <w:vAlign w:val="bottom"/>
          </w:tcPr>
          <w:p>
            <w:pPr>
              <w:ind w:left="40"/>
              <w:spacing w:after="0"/>
              <w:rPr>
                <w:sz w:val="20"/>
                <w:szCs w:val="20"/>
                <w:color w:val="auto"/>
              </w:rPr>
            </w:pPr>
            <w:r>
              <w:rPr>
                <w:rFonts w:ascii="Arial" w:cs="Arial" w:eastAsia="Arial" w:hAnsi="Arial"/>
                <w:sz w:val="18"/>
                <w:szCs w:val="18"/>
                <w:color w:val="auto"/>
              </w:rPr>
              <w:t>99.1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40" w:type="dxa"/>
            <w:vAlign w:val="bottom"/>
            <w:tcBorders>
              <w:bottom w:val="single" w:sz="8" w:color="0000FF"/>
            </w:tcBorders>
          </w:tcPr>
          <w:p>
            <w:pPr>
              <w:spacing w:after="0"/>
              <w:rPr>
                <w:rFonts w:ascii="Arial" w:cs="Arial" w:eastAsia="Arial" w:hAnsi="Arial"/>
                <w:sz w:val="18"/>
                <w:szCs w:val="18"/>
                <w:color w:val="0000FF"/>
                <w:w w:val="87"/>
              </w:rPr>
            </w:pPr>
            <w:hyperlink w:anchor="page4">
              <w:r>
                <w:rPr>
                  <w:rFonts w:ascii="Arial" w:cs="Arial" w:eastAsia="Arial" w:hAnsi="Arial"/>
                  <w:sz w:val="18"/>
                  <w:szCs w:val="18"/>
                  <w:color w:val="0000FF"/>
                  <w:w w:val="87"/>
                </w:rPr>
                <w:t>Press release dated November 11, 2019</w:t>
              </w:r>
            </w:hyperlink>
          </w:p>
        </w:tc>
        <w:tc>
          <w:tcPr>
            <w:tcW w:w="680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2" w:name="page3"/>
    <w:bookmarkEnd w:id="2"/>
    <w:p>
      <w:pPr>
        <w:jc w:val="center"/>
        <w:ind w:right="-7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SI-BONE, INC.</w:t>
      </w:r>
    </w:p>
    <w:p>
      <w:pPr>
        <w:spacing w:after="0" w:line="337" w:lineRule="exact"/>
        <w:rPr>
          <w:sz w:val="20"/>
          <w:szCs w:val="20"/>
          <w:color w:val="auto"/>
        </w:rPr>
      </w:pPr>
    </w:p>
    <w:p>
      <w:pPr>
        <w:ind w:left="40"/>
        <w:spacing w:after="0"/>
        <w:tabs>
          <w:tab w:leader="none" w:pos="940" w:val="left"/>
          <w:tab w:leader="none" w:pos="4820" w:val="left"/>
          <w:tab w:leader="none" w:pos="55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12,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Laura 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31750</wp:posOffset>
            </wp:positionV>
            <wp:extent cx="37649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5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Laura A. Francis</w:t>
      </w:r>
    </w:p>
    <w:p>
      <w:pPr>
        <w:spacing w:after="0" w:line="6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Chief Operating Officer and Chief Financial Officer</w:t>
      </w:r>
    </w:p>
    <w:p>
      <w:pPr>
        <w:spacing w:after="0" w:line="6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0720"/>
          </w:cols>
          <w:pgMar w:left="240" w:top="580" w:right="9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5930900</wp:posOffset>
            </wp:positionH>
            <wp:positionV relativeFrom="paragraph">
              <wp:posOffset>17145</wp:posOffset>
            </wp:positionV>
            <wp:extent cx="1320800" cy="754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0800"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SI-BONE, Inc. Reports Third Quarter 2019 Financial Results and Updates Full-Year 2019 Revenue Guidance</w:t>
      </w:r>
    </w:p>
    <w:p>
      <w:pPr>
        <w:spacing w:after="0" w:line="200" w:lineRule="exact"/>
        <w:rPr>
          <w:sz w:val="20"/>
          <w:szCs w:val="20"/>
          <w:color w:val="auto"/>
        </w:rPr>
      </w:pPr>
    </w:p>
    <w:p>
      <w:pPr>
        <w:spacing w:after="0" w:line="272" w:lineRule="exact"/>
        <w:rPr>
          <w:sz w:val="20"/>
          <w:szCs w:val="20"/>
          <w:color w:val="auto"/>
        </w:rPr>
      </w:pPr>
    </w:p>
    <w:p>
      <w:pPr>
        <w:spacing w:after="0" w:line="323" w:lineRule="auto"/>
        <w:rPr>
          <w:sz w:val="20"/>
          <w:szCs w:val="20"/>
          <w:color w:val="auto"/>
        </w:rPr>
      </w:pPr>
      <w:r>
        <w:rPr>
          <w:rFonts w:ascii="Arial" w:cs="Arial" w:eastAsia="Arial" w:hAnsi="Arial"/>
          <w:sz w:val="20"/>
          <w:szCs w:val="20"/>
          <w:b w:val="1"/>
          <w:bCs w:val="1"/>
          <w:color w:val="auto"/>
        </w:rPr>
        <w:t xml:space="preserve">SANTA CLARA, Calif. </w:t>
      </w:r>
      <w:r>
        <w:rPr>
          <w:rFonts w:ascii="Arial" w:cs="Arial" w:eastAsia="Arial" w:hAnsi="Arial"/>
          <w:sz w:val="20"/>
          <w:szCs w:val="20"/>
          <w:color w:val="auto"/>
        </w:rPr>
        <w:t>November 11, 2019 - SI-BONE, Inc. (Nasdaq:SIBN), a medical device company dedicated to solving musculoskeletal</w:t>
      </w:r>
      <w:r>
        <w:rPr>
          <w:rFonts w:ascii="Arial" w:cs="Arial" w:eastAsia="Arial" w:hAnsi="Arial"/>
          <w:sz w:val="20"/>
          <w:szCs w:val="20"/>
          <w:b w:val="1"/>
          <w:bCs w:val="1"/>
          <w:color w:val="auto"/>
        </w:rPr>
        <w:t xml:space="preserve"> </w:t>
      </w:r>
      <w:r>
        <w:rPr>
          <w:rFonts w:ascii="Arial" w:cs="Arial" w:eastAsia="Arial" w:hAnsi="Arial"/>
          <w:sz w:val="20"/>
          <w:szCs w:val="20"/>
          <w:color w:val="auto"/>
        </w:rPr>
        <w:t>disorders of the sacropelvic anatomy, today reported financial results for the quarter ended September 30, 2019.</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Highlights</w:t>
      </w:r>
    </w:p>
    <w:p>
      <w:pPr>
        <w:spacing w:after="0" w:line="60" w:lineRule="exact"/>
        <w:rPr>
          <w:sz w:val="20"/>
          <w:szCs w:val="20"/>
          <w:color w:val="auto"/>
        </w:rPr>
      </w:pPr>
    </w:p>
    <w:p>
      <w:pPr>
        <w:ind w:left="420" w:hanging="412"/>
        <w:spacing w:after="0"/>
        <w:tabs>
          <w:tab w:leader="none" w:pos="420" w:val="left"/>
        </w:tabs>
        <w:numPr>
          <w:ilvl w:val="0"/>
          <w:numId w:val="3"/>
        </w:numPr>
        <w:rPr>
          <w:rFonts w:ascii="Arial" w:cs="Arial" w:eastAsia="Arial" w:hAnsi="Arial"/>
          <w:sz w:val="20"/>
          <w:szCs w:val="20"/>
          <w:color w:val="auto"/>
        </w:rPr>
      </w:pPr>
      <w:r>
        <w:rPr>
          <w:rFonts w:ascii="Arial" w:cs="Arial" w:eastAsia="Arial" w:hAnsi="Arial"/>
          <w:sz w:val="20"/>
          <w:szCs w:val="20"/>
          <w:color w:val="auto"/>
        </w:rPr>
        <w:t>Revenue of $16.2 million for the third quarter 2019, representing a 21% increase over third quarter 2018</w:t>
      </w:r>
    </w:p>
    <w:p>
      <w:pPr>
        <w:spacing w:after="0" w:line="53" w:lineRule="exact"/>
        <w:rPr>
          <w:rFonts w:ascii="Arial" w:cs="Arial" w:eastAsia="Arial" w:hAnsi="Arial"/>
          <w:sz w:val="20"/>
          <w:szCs w:val="20"/>
          <w:color w:val="auto"/>
        </w:rPr>
      </w:pPr>
    </w:p>
    <w:p>
      <w:pPr>
        <w:ind w:left="420" w:hanging="412"/>
        <w:spacing w:after="0"/>
        <w:tabs>
          <w:tab w:leader="none" w:pos="420" w:val="left"/>
        </w:tabs>
        <w:numPr>
          <w:ilvl w:val="0"/>
          <w:numId w:val="3"/>
        </w:numPr>
        <w:rPr>
          <w:rFonts w:ascii="Arial" w:cs="Arial" w:eastAsia="Arial" w:hAnsi="Arial"/>
          <w:sz w:val="20"/>
          <w:szCs w:val="20"/>
          <w:color w:val="auto"/>
        </w:rPr>
      </w:pPr>
      <w:r>
        <w:rPr>
          <w:rFonts w:ascii="Arial" w:cs="Arial" w:eastAsia="Arial" w:hAnsi="Arial"/>
          <w:sz w:val="20"/>
          <w:szCs w:val="20"/>
          <w:color w:val="auto"/>
        </w:rPr>
        <w:t>U.S. revenue of $14.9 million for the third quarter 2019, representing a 22% increase over third quarter 2018</w:t>
      </w:r>
    </w:p>
    <w:p>
      <w:pPr>
        <w:spacing w:after="0" w:line="53" w:lineRule="exact"/>
        <w:rPr>
          <w:rFonts w:ascii="Arial" w:cs="Arial" w:eastAsia="Arial" w:hAnsi="Arial"/>
          <w:sz w:val="20"/>
          <w:szCs w:val="20"/>
          <w:color w:val="auto"/>
        </w:rPr>
      </w:pPr>
    </w:p>
    <w:p>
      <w:pPr>
        <w:ind w:left="420" w:hanging="412"/>
        <w:spacing w:after="0" w:line="295" w:lineRule="auto"/>
        <w:tabs>
          <w:tab w:leader="none" w:pos="420" w:val="left"/>
        </w:tabs>
        <w:numPr>
          <w:ilvl w:val="0"/>
          <w:numId w:val="3"/>
        </w:numPr>
        <w:rPr>
          <w:rFonts w:ascii="Arial" w:cs="Arial" w:eastAsia="Arial" w:hAnsi="Arial"/>
          <w:sz w:val="20"/>
          <w:szCs w:val="20"/>
          <w:color w:val="auto"/>
        </w:rPr>
      </w:pPr>
      <w:r>
        <w:rPr>
          <w:rFonts w:ascii="Arial" w:cs="Arial" w:eastAsia="Arial" w:hAnsi="Arial"/>
          <w:sz w:val="20"/>
          <w:szCs w:val="20"/>
          <w:color w:val="auto"/>
        </w:rPr>
        <w:t>Published five-year prospective study results on 103 patients treated with iFuse Implant System, showing continued durability of clinical response and positive radiographic outcomes</w:t>
      </w:r>
    </w:p>
    <w:p>
      <w:pPr>
        <w:spacing w:after="0" w:line="1" w:lineRule="exact"/>
        <w:rPr>
          <w:rFonts w:ascii="Arial" w:cs="Arial" w:eastAsia="Arial" w:hAnsi="Arial"/>
          <w:sz w:val="20"/>
          <w:szCs w:val="20"/>
          <w:color w:val="auto"/>
        </w:rPr>
      </w:pPr>
    </w:p>
    <w:p>
      <w:pPr>
        <w:ind w:left="420" w:hanging="412"/>
        <w:spacing w:after="0" w:line="295" w:lineRule="auto"/>
        <w:tabs>
          <w:tab w:leader="none" w:pos="420" w:val="left"/>
        </w:tabs>
        <w:numPr>
          <w:ilvl w:val="0"/>
          <w:numId w:val="3"/>
        </w:numPr>
        <w:rPr>
          <w:rFonts w:ascii="Arial" w:cs="Arial" w:eastAsia="Arial" w:hAnsi="Arial"/>
          <w:sz w:val="20"/>
          <w:szCs w:val="20"/>
          <w:color w:val="auto"/>
        </w:rPr>
      </w:pPr>
      <w:r>
        <w:rPr>
          <w:rFonts w:ascii="Arial" w:cs="Arial" w:eastAsia="Arial" w:hAnsi="Arial"/>
          <w:sz w:val="20"/>
          <w:szCs w:val="20"/>
          <w:color w:val="auto"/>
        </w:rPr>
        <w:t>Obtained positive coverage from Wellmark Blue Cross Blue Shield for 1.5 million members in South Dakota and Iowa and transitioned Health New England to exclusive iFuse coverage for minimally invasive SI joint fusion</w:t>
      </w:r>
    </w:p>
    <w:p>
      <w:pPr>
        <w:spacing w:after="0" w:line="1" w:lineRule="exact"/>
        <w:rPr>
          <w:rFonts w:ascii="Arial" w:cs="Arial" w:eastAsia="Arial" w:hAnsi="Arial"/>
          <w:sz w:val="20"/>
          <w:szCs w:val="20"/>
          <w:color w:val="auto"/>
        </w:rPr>
      </w:pPr>
    </w:p>
    <w:p>
      <w:pPr>
        <w:ind w:left="420" w:hanging="412"/>
        <w:spacing w:after="0"/>
        <w:tabs>
          <w:tab w:leader="none" w:pos="420" w:val="left"/>
        </w:tabs>
        <w:numPr>
          <w:ilvl w:val="0"/>
          <w:numId w:val="3"/>
        </w:numPr>
        <w:rPr>
          <w:rFonts w:ascii="Arial" w:cs="Arial" w:eastAsia="Arial" w:hAnsi="Arial"/>
          <w:sz w:val="20"/>
          <w:szCs w:val="20"/>
          <w:color w:val="auto"/>
        </w:rPr>
      </w:pPr>
      <w:r>
        <w:rPr>
          <w:rFonts w:ascii="Arial" w:cs="Arial" w:eastAsia="Arial" w:hAnsi="Arial"/>
          <w:sz w:val="20"/>
          <w:szCs w:val="20"/>
          <w:color w:val="auto"/>
        </w:rPr>
        <w:t>Announced the Medicare physician payment increase of 27% for minimally invasive SI joint fusion</w:t>
      </w:r>
    </w:p>
    <w:p>
      <w:pPr>
        <w:spacing w:after="0" w:line="364" w:lineRule="exact"/>
        <w:rPr>
          <w:sz w:val="20"/>
          <w:szCs w:val="20"/>
          <w:color w:val="auto"/>
        </w:rPr>
      </w:pPr>
    </w:p>
    <w:p>
      <w:pPr>
        <w:jc w:val="both"/>
        <w:spacing w:after="0" w:line="301" w:lineRule="auto"/>
        <w:rPr>
          <w:sz w:val="20"/>
          <w:szCs w:val="20"/>
          <w:color w:val="auto"/>
        </w:rPr>
      </w:pPr>
      <w:r>
        <w:rPr>
          <w:rFonts w:ascii="Arial" w:cs="Arial" w:eastAsia="Arial" w:hAnsi="Arial"/>
          <w:sz w:val="20"/>
          <w:szCs w:val="20"/>
          <w:color w:val="auto"/>
        </w:rPr>
        <w:t>“We continue to focus on accelerating our growth by hiring sales people, training surgeons, and launching new products like Bedrock,” said Jeffrey Dunn, President, Chief Executive Officer, and Chairman. “In addition, we are working to influence positive reimbursement coverage by the remaining large payors in the U.S. with the publication of our five-year prospective clinical data. We are also pleased with the decision by Medicare to increase the surgeon payment from $720 to $915 effective January 1, 2020, recognizing the greater work effort and intensity involved in performing minimally invasive SI joint fusion.”</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 Quarter 2019 Financial Results</w:t>
      </w:r>
    </w:p>
    <w:p>
      <w:pPr>
        <w:spacing w:after="0" w:line="316" w:lineRule="exact"/>
        <w:rPr>
          <w:sz w:val="20"/>
          <w:szCs w:val="20"/>
          <w:color w:val="auto"/>
        </w:rPr>
      </w:pPr>
    </w:p>
    <w:p>
      <w:pPr>
        <w:jc w:val="both"/>
        <w:spacing w:after="0" w:line="306" w:lineRule="auto"/>
        <w:rPr>
          <w:sz w:val="20"/>
          <w:szCs w:val="20"/>
          <w:color w:val="auto"/>
        </w:rPr>
      </w:pPr>
      <w:r>
        <w:rPr>
          <w:rFonts w:ascii="Arial" w:cs="Arial" w:eastAsia="Arial" w:hAnsi="Arial"/>
          <w:sz w:val="20"/>
          <w:szCs w:val="20"/>
          <w:color w:val="auto"/>
        </w:rPr>
        <w:t>Revenue was $16.2 million in the third quarter 2019, a 21% increase from $13.4 million in the corresponding prior year period. U.S. revenue for the third quarter 2019 was $14.9 million, an increase of 22% from the corresponding prior year period primarily driven by growth of domestic case volumes. Our international revenue was $1.3 million in the third quarter 2019.</w:t>
      </w:r>
    </w:p>
    <w:p>
      <w:pPr>
        <w:spacing w:after="0" w:line="228" w:lineRule="exact"/>
        <w:rPr>
          <w:sz w:val="20"/>
          <w:szCs w:val="20"/>
          <w:color w:val="auto"/>
        </w:rPr>
      </w:pPr>
    </w:p>
    <w:p>
      <w:pPr>
        <w:jc w:val="both"/>
        <w:ind w:right="20"/>
        <w:spacing w:after="0" w:line="317" w:lineRule="auto"/>
        <w:rPr>
          <w:sz w:val="20"/>
          <w:szCs w:val="20"/>
          <w:color w:val="auto"/>
        </w:rPr>
      </w:pPr>
      <w:r>
        <w:rPr>
          <w:rFonts w:ascii="Arial" w:cs="Arial" w:eastAsia="Arial" w:hAnsi="Arial"/>
          <w:sz w:val="20"/>
          <w:szCs w:val="20"/>
          <w:color w:val="auto"/>
        </w:rPr>
        <w:t>Gross margin was 90% for the third quarter 2019, as compared to 91% in the corresponding prior year period. The change in gross margin was due to an increase in personnel in operations to support the growth of the business.</w:t>
      </w:r>
    </w:p>
    <w:p>
      <w:pPr>
        <w:spacing w:after="0" w:line="216" w:lineRule="exact"/>
        <w:rPr>
          <w:sz w:val="20"/>
          <w:szCs w:val="20"/>
          <w:color w:val="auto"/>
        </w:rPr>
      </w:pPr>
    </w:p>
    <w:p>
      <w:pPr>
        <w:jc w:val="both"/>
        <w:spacing w:after="0" w:line="306" w:lineRule="auto"/>
        <w:rPr>
          <w:sz w:val="20"/>
          <w:szCs w:val="20"/>
          <w:color w:val="auto"/>
        </w:rPr>
      </w:pPr>
      <w:r>
        <w:rPr>
          <w:rFonts w:ascii="Arial" w:cs="Arial" w:eastAsia="Arial" w:hAnsi="Arial"/>
          <w:sz w:val="20"/>
          <w:szCs w:val="20"/>
          <w:color w:val="auto"/>
        </w:rPr>
        <w:t>Operating expenses were $25.1 million in the third quarter 2019, as compared to $15.2 million in the corresponding prior year period, an increase of 65%. The increase in operating expense was primarily driven by increased sales hiring, surgeon training, new public company costs, stock-based compensation and litigation expenses.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color w:val="auto"/>
        </w:rPr>
        <w:t>Operating loss was $10.6 million in the third quarter 2019, as compared to $3.0 million in the corresponding prior year period.</w:t>
      </w:r>
    </w:p>
    <w:p>
      <w:pPr>
        <w:sectPr>
          <w:pgSz w:w="11900" w:h="16838" w:orient="portrait"/>
          <w:cols w:equalWidth="0" w:num="1">
            <w:col w:w="11420"/>
          </w:cols>
          <w:pgMar w:left="240" w:top="580" w:right="239" w:bottom="1440" w:gutter="0" w:footer="0" w:header="0"/>
        </w:sectPr>
      </w:pPr>
    </w:p>
    <w:bookmarkStart w:id="4" w:name="page5"/>
    <w:bookmarkEnd w:id="4"/>
    <w:p>
      <w:pPr>
        <w:jc w:val="both"/>
        <w:spacing w:after="0" w:line="317" w:lineRule="auto"/>
        <w:rPr>
          <w:sz w:val="20"/>
          <w:szCs w:val="20"/>
          <w:color w:val="auto"/>
        </w:rPr>
      </w:pPr>
      <w:r>
        <w:rPr>
          <w:rFonts w:ascii="Arial" w:cs="Arial" w:eastAsia="Arial" w:hAnsi="Arial"/>
          <w:sz w:val="20"/>
          <w:szCs w:val="20"/>
          <w:color w:val="auto"/>
        </w:rPr>
        <w:t>Net loss was $11.3 million, or $0.46 per diluted share for the third quarter 2019, as compared to $4.8 million, or $1.29 per diluted share in the corresponding prior year period.</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Cash and marketable securities were $101.5 million as of September 30, 2019.</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2019 Financial Guidance</w:t>
      </w:r>
    </w:p>
    <w:p>
      <w:pPr>
        <w:spacing w:after="0" w:line="262" w:lineRule="exact"/>
        <w:rPr>
          <w:sz w:val="20"/>
          <w:szCs w:val="20"/>
          <w:color w:val="auto"/>
        </w:rPr>
      </w:pPr>
    </w:p>
    <w:p>
      <w:pPr>
        <w:jc w:val="both"/>
        <w:spacing w:after="0" w:line="379" w:lineRule="auto"/>
        <w:rPr>
          <w:sz w:val="20"/>
          <w:szCs w:val="20"/>
          <w:color w:val="auto"/>
        </w:rPr>
      </w:pPr>
      <w:r>
        <w:rPr>
          <w:rFonts w:ascii="Arial" w:cs="Arial" w:eastAsia="Arial" w:hAnsi="Arial"/>
          <w:sz w:val="18"/>
          <w:szCs w:val="18"/>
          <w:color w:val="auto"/>
        </w:rPr>
        <w:t>SI-BONE now expects full year 2019 revenue to be in the range of $65.5 million to $66.5 million, representing growth of 18% to 20% over full year 2018 revenue. This compares to the Company’s previously full year 2019 total revenue guidance of $65.0 million to $66.5 million.</w:t>
      </w:r>
    </w:p>
    <w:p>
      <w:pPr>
        <w:spacing w:after="0" w:line="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Webcast and Conference Call Information</w:t>
      </w:r>
    </w:p>
    <w:p>
      <w:pPr>
        <w:spacing w:after="0" w:line="316" w:lineRule="exact"/>
        <w:rPr>
          <w:sz w:val="20"/>
          <w:szCs w:val="20"/>
          <w:color w:val="auto"/>
        </w:rPr>
      </w:pPr>
    </w:p>
    <w:p>
      <w:pPr>
        <w:jc w:val="both"/>
        <w:spacing w:after="0" w:line="329" w:lineRule="auto"/>
        <w:rPr>
          <w:sz w:val="20"/>
          <w:szCs w:val="20"/>
          <w:color w:val="auto"/>
        </w:rPr>
      </w:pPr>
      <w:r>
        <w:rPr>
          <w:rFonts w:ascii="Arial" w:cs="Arial" w:eastAsia="Arial" w:hAnsi="Arial"/>
          <w:sz w:val="19"/>
          <w:szCs w:val="19"/>
          <w:color w:val="auto"/>
        </w:rPr>
        <w:t xml:space="preserve">SI-BONE will host a conference call to discuss the third quarter 2019 financial results after market close on Monday, November 11, 2019 at 4:30 P.M. Eastern Time. The conference call can be accessed live over the phone </w:t>
      </w:r>
      <w:r>
        <w:rPr>
          <w:rFonts w:ascii="Arial" w:cs="Arial" w:eastAsia="Arial" w:hAnsi="Arial"/>
          <w:sz w:val="19"/>
          <w:szCs w:val="19"/>
          <w:color w:val="222222"/>
        </w:rPr>
        <w:t>(866)</w:t>
      </w:r>
      <w:r>
        <w:rPr>
          <w:rFonts w:ascii="Arial" w:cs="Arial" w:eastAsia="Arial" w:hAnsi="Arial"/>
          <w:sz w:val="19"/>
          <w:szCs w:val="19"/>
          <w:color w:val="auto"/>
        </w:rPr>
        <w:t xml:space="preserve"> 470-1968 for domestic callers or </w:t>
      </w:r>
      <w:r>
        <w:rPr>
          <w:rFonts w:ascii="Arial" w:cs="Arial" w:eastAsia="Arial" w:hAnsi="Arial"/>
          <w:sz w:val="19"/>
          <w:szCs w:val="19"/>
          <w:color w:val="222222"/>
        </w:rPr>
        <w:t>(409) 217-8248</w:t>
      </w:r>
      <w:r>
        <w:rPr>
          <w:rFonts w:ascii="Arial" w:cs="Arial" w:eastAsia="Arial" w:hAnsi="Arial"/>
          <w:sz w:val="19"/>
          <w:szCs w:val="19"/>
          <w:color w:val="auto"/>
        </w:rPr>
        <w:t xml:space="preserve"> for international callers, using conference ID: 8881559. The webcast can be accessed at https://investor.si-bone.com.</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SI-BONE, Inc.</w:t>
      </w:r>
    </w:p>
    <w:p>
      <w:pPr>
        <w:spacing w:after="0" w:line="343" w:lineRule="exact"/>
        <w:rPr>
          <w:sz w:val="20"/>
          <w:szCs w:val="20"/>
          <w:color w:val="auto"/>
        </w:rPr>
      </w:pPr>
    </w:p>
    <w:p>
      <w:pPr>
        <w:jc w:val="both"/>
        <w:spacing w:after="0" w:line="299" w:lineRule="auto"/>
        <w:rPr>
          <w:sz w:val="20"/>
          <w:szCs w:val="20"/>
          <w:color w:val="auto"/>
        </w:rPr>
      </w:pPr>
      <w:r>
        <w:rPr>
          <w:rFonts w:ascii="Arial" w:cs="Arial" w:eastAsia="Arial" w:hAnsi="Arial"/>
          <w:sz w:val="20"/>
          <w:szCs w:val="20"/>
          <w:color w:val="auto"/>
        </w:rPr>
        <w:t>SI-BONE is a medical device company that pioneered minimally invasive surgery of the SI joint with the iFuse Implant System. Studies have shown that the SI joint can be a source of pain in 15% to 30% of chronic low back pain. The iFuse Implant™, commercially available since 2009, is the only SI joint fusion device supported by multiple prospective clinical studies, including two RCTs, showing improved pain, patient function and quality of life resulting from treatment. There are over 75 peer-reviewed publications demonstrating the safety, durable effectiveness, and biomechanical and economic benefits unique to the iFuse Implant (</w:t>
      </w:r>
      <w:r>
        <w:rPr>
          <w:rFonts w:ascii="Arial" w:cs="Arial" w:eastAsia="Arial" w:hAnsi="Arial"/>
          <w:sz w:val="20"/>
          <w:szCs w:val="20"/>
          <w:u w:val="single" w:color="auto"/>
          <w:color w:val="0000FF"/>
        </w:rPr>
        <w:t>www.si-bone.com/results</w:t>
      </w:r>
      <w:r>
        <w:rPr>
          <w:rFonts w:ascii="Arial" w:cs="Arial" w:eastAsia="Arial" w:hAnsi="Arial"/>
          <w:sz w:val="20"/>
          <w:szCs w:val="20"/>
          <w:color w:val="auto"/>
        </w:rPr>
        <w:t>). This body of evidence has enabled multiple government and private insurance payors to establish coverage of the SI joint fusion procedure exclusively when performed with the iFuse Implant System.</w:t>
      </w:r>
    </w:p>
    <w:p>
      <w:pPr>
        <w:spacing w:after="0" w:line="263" w:lineRule="exact"/>
        <w:rPr>
          <w:sz w:val="20"/>
          <w:szCs w:val="20"/>
          <w:color w:val="auto"/>
        </w:rPr>
      </w:pPr>
    </w:p>
    <w:p>
      <w:pPr>
        <w:jc w:val="both"/>
        <w:spacing w:after="0" w:line="301" w:lineRule="auto"/>
        <w:rPr>
          <w:sz w:val="20"/>
          <w:szCs w:val="20"/>
          <w:color w:val="auto"/>
        </w:rPr>
      </w:pPr>
      <w:r>
        <w:rPr>
          <w:rFonts w:ascii="Arial" w:cs="Arial" w:eastAsia="Arial" w:hAnsi="Arial"/>
          <w:sz w:val="20"/>
          <w:szCs w:val="20"/>
          <w:color w:val="auto"/>
        </w:rPr>
        <w:t xml:space="preserve">The iFuse Implant System is intended for sacroiliac fusion for conditions including sacroiliac joint dysfunction that is a direct result of sacroiliac joint disruption and degenerative sacroiliitis. This includes conditions whose symptoms began during pregnancy or in the peripartum period and have persisted postpartum for more than 6 months. </w:t>
      </w:r>
      <w:r>
        <w:rPr>
          <w:rFonts w:ascii="Arial" w:cs="Arial" w:eastAsia="Arial" w:hAnsi="Arial"/>
          <w:sz w:val="20"/>
          <w:szCs w:val="20"/>
          <w:color w:val="231F20"/>
        </w:rPr>
        <w:t>The iFuse Implant System is also intended for sacroiliac fusion to augment</w:t>
      </w:r>
      <w:r>
        <w:rPr>
          <w:rFonts w:ascii="Arial" w:cs="Arial" w:eastAsia="Arial" w:hAnsi="Arial"/>
          <w:sz w:val="20"/>
          <w:szCs w:val="20"/>
          <w:color w:val="auto"/>
        </w:rPr>
        <w:t xml:space="preserve"> </w:t>
      </w:r>
      <w:r>
        <w:rPr>
          <w:rFonts w:ascii="Arial" w:cs="Arial" w:eastAsia="Arial" w:hAnsi="Arial"/>
          <w:sz w:val="20"/>
          <w:szCs w:val="20"/>
          <w:color w:val="231F20"/>
        </w:rPr>
        <w:t>immobilization and stabilization of the sacroiliac joint in skeletally mature patients undergoing sacropelvic fixation as part of a lumbar or thoracolumbar fusion.</w:t>
      </w:r>
    </w:p>
    <w:p>
      <w:pPr>
        <w:spacing w:after="0" w:line="260" w:lineRule="exact"/>
        <w:rPr>
          <w:sz w:val="20"/>
          <w:szCs w:val="20"/>
          <w:color w:val="auto"/>
        </w:rPr>
      </w:pPr>
    </w:p>
    <w:p>
      <w:pPr>
        <w:jc w:val="both"/>
        <w:spacing w:after="0" w:line="317" w:lineRule="auto"/>
        <w:rPr>
          <w:sz w:val="20"/>
          <w:szCs w:val="20"/>
          <w:color w:val="auto"/>
        </w:rPr>
      </w:pPr>
      <w:r>
        <w:rPr>
          <w:rFonts w:ascii="Arial" w:cs="Arial" w:eastAsia="Arial" w:hAnsi="Arial"/>
          <w:sz w:val="20"/>
          <w:szCs w:val="20"/>
          <w:color w:val="auto"/>
        </w:rPr>
        <w:t xml:space="preserve">There are potential risks associated with the iFuse Implant System. It may not be appropriate for all patients and all patients may not benefit. Rx Only. For indications, risks, and safety information visit: </w:t>
      </w:r>
      <w:r>
        <w:rPr>
          <w:rFonts w:ascii="Arial" w:cs="Arial" w:eastAsia="Arial" w:hAnsi="Arial"/>
          <w:sz w:val="20"/>
          <w:szCs w:val="20"/>
          <w:u w:val="single" w:color="auto"/>
          <w:color w:val="0000FF"/>
        </w:rPr>
        <w:t>www.si-bone.com/risks</w:t>
      </w:r>
      <w:r>
        <w:rPr>
          <w:rFonts w:ascii="Arial" w:cs="Arial" w:eastAsia="Arial" w:hAnsi="Arial"/>
          <w:sz w:val="20"/>
          <w:szCs w:val="20"/>
          <w:color w:val="auto"/>
        </w:rPr>
        <w:t>.</w:t>
      </w:r>
    </w:p>
    <w:p>
      <w:pPr>
        <w:spacing w:after="0" w:line="243" w:lineRule="exact"/>
        <w:rPr>
          <w:sz w:val="20"/>
          <w:szCs w:val="20"/>
          <w:color w:val="auto"/>
        </w:rPr>
      </w:pPr>
    </w:p>
    <w:p>
      <w:pPr>
        <w:jc w:val="both"/>
        <w:spacing w:after="0" w:line="317" w:lineRule="auto"/>
        <w:rPr>
          <w:sz w:val="20"/>
          <w:szCs w:val="20"/>
          <w:color w:val="auto"/>
        </w:rPr>
      </w:pPr>
      <w:r>
        <w:rPr>
          <w:rFonts w:ascii="Arial" w:cs="Arial" w:eastAsia="Arial" w:hAnsi="Arial"/>
          <w:sz w:val="20"/>
          <w:szCs w:val="20"/>
          <w:i w:val="1"/>
          <w:iCs w:val="1"/>
          <w:color w:val="auto"/>
        </w:rPr>
        <w:t xml:space="preserve">SI-BONE </w:t>
      </w:r>
      <w:r>
        <w:rPr>
          <w:rFonts w:ascii="Arial" w:cs="Arial" w:eastAsia="Arial" w:hAnsi="Arial"/>
          <w:sz w:val="20"/>
          <w:szCs w:val="20"/>
          <w:color w:val="auto"/>
        </w:rPr>
        <w:t>and</w:t>
      </w:r>
      <w:r>
        <w:rPr>
          <w:rFonts w:ascii="Arial" w:cs="Arial" w:eastAsia="Arial" w:hAnsi="Arial"/>
          <w:sz w:val="20"/>
          <w:szCs w:val="20"/>
          <w:i w:val="1"/>
          <w:iCs w:val="1"/>
          <w:color w:val="auto"/>
        </w:rPr>
        <w:t xml:space="preserve"> iFuse Implant System </w:t>
      </w:r>
      <w:r>
        <w:rPr>
          <w:rFonts w:ascii="Arial" w:cs="Arial" w:eastAsia="Arial" w:hAnsi="Arial"/>
          <w:sz w:val="20"/>
          <w:szCs w:val="20"/>
          <w:color w:val="auto"/>
        </w:rPr>
        <w:t>are registered trademarks of SI-BONE, Inc. iFuse Implant is a trademark of SI-BONE, Inc. ©2019 SI-BONE, Inc. All Rights Reserved.</w:t>
      </w:r>
    </w:p>
    <w:p>
      <w:pPr>
        <w:sectPr>
          <w:pgSz w:w="11900" w:h="16838" w:orient="portrait"/>
          <w:cols w:equalWidth="0" w:num="1">
            <w:col w:w="11420"/>
          </w:cols>
          <w:pgMar w:left="240" w:top="838" w:right="2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Forward Looking Statements</w:t>
      </w:r>
    </w:p>
    <w:p>
      <w:pPr>
        <w:spacing w:after="0" w:line="343" w:lineRule="exact"/>
        <w:rPr>
          <w:sz w:val="20"/>
          <w:szCs w:val="20"/>
          <w:color w:val="auto"/>
        </w:rPr>
      </w:pPr>
    </w:p>
    <w:p>
      <w:pPr>
        <w:jc w:val="both"/>
        <w:spacing w:after="0" w:line="335" w:lineRule="auto"/>
        <w:rPr>
          <w:sz w:val="20"/>
          <w:szCs w:val="20"/>
          <w:color w:val="auto"/>
        </w:rPr>
      </w:pPr>
      <w:r>
        <w:rPr>
          <w:rFonts w:ascii="Arial" w:cs="Arial" w:eastAsia="Arial" w:hAnsi="Arial"/>
          <w:sz w:val="18"/>
          <w:szCs w:val="18"/>
          <w:color w:val="auto"/>
        </w:rPr>
        <w:t>The statements in this press release regarding SI-BONE’s continued growth and financial outlook are “forward-looking” statements. These forward-looking statements are based on SI-BONE’s current expectations and inherently involve significant risks and uncertainties. These statements and risks include SI-BONE’s ability to expand its sales and marketing capabilities and increase surgeon demand for iFuse, increase revenue through new products, obtain favorable coverage and reimbursement determinations from third-party payors, and fulfill its projections about 2019 full year revenue. Actual results and the timing of events could differ materially from those anticipated in such forward-looking statements as a result of the risks and uncertainties, which are described in SI-BONE’s filings on Form 10-K and Form 10-Q and SI-BONE’s other filings with the Securities and Exchange Commission (SEC) available at the SEC’s Internet site (</w:t>
      </w:r>
      <w:r>
        <w:rPr>
          <w:rFonts w:ascii="Arial" w:cs="Arial" w:eastAsia="Arial" w:hAnsi="Arial"/>
          <w:sz w:val="18"/>
          <w:szCs w:val="18"/>
          <w:u w:val="single" w:color="auto"/>
          <w:color w:val="0000EE"/>
        </w:rPr>
        <w:t>www.sec.gov</w:t>
      </w:r>
      <w:r>
        <w:rPr>
          <w:rFonts w:ascii="Arial" w:cs="Arial" w:eastAsia="Arial" w:hAnsi="Arial"/>
          <w:sz w:val="18"/>
          <w:szCs w:val="18"/>
          <w:color w:val="auto"/>
        </w:rPr>
        <w:t>). SI-BONE does not undertake any obligation to update forward-looking statements and expressly disclaims any obligations or undertaking to release publicly any updates or revisions to any forward-looking statements contained herein.</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auto"/>
        </w:rPr>
        <w:t>Lynn Lewis or Carrie Mendivil</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investors@SI-BONE.com</w:t>
      </w:r>
    </w:p>
    <w:p>
      <w:pPr>
        <w:sectPr>
          <w:pgSz w:w="11900" w:h="16838" w:orient="portrait"/>
          <w:cols w:equalWidth="0" w:num="1">
            <w:col w:w="11420"/>
          </w:cols>
          <w:pgMar w:left="240" w:top="603"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00" w:type="dxa"/>
            <w:vAlign w:val="bottom"/>
            <w:gridSpan w:val="5"/>
          </w:tcPr>
          <w:p>
            <w:pPr>
              <w:ind w:left="40"/>
              <w:spacing w:after="0"/>
              <w:rPr>
                <w:sz w:val="20"/>
                <w:szCs w:val="20"/>
                <w:color w:val="auto"/>
              </w:rPr>
            </w:pPr>
            <w:r>
              <w:rPr>
                <w:rFonts w:ascii="Arial" w:cs="Arial" w:eastAsia="Arial" w:hAnsi="Arial"/>
                <w:sz w:val="18"/>
                <w:szCs w:val="18"/>
                <w:b w:val="1"/>
                <w:bCs w:val="1"/>
                <w:color w:val="auto"/>
                <w:w w:val="99"/>
              </w:rPr>
              <w:t>Three Months Ended September 30,</w:t>
            </w:r>
          </w:p>
        </w:tc>
        <w:tc>
          <w:tcPr>
            <w:tcW w:w="140" w:type="dxa"/>
            <w:vAlign w:val="bottom"/>
          </w:tcPr>
          <w:p>
            <w:pPr>
              <w:spacing w:after="0"/>
              <w:rPr>
                <w:sz w:val="20"/>
                <w:szCs w:val="20"/>
                <w:color w:val="auto"/>
              </w:rPr>
            </w:pPr>
          </w:p>
        </w:tc>
        <w:tc>
          <w:tcPr>
            <w:tcW w:w="280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w w:val="89"/>
              </w:rPr>
              <w:t>Nine Months Ended September 30,</w:t>
            </w:r>
          </w:p>
        </w:tc>
      </w:tr>
      <w:tr>
        <w:trPr>
          <w:trHeight w:val="27"/>
        </w:trPr>
        <w:tc>
          <w:tcPr>
            <w:tcW w:w="50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5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r>
      <w:tr>
        <w:trPr>
          <w:trHeight w:val="27"/>
        </w:trPr>
        <w:tc>
          <w:tcPr>
            <w:tcW w:w="5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16,182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13,381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47,490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39,756</w:t>
            </w: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160" w:type="dxa"/>
            <w:vAlign w:val="bottom"/>
          </w:tcPr>
          <w:p>
            <w:pPr>
              <w:spacing w:after="0"/>
              <w:rPr>
                <w:sz w:val="21"/>
                <w:szCs w:val="21"/>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1,630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1,221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4,744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3,451</w:t>
            </w:r>
          </w:p>
        </w:tc>
      </w:tr>
      <w:tr>
        <w:trPr>
          <w:trHeight w:val="27"/>
        </w:trPr>
        <w:tc>
          <w:tcPr>
            <w:tcW w:w="5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5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14,552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12,160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42,746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36,305</w:t>
            </w:r>
          </w:p>
        </w:tc>
      </w:tr>
      <w:tr>
        <w:trPr>
          <w:trHeight w:val="237"/>
        </w:trPr>
        <w:tc>
          <w:tcPr>
            <w:tcW w:w="5020" w:type="dxa"/>
            <w:vAlign w:val="bottom"/>
          </w:tcPr>
          <w:p>
            <w:pPr>
              <w:ind w:left="260"/>
              <w:spacing w:after="0"/>
              <w:rPr>
                <w:sz w:val="20"/>
                <w:szCs w:val="20"/>
                <w:color w:val="auto"/>
              </w:rPr>
            </w:pPr>
            <w:r>
              <w:rPr>
                <w:rFonts w:ascii="Arial" w:cs="Arial" w:eastAsia="Arial" w:hAnsi="Arial"/>
                <w:sz w:val="18"/>
                <w:szCs w:val="18"/>
                <w:color w:val="auto"/>
              </w:rPr>
              <w:t>Gross margin</w:t>
            </w:r>
          </w:p>
        </w:tc>
        <w:tc>
          <w:tcPr>
            <w:tcW w:w="1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w:t>
            </w:r>
          </w:p>
        </w:tc>
      </w:tr>
      <w:tr>
        <w:trPr>
          <w:trHeight w:val="351"/>
        </w:trPr>
        <w:tc>
          <w:tcPr>
            <w:tcW w:w="5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tcPr>
          <w:p>
            <w:pPr>
              <w:ind w:left="260"/>
              <w:spacing w:after="0"/>
              <w:rPr>
                <w:sz w:val="20"/>
                <w:szCs w:val="20"/>
                <w:color w:val="auto"/>
              </w:rPr>
            </w:pPr>
            <w:r>
              <w:rPr>
                <w:rFonts w:ascii="Arial" w:cs="Arial" w:eastAsia="Arial" w:hAnsi="Arial"/>
                <w:sz w:val="18"/>
                <w:szCs w:val="18"/>
                <w:color w:val="auto"/>
              </w:rPr>
              <w:t>Sales and marketing</w:t>
            </w:r>
          </w:p>
        </w:tc>
        <w:tc>
          <w:tcPr>
            <w:tcW w:w="160" w:type="dxa"/>
            <w:vAlign w:val="bottom"/>
          </w:tcPr>
          <w:p>
            <w:pPr>
              <w:spacing w:after="0"/>
              <w:rPr>
                <w:sz w:val="21"/>
                <w:szCs w:val="21"/>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16,443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10,605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48,985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31,890</w:t>
            </w:r>
          </w:p>
        </w:tc>
      </w:tr>
      <w:tr>
        <w:trPr>
          <w:trHeight w:val="27"/>
        </w:trPr>
        <w:tc>
          <w:tcPr>
            <w:tcW w:w="5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Research and development</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1,874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5,503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3,875</w:t>
            </w:r>
          </w:p>
        </w:tc>
      </w:tr>
      <w:tr>
        <w:trPr>
          <w:trHeight w:val="243"/>
        </w:trPr>
        <w:tc>
          <w:tcPr>
            <w:tcW w:w="502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21"/>
                <w:szCs w:val="21"/>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6,816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3,226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15,776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8,198</w:t>
            </w:r>
          </w:p>
        </w:tc>
      </w:tr>
      <w:tr>
        <w:trPr>
          <w:trHeight w:val="27"/>
        </w:trPr>
        <w:tc>
          <w:tcPr>
            <w:tcW w:w="5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25,133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15,204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70,264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43,963</w:t>
            </w:r>
          </w:p>
        </w:tc>
      </w:tr>
      <w:tr>
        <w:trPr>
          <w:trHeight w:val="318"/>
        </w:trPr>
        <w:tc>
          <w:tcPr>
            <w:tcW w:w="50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(10,581)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(3,044)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(27,518)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(7,658)</w:t>
            </w: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Interest and other income (expense), net:</w:t>
            </w:r>
          </w:p>
        </w:tc>
        <w:tc>
          <w:tcPr>
            <w:tcW w:w="1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199</w:t>
            </w:r>
          </w:p>
        </w:tc>
      </w:tr>
      <w:tr>
        <w:trPr>
          <w:trHeight w:val="243"/>
        </w:trPr>
        <w:tc>
          <w:tcPr>
            <w:tcW w:w="502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(1,243)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(1,282)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(3,706)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(3,826)</w:t>
            </w:r>
          </w:p>
        </w:tc>
      </w:tr>
      <w:tr>
        <w:trPr>
          <w:trHeight w:val="27"/>
        </w:trPr>
        <w:tc>
          <w:tcPr>
            <w:tcW w:w="5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expense, net</w:t>
            </w:r>
          </w:p>
        </w:tc>
        <w:tc>
          <w:tcPr>
            <w:tcW w:w="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(535)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(855)</w:t>
            </w:r>
          </w:p>
        </w:tc>
      </w:tr>
      <w:tr>
        <w:trPr>
          <w:trHeight w:val="297"/>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(11,306)</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(4,792)</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(29,305)</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(12,140)</w:t>
            </w:r>
          </w:p>
        </w:tc>
      </w:tr>
      <w:tr>
        <w:trPr>
          <w:trHeight w:val="311"/>
        </w:trPr>
        <w:tc>
          <w:tcPr>
            <w:tcW w:w="5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Net loss per share, basic and 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(3.34)</w:t>
            </w:r>
          </w:p>
        </w:tc>
      </w:tr>
      <w:tr>
        <w:trPr>
          <w:trHeight w:val="27"/>
        </w:trPr>
        <w:tc>
          <w:tcPr>
            <w:tcW w:w="5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Weighted-average number of common shares used to compute</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net loss per share</w:t>
            </w: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24,803,452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3,712,876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24,596,788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3,638,905</w:t>
            </w:r>
          </w:p>
        </w:tc>
      </w:tr>
      <w:tr>
        <w:trPr>
          <w:trHeight w:val="27"/>
        </w:trPr>
        <w:tc>
          <w:tcPr>
            <w:tcW w:w="50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ectPr>
          <w:pgSz w:w="11900" w:h="16838" w:orient="portrait"/>
          <w:cols w:equalWidth="0" w:num="1">
            <w:col w:w="11220"/>
          </w:cols>
          <w:pgMar w:left="340" w:top="580" w:right="3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December 31,</w:t>
            </w:r>
          </w:p>
        </w:tc>
      </w:tr>
      <w:tr>
        <w:trPr>
          <w:trHeight w:val="270"/>
        </w:trPr>
        <w:tc>
          <w:tcPr>
            <w:tcW w:w="7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r>
      <w:tr>
        <w:trPr>
          <w:trHeight w:val="27"/>
        </w:trPr>
        <w:tc>
          <w:tcPr>
            <w:tcW w:w="7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72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7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2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25,120</w:t>
            </w:r>
          </w:p>
        </w:tc>
      </w:tr>
      <w:tr>
        <w:trPr>
          <w:trHeight w:val="243"/>
        </w:trPr>
        <w:tc>
          <w:tcPr>
            <w:tcW w:w="7260" w:type="dxa"/>
            <w:vAlign w:val="bottom"/>
          </w:tcPr>
          <w:p>
            <w:pPr>
              <w:ind w:left="260"/>
              <w:spacing w:after="0"/>
              <w:rPr>
                <w:sz w:val="20"/>
                <w:szCs w:val="20"/>
                <w:color w:val="auto"/>
              </w:rPr>
            </w:pPr>
            <w:r>
              <w:rPr>
                <w:rFonts w:ascii="Arial" w:cs="Arial" w:eastAsia="Arial" w:hAnsi="Arial"/>
                <w:sz w:val="18"/>
                <w:szCs w:val="18"/>
                <w:color w:val="auto"/>
              </w:rPr>
              <w:t>Short-term investments</w:t>
            </w: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83,609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97,103</w:t>
            </w:r>
          </w:p>
        </w:tc>
      </w:tr>
      <w:tr>
        <w:trPr>
          <w:trHeight w:val="27"/>
        </w:trPr>
        <w:tc>
          <w:tcPr>
            <w:tcW w:w="7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8,486</w:t>
            </w:r>
          </w:p>
        </w:tc>
      </w:tr>
      <w:tr>
        <w:trPr>
          <w:trHeight w:val="243"/>
        </w:trPr>
        <w:tc>
          <w:tcPr>
            <w:tcW w:w="7260" w:type="dxa"/>
            <w:vAlign w:val="bottom"/>
          </w:tcPr>
          <w:p>
            <w:pPr>
              <w:ind w:left="240"/>
              <w:spacing w:after="0"/>
              <w:rPr>
                <w:sz w:val="20"/>
                <w:szCs w:val="20"/>
                <w:color w:val="auto"/>
              </w:rPr>
            </w:pPr>
            <w:r>
              <w:rPr>
                <w:rFonts w:ascii="Arial" w:cs="Arial" w:eastAsia="Arial" w:hAnsi="Arial"/>
                <w:sz w:val="18"/>
                <w:szCs w:val="18"/>
                <w:color w:val="auto"/>
              </w:rPr>
              <w:t>Inventory</w:t>
            </w: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4,953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3,343</w:t>
            </w:r>
          </w:p>
        </w:tc>
      </w:tr>
      <w:tr>
        <w:trPr>
          <w:trHeight w:val="27"/>
        </w:trPr>
        <w:tc>
          <w:tcPr>
            <w:tcW w:w="7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2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1,990</w:t>
            </w:r>
          </w:p>
        </w:tc>
      </w:tr>
      <w:tr>
        <w:trPr>
          <w:trHeight w:val="237"/>
        </w:trPr>
        <w:tc>
          <w:tcPr>
            <w:tcW w:w="726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112,713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136,042</w:t>
            </w:r>
          </w:p>
        </w:tc>
      </w:tr>
      <w:tr>
        <w:trPr>
          <w:trHeight w:val="27"/>
        </w:trPr>
        <w:tc>
          <w:tcPr>
            <w:tcW w:w="7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26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3,025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2,154</w:t>
            </w:r>
          </w:p>
        </w:tc>
      </w:tr>
      <w:tr>
        <w:trPr>
          <w:trHeight w:val="27"/>
        </w:trPr>
        <w:tc>
          <w:tcPr>
            <w:tcW w:w="7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w:t>
            </w:r>
          </w:p>
        </w:tc>
      </w:tr>
      <w:tr>
        <w:trPr>
          <w:trHeight w:val="297"/>
        </w:trPr>
        <w:tc>
          <w:tcPr>
            <w:tcW w:w="72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121,316</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138,521</w:t>
            </w:r>
          </w:p>
        </w:tc>
      </w:tr>
      <w:tr>
        <w:trPr>
          <w:trHeight w:val="311"/>
        </w:trPr>
        <w:tc>
          <w:tcPr>
            <w:tcW w:w="72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43"/>
        </w:trPr>
        <w:tc>
          <w:tcPr>
            <w:tcW w:w="7260" w:type="dxa"/>
            <w:vAlign w:val="bottom"/>
          </w:tcPr>
          <w:p>
            <w:pPr>
              <w:ind w:left="20"/>
              <w:spacing w:after="0"/>
              <w:rPr>
                <w:sz w:val="20"/>
                <w:szCs w:val="20"/>
                <w:color w:val="auto"/>
              </w:rPr>
            </w:pPr>
            <w:r>
              <w:rPr>
                <w:rFonts w:ascii="Arial" w:cs="Arial" w:eastAsia="Arial" w:hAnsi="Arial"/>
                <w:sz w:val="18"/>
                <w:szCs w:val="18"/>
                <w:color w:val="auto"/>
              </w:rPr>
              <w:t>LIABILITIES AND STOCKHOLDERS' EQUITY</w:t>
            </w: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7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726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2,623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2,146</w:t>
            </w:r>
          </w:p>
        </w:tc>
      </w:tr>
      <w:tr>
        <w:trPr>
          <w:trHeight w:val="27"/>
        </w:trPr>
        <w:tc>
          <w:tcPr>
            <w:tcW w:w="7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Accrued liabilities and other</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10,211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6,860</w:t>
            </w:r>
          </w:p>
        </w:tc>
      </w:tr>
      <w:tr>
        <w:trPr>
          <w:trHeight w:val="237"/>
        </w:trPr>
        <w:tc>
          <w:tcPr>
            <w:tcW w:w="726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12,834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9,006</w:t>
            </w:r>
          </w:p>
        </w:tc>
      </w:tr>
      <w:tr>
        <w:trPr>
          <w:trHeight w:val="27"/>
        </w:trPr>
        <w:tc>
          <w:tcPr>
            <w:tcW w:w="7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borrowings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38,963</w:t>
            </w:r>
          </w:p>
        </w:tc>
      </w:tr>
      <w:tr>
        <w:trPr>
          <w:trHeight w:val="243"/>
        </w:trPr>
        <w:tc>
          <w:tcPr>
            <w:tcW w:w="726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360</w:t>
            </w:r>
          </w:p>
        </w:tc>
      </w:tr>
      <w:tr>
        <w:trPr>
          <w:trHeight w:val="27"/>
        </w:trPr>
        <w:tc>
          <w:tcPr>
            <w:tcW w:w="7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7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52,355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48,329</w:t>
            </w:r>
          </w:p>
        </w:tc>
      </w:tr>
      <w:tr>
        <w:trPr>
          <w:trHeight w:val="324"/>
        </w:trPr>
        <w:tc>
          <w:tcPr>
            <w:tcW w:w="7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0"/>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7260" w:type="dxa"/>
            <w:vAlign w:val="bottom"/>
          </w:tcPr>
          <w:p>
            <w:pPr>
              <w:ind w:left="260"/>
              <w:spacing w:after="0"/>
              <w:rPr>
                <w:sz w:val="20"/>
                <w:szCs w:val="20"/>
                <w:color w:val="auto"/>
              </w:rPr>
            </w:pPr>
            <w:r>
              <w:rPr>
                <w:rFonts w:ascii="Arial" w:cs="Arial" w:eastAsia="Arial" w:hAnsi="Arial"/>
                <w:sz w:val="18"/>
                <w:szCs w:val="18"/>
                <w:color w:val="auto"/>
              </w:rPr>
              <w:t>Common stock and additional paid-in capital</w:t>
            </w: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254,968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246,930</w:t>
            </w:r>
          </w:p>
        </w:tc>
      </w:tr>
      <w:tr>
        <w:trPr>
          <w:trHeight w:val="27"/>
        </w:trPr>
        <w:tc>
          <w:tcPr>
            <w:tcW w:w="7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w:t>
            </w:r>
          </w:p>
        </w:tc>
      </w:tr>
      <w:tr>
        <w:trPr>
          <w:trHeight w:val="243"/>
        </w:trPr>
        <w:tc>
          <w:tcPr>
            <w:tcW w:w="726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(186,482)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(157,177)</w:t>
            </w:r>
          </w:p>
        </w:tc>
      </w:tr>
      <w:tr>
        <w:trPr>
          <w:trHeight w:val="27"/>
        </w:trPr>
        <w:tc>
          <w:tcPr>
            <w:tcW w:w="7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7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68,961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90,192</w:t>
            </w:r>
          </w:p>
        </w:tc>
      </w:tr>
      <w:tr>
        <w:trPr>
          <w:trHeight w:val="257"/>
        </w:trPr>
        <w:tc>
          <w:tcPr>
            <w:tcW w:w="7260" w:type="dxa"/>
            <w:vAlign w:val="bottom"/>
          </w:tcPr>
          <w:p>
            <w:pPr>
              <w:ind w:left="68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121,316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138,521</w:t>
            </w:r>
          </w:p>
        </w:tc>
      </w:tr>
      <w:tr>
        <w:trPr>
          <w:trHeight w:val="20"/>
        </w:trPr>
        <w:tc>
          <w:tcPr>
            <w:tcW w:w="7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0520"/>
      </w:cols>
      <w:pgMar w:left="700" w:top="580"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o"/>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2019-12-28T01:35:26Z</dcterms:created>
  <dcterms:modified xsi:type="dcterms:W3CDTF">2019-12-28T01:35:26Z</dcterms:modified>
</cp:coreProperties>
</file>