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982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982335"/>
                    </a:xfrm>
                    <a:prstGeom prst="rect">
                      <a:avLst/>
                    </a:prstGeom>
                    <a:noFill/>
                  </pic:spPr>
                </pic:pic>
              </a:graphicData>
            </a:graphic>
          </wp:anchor>
        </w:drawing>
      </w:r>
    </w:p>
    <w:p>
      <w:pPr>
        <w:spacing w:after="0" w:line="1285" w:lineRule="exact"/>
        <w:rPr>
          <w:sz w:val="24"/>
          <w:szCs w:val="24"/>
          <w:color w:val="auto"/>
        </w:rPr>
      </w:pPr>
    </w:p>
    <w:p>
      <w:pPr>
        <w:sectPr>
          <w:pgSz w:w="11900" w:h="16840"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RECUPERO ANTHONY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02/18/2025</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President, Commercial Ops</w:t>
      </w:r>
    </w:p>
    <w:p>
      <w:pPr>
        <w:spacing w:after="0" w:line="562" w:lineRule="exact"/>
        <w:rPr>
          <w:sz w:val="24"/>
          <w:szCs w:val="24"/>
          <w:color w:val="auto"/>
        </w:rPr>
      </w:pPr>
    </w:p>
    <w:p>
      <w:pPr>
        <w:sectPr>
          <w:pgSz w:w="11900" w:h="16840" w:orient="portrait"/>
          <w:cols w:equalWidth="0" w:num="3">
            <w:col w:w="3200" w:space="720"/>
            <w:col w:w="3095" w:space="720"/>
            <w:col w:w="3265"/>
          </w:cols>
          <w:pgMar w:left="460" w:top="219" w:right="439" w:bottom="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95050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1"/>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jc w:val="center"/>
              <w:ind w:left="862"/>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2"/>
              <w:spacing w:after="0"/>
              <w:rPr>
                <w:sz w:val="20"/>
                <w:szCs w:val="20"/>
                <w:color w:val="auto"/>
              </w:rPr>
            </w:pPr>
            <w:r>
              <w:rPr>
                <w:rFonts w:ascii="Times New Roman" w:cs="Times New Roman" w:eastAsia="Times New Roman" w:hAnsi="Times New Roman"/>
                <w:sz w:val="17"/>
                <w:szCs w:val="17"/>
                <w:color w:val="0000FF"/>
              </w:rPr>
              <w:t>02/18/2025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940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17.3682</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296,457</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2"/>
              <w:spacing w:after="0"/>
              <w:rPr>
                <w:sz w:val="20"/>
                <w:szCs w:val="20"/>
                <w:color w:val="auto"/>
              </w:rPr>
            </w:pPr>
            <w:r>
              <w:rPr>
                <w:rFonts w:ascii="Times New Roman" w:cs="Times New Roman" w:eastAsia="Times New Roman" w:hAnsi="Times New Roman"/>
                <w:sz w:val="17"/>
                <w:szCs w:val="17"/>
                <w:color w:val="0000FF"/>
              </w:rPr>
              <w:t>02/18/2025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rPr>
              <w:t>3,343</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16.9709</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293,114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2"/>
              <w:spacing w:after="0"/>
              <w:rPr>
                <w:sz w:val="20"/>
                <w:szCs w:val="20"/>
                <w:color w:val="auto"/>
              </w:rPr>
            </w:pPr>
            <w:r>
              <w:rPr>
                <w:rFonts w:ascii="Times New Roman" w:cs="Times New Roman" w:eastAsia="Times New Roman" w:hAnsi="Times New Roman"/>
                <w:sz w:val="17"/>
                <w:szCs w:val="17"/>
                <w:color w:val="0000FF"/>
              </w:rPr>
              <w:t>02/18/2025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rPr>
              <w:t>2,126</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16.7494</w:t>
            </w:r>
            <w:r>
              <w:rPr>
                <w:rFonts w:ascii="Times New Roman" w:cs="Times New Roman" w:eastAsia="Times New Roman" w:hAnsi="Times New Roman"/>
                <w:sz w:val="22"/>
                <w:szCs w:val="22"/>
                <w:color w:val="008000"/>
                <w:vertAlign w:val="superscript"/>
              </w:rPr>
              <w:t>(4)</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290,988</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2"/>
              <w:spacing w:after="0"/>
              <w:rPr>
                <w:sz w:val="20"/>
                <w:szCs w:val="20"/>
                <w:color w:val="auto"/>
              </w:rPr>
            </w:pPr>
            <w:r>
              <w:rPr>
                <w:rFonts w:ascii="Times New Roman" w:cs="Times New Roman" w:eastAsia="Times New Roman" w:hAnsi="Times New Roman"/>
                <w:sz w:val="17"/>
                <w:szCs w:val="17"/>
                <w:color w:val="0000FF"/>
              </w:rPr>
              <w:t>02/18/2025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rPr>
              <w:t>1,504</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16.7003</w:t>
            </w:r>
            <w:r>
              <w:rPr>
                <w:rFonts w:ascii="Times New Roman" w:cs="Times New Roman" w:eastAsia="Times New Roman" w:hAnsi="Times New Roman"/>
                <w:sz w:val="22"/>
                <w:szCs w:val="22"/>
                <w:color w:val="008000"/>
                <w:vertAlign w:val="superscript"/>
              </w:rPr>
              <w:t>(5)</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289,484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2"/>
              <w:spacing w:after="0"/>
              <w:rPr>
                <w:sz w:val="20"/>
                <w:szCs w:val="20"/>
                <w:color w:val="auto"/>
              </w:rPr>
            </w:pPr>
            <w:r>
              <w:rPr>
                <w:rFonts w:ascii="Times New Roman" w:cs="Times New Roman" w:eastAsia="Times New Roman" w:hAnsi="Times New Roman"/>
                <w:sz w:val="17"/>
                <w:szCs w:val="17"/>
                <w:color w:val="0000FF"/>
              </w:rPr>
              <w:t>02/18/2025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2"/>
              <w:spacing w:after="0"/>
              <w:rPr>
                <w:sz w:val="20"/>
                <w:szCs w:val="20"/>
                <w:color w:val="auto"/>
              </w:rPr>
            </w:pPr>
            <w:r>
              <w:rPr>
                <w:rFonts w:ascii="Times New Roman" w:cs="Times New Roman" w:eastAsia="Times New Roman" w:hAnsi="Times New Roman"/>
                <w:sz w:val="17"/>
                <w:szCs w:val="17"/>
                <w:color w:val="0000FF"/>
              </w:rPr>
              <w:t>1,304</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16.7186</w:t>
            </w:r>
            <w:r>
              <w:rPr>
                <w:rFonts w:ascii="Times New Roman" w:cs="Times New Roman" w:eastAsia="Times New Roman" w:hAnsi="Times New Roman"/>
                <w:sz w:val="22"/>
                <w:szCs w:val="22"/>
                <w:color w:val="008000"/>
                <w:vertAlign w:val="superscript"/>
              </w:rPr>
              <w:t>(5)</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288,180</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2"/>
              <w:spacing w:after="0"/>
              <w:rPr>
                <w:sz w:val="20"/>
                <w:szCs w:val="20"/>
                <w:color w:val="auto"/>
              </w:rPr>
            </w:pPr>
            <w:r>
              <w:rPr>
                <w:rFonts w:ascii="Times New Roman" w:cs="Times New Roman" w:eastAsia="Times New Roman" w:hAnsi="Times New Roman"/>
                <w:sz w:val="17"/>
                <w:szCs w:val="17"/>
                <w:color w:val="0000FF"/>
              </w:rPr>
              <w:t>02/18/2025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314</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16.3854</w:t>
            </w:r>
            <w:r>
              <w:rPr>
                <w:rFonts w:ascii="Times New Roman" w:cs="Times New Roman" w:eastAsia="Times New Roman" w:hAnsi="Times New Roman"/>
                <w:sz w:val="22"/>
                <w:szCs w:val="22"/>
                <w:color w:val="008000"/>
                <w:vertAlign w:val="superscript"/>
              </w:rPr>
              <w:t>(6)</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287,866</w:t>
            </w:r>
            <w:r>
              <w:rPr>
                <w:rFonts w:ascii="Times New Roman" w:cs="Times New Roman" w:eastAsia="Times New Roman" w:hAnsi="Times New Roman"/>
                <w:sz w:val="22"/>
                <w:szCs w:val="22"/>
                <w:color w:val="008000"/>
                <w:w w:val="96"/>
                <w:vertAlign w:val="superscript"/>
              </w:rPr>
              <w:t>(7)</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$17.29 USD to $17.40 USD; the price reported above reflects the weighted average sale price.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$16.29 USD to $17.28 USD; the price reported above reflects the weighted average sale price.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$16.35 USD to $16.95 USD; the price reported above reflects the weighted average sale price.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$16.37 USD to $16.945 USD; the price reported above reflects the weighted average sale price.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$16.26 USD to $16.51 USD; the price reported above reflects the weighted average sale price.</w:t>
      </w:r>
    </w:p>
    <w:p>
      <w:pPr>
        <w:spacing w:after="0" w:line="5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177,850 shares issuable on settlement of restricted stock units granted to the Reporting Person. Each restricted stock unit represents a contingent right to receive one shares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Anthony</w:t>
        <w:tab/>
        <w:t>02/21/2025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40" w:orient="portrait"/>
          <w:cols w:equalWidth="0" w:num="1">
            <w:col w:w="11000"/>
          </w:cols>
          <w:pgMar w:left="460" w:top="219" w:right="4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10230"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2025-02-21T15:49:00Z</dcterms:created>
  <dcterms:modified xsi:type="dcterms:W3CDTF">2025-02-21T15:49:00Z</dcterms:modified>
</cp:coreProperties>
</file>