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12, 2024</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1303655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12, 2024, SI-BONE, Inc. (the "Company") issued a press release (the “Press Release”) announcing results for the quarter ended September 30, 2024. A copy of the Press Release is attached as Exhibit 99.1 to this current report on Form 8-K and is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12, 2024</w:t>
            </w:r>
          </w:p>
        </w:tc>
        <w:tc>
          <w:tcPr>
            <w:tcW w:w="7200" w:type="dxa"/>
            <w:vAlign w:val="bottom"/>
            <w:gridSpan w:val="2"/>
          </w:tcPr>
          <w:p>
            <w:pPr>
              <w:spacing w:after="0"/>
              <w:rPr>
                <w:sz w:val="24"/>
                <w:szCs w:val="24"/>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7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12, 2024</w:t>
            </w:r>
          </w:p>
        </w:tc>
        <w:tc>
          <w:tcPr>
            <w:tcW w:w="19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SI-BONE, Inc. Reports Financial Results for the Third Quarter 2024 and Updates Guidance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Expects to achieve positive Adjusted EBITDA in Fourth Quarter 2024</w:t>
      </w:r>
    </w:p>
    <w:p>
      <w:pPr>
        <w:spacing w:after="0" w:line="230"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November, 12 2024 - SI-BONE, Inc. (Nasdaq:SIBN), a medical device company dedicated to solving sacropelvic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today reported financial results for the quarter ended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Third Quarter 2024 Financial Highlights </w:t>
      </w:r>
      <w:r>
        <w:rPr>
          <w:rFonts w:ascii="Times New Roman" w:cs="Times New Roman" w:eastAsia="Times New Roman" w:hAnsi="Times New Roman"/>
          <w:sz w:val="20"/>
          <w:szCs w:val="20"/>
          <w:i w:val="1"/>
          <w:iCs w:val="1"/>
          <w:color w:val="auto"/>
        </w:rPr>
        <w:t>(any comparisons are to the prior year period)</w:t>
      </w:r>
    </w:p>
    <w:p>
      <w:pPr>
        <w:spacing w:after="0" w:line="58"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$40.3 million, representing growth of ~19%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$38.3 million, representing growth of ~18%</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~79%</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loss of $6.6 million, representing an improvement of ~34%</w:t>
      </w:r>
    </w:p>
    <w:p>
      <w:pPr>
        <w:spacing w:after="0" w:line="53" w:lineRule="exact"/>
        <w:rPr>
          <w:rFonts w:ascii="Times New Roman" w:cs="Times New Roman" w:eastAsia="Times New Roman" w:hAnsi="Times New Roman"/>
          <w:sz w:val="20"/>
          <w:szCs w:val="20"/>
          <w:b w:val="1"/>
          <w:bCs w:val="1"/>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loss of $0.2 million, representing an improvement of ~94%</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$150.8 million in cash and equivalents, representing $0.7 million in net cash usage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Recent Operational Highlights </w:t>
      </w:r>
      <w:r>
        <w:rPr>
          <w:rFonts w:ascii="Times New Roman" w:cs="Times New Roman" w:eastAsia="Times New Roman" w:hAnsi="Times New Roman"/>
          <w:sz w:val="20"/>
          <w:szCs w:val="20"/>
          <w:i w:val="1"/>
          <w:iCs w:val="1"/>
          <w:color w:val="auto"/>
        </w:rPr>
        <w:t>(any comparisons are to the prior year period)</w:t>
      </w:r>
    </w:p>
    <w:p>
      <w:pPr>
        <w:spacing w:after="0" w:line="58"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Over 1,200 U.S. active physicians in the third quarter 2024, representing an increase of ~15%</w:t>
      </w:r>
    </w:p>
    <w:p>
      <w:pPr>
        <w:spacing w:after="0" w:line="67" w:lineRule="exact"/>
        <w:rPr>
          <w:rFonts w:ascii="Times New Roman" w:cs="Times New Roman" w:eastAsia="Times New Roman" w:hAnsi="Times New Roman"/>
          <w:sz w:val="20"/>
          <w:szCs w:val="20"/>
          <w:b w:val="1"/>
          <w:bCs w:val="1"/>
          <w:color w:val="auto"/>
        </w:rPr>
      </w:pPr>
    </w:p>
    <w:p>
      <w:pPr>
        <w:ind w:left="420" w:hanging="412"/>
        <w:spacing w:after="0" w:line="295" w:lineRule="auto"/>
        <w:tabs>
          <w:tab w:leader="none" w:pos="40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Commercialized iFuse TORQ TNT, a breakthrough device designed to address the anatomic and biomechanical challenges of pelvic fragility fractures</w:t>
      </w:r>
    </w:p>
    <w:p>
      <w:pPr>
        <w:spacing w:after="0" w:line="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Transitional Pass-Through (TPT) payment status for CY2025 procedures reporting the use of Granite</w:t>
      </w:r>
    </w:p>
    <w:p>
      <w:pPr>
        <w:spacing w:after="0" w:line="53" w:lineRule="exact"/>
        <w:rPr>
          <w:rFonts w:ascii="Times New Roman" w:cs="Times New Roman" w:eastAsia="Times New Roman" w:hAnsi="Times New Roman"/>
          <w:sz w:val="20"/>
          <w:szCs w:val="20"/>
          <w:color w:val="auto"/>
        </w:rPr>
      </w:pPr>
    </w:p>
    <w:p>
      <w:pPr>
        <w:ind w:left="420" w:right="20" w:hanging="412"/>
        <w:spacing w:after="0" w:line="295" w:lineRule="auto"/>
        <w:tabs>
          <w:tab w:leader="none" w:pos="40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enrollment of 110 patients across 15 sites for STACI, a prospective study on lateral transfixing SI joint fusion using TORQ when performed by interventional spine physicians</w:t>
      </w:r>
    </w:p>
    <w:p>
      <w:pPr>
        <w:spacing w:after="0" w:line="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Refinanced $36 million Term Loan, lowering all-in borrowing cost and extending maturity to 2029</w:t>
      </w:r>
    </w:p>
    <w:p>
      <w:pPr>
        <w:spacing w:after="0" w:line="5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0"/>
          <w:szCs w:val="20"/>
          <w:color w:val="auto"/>
        </w:rPr>
        <w:t>“The team did a tremendous job delivering record worldwide revenue and getting close to Adjusted EBITDA breakeven in the third quarter. In addition to the sequential revenue growth, the record 1,200 active physicians in the quarter demonstrates that our strategy to build anatomy specific platforms to address unmet needs is gaining momentum,” said Laura Francis, Chief Executive Officer. “Given the robust demand trends, including the excitement around Granite 9.5 and TORQ TNT, we are positioned to deliver a strong end to the year and be Adjusted EBITDA profitable in the fourth quarter. Going into 2025, we will leverage our formidable physician user base, our breakthrough devices, and our asset-lite business model to deliver strong and profitable revenue growth.”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Financial Results</w:t>
      </w:r>
    </w:p>
    <w:p>
      <w:pPr>
        <w:spacing w:after="0" w:line="28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Worldwide revenue was $40.3 million in the third quarter 2024, a ~19% increase from $34.0 million in the corresponding period in 2023. U.S. revenue for the third quarter 2024 was $38.3 million, a ~18% increase from $32.3 million in the corresponding period in 2023. International revenue for the third quarter 2024 was $2.1 million compared to $1.7 million in the corresponding period in 2023.</w:t>
      </w:r>
    </w:p>
    <w:p>
      <w:pPr>
        <w:sectPr>
          <w:pgSz w:w="11900" w:h="16838" w:orient="portrait"/>
          <w:cols w:equalWidth="0" w:num="1">
            <w:col w:w="11240"/>
          </w:cols>
          <w:pgMar w:left="320" w:top="887" w:right="339" w:bottom="1440" w:gutter="0" w:footer="0" w:header="0"/>
        </w:sectPr>
      </w:pPr>
    </w:p>
    <w:bookmarkStart w:id="4" w:name="page5"/>
    <w:bookmarkEnd w:id="4"/>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Gross profit was $31.9 million in the second quarter 2024, a ~18% increase from $27.0 million in the corresponding period in 2023. Gross margin was ~79% for the third quarter 2024 and was flat as compared to the corresponding period in 2023.</w:t>
      </w:r>
    </w:p>
    <w:p>
      <w:pPr>
        <w:spacing w:after="0" w:line="18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Operating expenses increased ~4% to $39.5 million in the third quarter 2024, as compared to $38.1 million in the corresponding period in 2023. The change in operating expenses was primarily driven by general commercial activity related to higher revenue and new product rollout, as well as research and development investments related to future products.</w:t>
      </w:r>
    </w:p>
    <w:p>
      <w:pPr>
        <w:spacing w:after="0" w:line="21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Operating loss improved by ~32% to $7.6 million in the third quarter 2024, as compared to an operating loss of $11.2 million in the corresponding period in 2023.</w:t>
      </w:r>
    </w:p>
    <w:p>
      <w:pPr>
        <w:spacing w:after="0" w:line="1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Net loss improved by ~34%, to $6.6 million, or $0.16 per diluted share in the third quarter 2024, as compared to a net loss of $10.0 million, or $0.25 per diluted share in the corresponding period in 2023.</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Adjusted EBITDA loss improved by ~94% to $0.2 million in the second quarter 2024, as compared to an Adjusted EBITDA loss of $3.9 million in the corresponding period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marketable securities were $150.8 million and borrowings were $36.2 million as of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Financial Guidance Updated</w:t>
      </w:r>
    </w:p>
    <w:p>
      <w:pPr>
        <w:spacing w:after="0" w:line="31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20"/>
          <w:szCs w:val="20"/>
          <w:color w:val="auto"/>
        </w:rPr>
        <w:t>SI-BONE is updating 2024 worldwide revenue guidance to be in the range of $165 million to $166 million compared to the prior guidance of $165 million to $167 million. The updated guidance implies annual revenue growth of ~19% to ~20%. The Company expects to be Adjusted EBITDA positive in the fourth quarter of 2024.</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Information</w:t>
      </w:r>
    </w:p>
    <w:p>
      <w:pPr>
        <w:spacing w:after="0" w:line="2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SI-BONE will host a conference call to discuss the third quarter 2024 financial results after market close on Tuesday, November 12, 2024 at 4:30 P.M. Eastern Time. The conference call can be accessed live over webcast at https://edge.media-server.com/mmc/p/b8oqnu9r. Live audio of the webcast will be available on the “Investors” section of the company’s website at: www.si-bone.com. The webcast will be archived and available for replay for at least 90 days after the event.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0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SI-BONE (NASDAQ: SIBN) is a global leader in developing unique technologies for surgical treatment of sacropelvic disorders. Since pioneering minimally invasive SI joint surgery in 2009, SI-BONE has supported over 4,100 physicians in performing a total of over 110,000 procedures. A unique body of clinical evidence supports the use of SI-BONE’s technologies, including two randomized controlled trials and over 140 peer reviewed publications. SI-BONE has leveraged its leadership in minimally invasive SI joint fusion to commercialize novel solutions for adjacent markets, including adult deformity, sacropelvic fixation and pelvic trauma.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on the company or the products including risks and benefits, please visit www.si-bone.com.</w:t>
      </w:r>
    </w:p>
    <w:p>
      <w:pPr>
        <w:sectPr>
          <w:pgSz w:w="11900" w:h="16838" w:orient="portrait"/>
          <w:cols w:equalWidth="0" w:num="1">
            <w:col w:w="11240"/>
          </w:cols>
          <w:pgMar w:left="320" w:top="913" w:right="339" w:bottom="1440" w:gutter="0" w:footer="0" w:header="0"/>
        </w:sectPr>
      </w:pPr>
    </w:p>
    <w:bookmarkStart w:id="5" w:name="page6"/>
    <w:bookmarkEnd w:id="5"/>
    <w:p>
      <w:pPr>
        <w:ind w:right="480"/>
        <w:spacing w:after="0" w:line="255" w:lineRule="auto"/>
        <w:rPr>
          <w:sz w:val="20"/>
          <w:szCs w:val="20"/>
          <w:color w:val="auto"/>
        </w:rPr>
      </w:pPr>
      <w:r>
        <w:rPr>
          <w:rFonts w:ascii="Times New Roman" w:cs="Times New Roman" w:eastAsia="Times New Roman" w:hAnsi="Times New Roman"/>
          <w:sz w:val="20"/>
          <w:szCs w:val="20"/>
          <w:color w:val="auto"/>
        </w:rPr>
        <w:t>iFuse Bedrock Granite, iFuse-TORQ and SI-BONE are registered trademarks of SI-BONE, Inc. iFuse TORQ TNT is a trademark of SI-BONE, Inc. ©2024 SI-BONE, Inc. All Rights Reserved.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0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9"/>
          <w:szCs w:val="19"/>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the impact of recent hurricanes including a resulting shortage in critical operating supplies on elective procedure volumes,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 on Form 10-K,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31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auto"/>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spacing w:after="0" w:line="196"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9"/>
          <w:szCs w:val="19"/>
          <w:color w:val="auto"/>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Saqib Iqbal</w:t>
      </w:r>
    </w:p>
    <w:p>
      <w:pPr>
        <w:sectPr>
          <w:pgSz w:w="11900" w:h="16838" w:orient="portrait"/>
          <w:cols w:equalWidth="0" w:num="1">
            <w:col w:w="11240"/>
          </w:cols>
          <w:pgMar w:left="320" w:top="11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Sr. Director, FP&amp;A and Investor Relations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investors@SI-BONE.com</w:t>
      </w:r>
    </w:p>
    <w:p>
      <w:pPr>
        <w:sectPr>
          <w:pgSz w:w="11900" w:h="16838" w:orient="portrait"/>
          <w:cols w:equalWidth="0" w:num="1">
            <w:col w:w="10139"/>
          </w:cols>
          <w:pgMar w:left="320" w:top="913"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100,027</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80,744</w:t>
            </w:r>
          </w:p>
        </w:tc>
        <w:tc>
          <w:tcPr>
            <w:tcW w:w="0" w:type="dxa"/>
            <w:vAlign w:val="bottom"/>
          </w:tcPr>
          <w:p>
            <w:pPr>
              <w:spacing w:after="0"/>
              <w:rPr>
                <w:sz w:val="1"/>
                <w:szCs w:val="1"/>
                <w:color w:val="auto"/>
              </w:rPr>
            </w:pPr>
          </w:p>
        </w:tc>
      </w:tr>
      <w:tr>
        <w:trPr>
          <w:trHeight w:val="20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81,317</w:t>
            </w:r>
          </w:p>
        </w:tc>
        <w:tc>
          <w:tcPr>
            <w:tcW w:w="0" w:type="dxa"/>
            <w:vAlign w:val="bottom"/>
          </w:tcPr>
          <w:p>
            <w:pPr>
              <w:spacing w:after="0"/>
              <w:rPr>
                <w:sz w:val="1"/>
                <w:szCs w:val="1"/>
                <w:color w:val="auto"/>
              </w:rPr>
            </w:pPr>
          </w:p>
        </w:tc>
      </w:tr>
      <w:tr>
        <w:trPr>
          <w:trHeight w:val="230"/>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115,169</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0" w:type="dxa"/>
            <w:vAlign w:val="bottom"/>
          </w:tcPr>
          <w:p>
            <w:pPr>
              <w:spacing w:after="0"/>
              <w:rPr>
                <w:sz w:val="1"/>
                <w:szCs w:val="1"/>
                <w:color w:val="auto"/>
              </w:rPr>
            </w:pPr>
          </w:p>
        </w:tc>
      </w:tr>
      <w:tr>
        <w:trPr>
          <w:trHeight w:val="23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29"/>
        </w:trPr>
        <w:tc>
          <w:tcPr>
            <w:tcW w:w="5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57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(26,418)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(32,353)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Weighted-average number of common shares used to compute basic and</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41,717,505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40,265,520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41,324,614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37,702,207</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569,481</w:t>
            </w: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(426,859)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(400,441)</w:t>
            </w:r>
          </w:p>
        </w:tc>
      </w:tr>
      <w:tr>
        <w:trPr>
          <w:trHeight w:val="223"/>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60"/>
          </w:cols>
          <w:pgMar w:left="820" w:top="887" w:right="8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color w:val="auto"/>
        </w:rPr>
        <w:t>Depreciation and amortization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RECONCILIATION OF NET LOSS TO NON-GAAP ADJUSTED EBITDA</w:t>
      </w:r>
    </w:p>
    <w:p>
      <w:pPr>
        <w:spacing w:after="0" w:line="2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194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(32,353)</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r>
      <w:tr>
        <w:trPr>
          <w:trHeight w:val="230"/>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18,120</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-625475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-334010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2400" w:space="260"/>
        <w:col w:w="856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2024-11-12T15:35:06Z</dcterms:created>
  <dcterms:modified xsi:type="dcterms:W3CDTF">2024-11-12T15:35:06Z</dcterms:modified>
</cp:coreProperties>
</file>