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04/02/2024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04/02/2024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1,140</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15.445</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206,801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04/02/2024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1,285</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15.4603</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ind w:right="180"/>
              <w:spacing w:after="0"/>
              <w:rPr>
                <w:sz w:val="20"/>
                <w:szCs w:val="20"/>
                <w:color w:val="auto"/>
              </w:rPr>
            </w:pPr>
            <w:r>
              <w:rPr>
                <w:rFonts w:ascii="Times New Roman" w:cs="Times New Roman" w:eastAsia="Times New Roman" w:hAnsi="Times New Roman"/>
                <w:sz w:val="17"/>
                <w:szCs w:val="17"/>
                <w:color w:val="0000FF"/>
              </w:rPr>
              <w:t>205,516</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$15.39 USD to $15.51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$15.37 USD to $15.57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149,963 shares issuable on settlement of restricted stock units granted to the Reporting Person. Each restricted stock unit represents a contingent right to receive one shares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04/04/2024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53089"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2024-04-04T19:07:57Z</dcterms:created>
  <dcterms:modified xsi:type="dcterms:W3CDTF">2024-04-04T19:07:57Z</dcterms:modified>
</cp:coreProperties>
</file>