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Securities Exchange Act of 1934</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18"/>
        </w:rPr>
        <w:t>Date of report (Date of earliest event reported): May 11, 2026</w:t>
      </w:r>
      <w:r>
        <w:rPr>
          <w:color w:val="000000"/>
        </w:rPr>
        <w:t xml:space="preserve">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SI-BONE, INC.</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w:t>
      </w:r>
    </w:p>
    <w:tbl>
      <w:tblPr>
        <w:tblW w:w="5410" w:type="dxa"/>
        <w:jc w:val="center"/>
        <w:tblInd w:w="0" w:type="dxa"/>
        <w:tblLayout w:type="fixed"/>
        <w:tblCellMar>
          <w:top w:w="28" w:type="dxa"/>
          <w:left w:w="28" w:type="dxa"/>
          <w:bottom w:w="28" w:type="dxa"/>
          <w:right w:w="28" w:type="dxa"/>
        </w:tblCellMar>
      </w:tblPr>
      <w:tblGrid>
        <w:gridCol w:w="807"/>
        <w:gridCol w:w="711"/>
        <w:gridCol w:w="717"/>
        <w:gridCol w:w="109"/>
        <w:gridCol w:w="109"/>
        <w:gridCol w:w="109"/>
        <w:gridCol w:w="354"/>
        <w:gridCol w:w="354"/>
        <w:gridCol w:w="358"/>
        <w:gridCol w:w="109"/>
        <w:gridCol w:w="109"/>
        <w:gridCol w:w="109"/>
        <w:gridCol w:w="424"/>
        <w:gridCol w:w="424"/>
        <w:gridCol w:w="607"/>
      </w:tblGrid>
      <w:tr>
        <w:trPr/>
        <w:tc>
          <w:tcPr>
            <w:tcW w:w="8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001-38701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26-2216351</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br/>
              <w:t>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471 El Camino Real</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Suite 101</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Santa Clara, CA 95050</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(Zip Code)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(408) 207-0700</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include area code)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N/A</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Since Last Report)</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tbl>
      <w:tblPr>
        <w:tblW w:w="6852" w:type="dxa"/>
        <w:jc w:val="center"/>
        <w:tblInd w:w="0" w:type="dxa"/>
        <w:tblLayout w:type="fixed"/>
        <w:tblCellMar>
          <w:top w:w="28" w:type="dxa"/>
          <w:left w:w="28" w:type="dxa"/>
          <w:bottom w:w="28" w:type="dxa"/>
          <w:right w:w="28" w:type="dxa"/>
        </w:tblCellMar>
      </w:tblPr>
      <w:tblGrid>
        <w:gridCol w:w="124"/>
        <w:gridCol w:w="109"/>
        <w:gridCol w:w="109"/>
        <w:gridCol w:w="1904"/>
        <w:gridCol w:w="1904"/>
        <w:gridCol w:w="27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bl>
    <w:tbl>
      <w:tblPr>
        <w:tblW w:w="6851" w:type="dxa"/>
        <w:jc w:val="center"/>
        <w:tblInd w:w="0" w:type="dxa"/>
        <w:tblLayout w:type="fixed"/>
        <w:tblCellMar>
          <w:top w:w="28" w:type="dxa"/>
          <w:left w:w="28" w:type="dxa"/>
          <w:bottom w:w="28" w:type="dxa"/>
          <w:right w:w="28" w:type="dxa"/>
        </w:tblCellMar>
      </w:tblPr>
      <w:tblGrid>
        <w:gridCol w:w="124"/>
        <w:gridCol w:w="109"/>
        <w:gridCol w:w="109"/>
        <w:gridCol w:w="1904"/>
        <w:gridCol w:w="1904"/>
        <w:gridCol w:w="27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bl>
    <w:tbl>
      <w:tblPr>
        <w:tblW w:w="8442" w:type="dxa"/>
        <w:jc w:val="center"/>
        <w:tblInd w:w="0" w:type="dxa"/>
        <w:tblLayout w:type="fixed"/>
        <w:tblCellMar>
          <w:top w:w="28" w:type="dxa"/>
          <w:left w:w="28" w:type="dxa"/>
          <w:bottom w:w="28" w:type="dxa"/>
          <w:right w:w="28" w:type="dxa"/>
        </w:tblCellMar>
      </w:tblPr>
      <w:tblGrid>
        <w:gridCol w:w="124"/>
        <w:gridCol w:w="109"/>
        <w:gridCol w:w="109"/>
        <w:gridCol w:w="2368"/>
        <w:gridCol w:w="2368"/>
        <w:gridCol w:w="33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33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bl>
    <w:tbl>
      <w:tblPr>
        <w:tblW w:w="8381" w:type="dxa"/>
        <w:jc w:val="center"/>
        <w:tblInd w:w="0" w:type="dxa"/>
        <w:tblLayout w:type="fixed"/>
        <w:tblCellMar>
          <w:top w:w="28" w:type="dxa"/>
          <w:left w:w="28" w:type="dxa"/>
          <w:bottom w:w="28" w:type="dxa"/>
          <w:right w:w="28" w:type="dxa"/>
        </w:tblCellMar>
      </w:tblPr>
      <w:tblGrid>
        <w:gridCol w:w="124"/>
        <w:gridCol w:w="109"/>
        <w:gridCol w:w="109"/>
        <w:gridCol w:w="2350"/>
        <w:gridCol w:w="2350"/>
        <w:gridCol w:w="33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33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Securities registered pursuant to Section 12(b) of the Act: </w:t>
      </w:r>
    </w:p>
    <w:tbl>
      <w:tblPr>
        <w:tblW w:w="8414" w:type="dxa"/>
        <w:jc w:val="center"/>
        <w:tblInd w:w="0" w:type="dxa"/>
        <w:tblLayout w:type="fixed"/>
        <w:tblCellMar>
          <w:top w:w="28" w:type="dxa"/>
          <w:left w:w="28" w:type="dxa"/>
          <w:bottom w:w="28" w:type="dxa"/>
          <w:right w:w="28" w:type="dxa"/>
        </w:tblCellMar>
      </w:tblPr>
      <w:tblGrid>
        <w:gridCol w:w="1188"/>
        <w:gridCol w:w="1045"/>
        <w:gridCol w:w="1052"/>
        <w:gridCol w:w="534"/>
        <w:gridCol w:w="534"/>
        <w:gridCol w:w="536"/>
        <w:gridCol w:w="1033"/>
        <w:gridCol w:w="1033"/>
        <w:gridCol w:w="1459"/>
      </w:tblGrid>
      <w:tr>
        <w:trPr/>
        <w:tc>
          <w:tcPr>
            <w:tcW w:w="1188"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 xml:space="preserve">Title of each class </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 xml:space="preserve">Trading Symbol(s) </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 xml:space="preserve">Name of each exchange on which registered </w:t>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$0.0001 per share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SIBN</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Global Market</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Emerging growth company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On May 11, 2026, SI-BONE, Inc. (the “</w:t>
      </w:r>
      <w:r>
        <w:rPr>
          <w:rFonts w:ascii="Times New Roman;serif" w:hAnsi="Times New Roman;serif"/>
          <w:b/>
          <w:color w:val="000000"/>
          <w:sz w:val="20"/>
        </w:rPr>
        <w:t>Company</w:t>
      </w:r>
      <w:r>
        <w:rPr>
          <w:color w:val="000000"/>
        </w:rPr>
        <w:t>”</w:t>
      </w:r>
      <w:r>
        <w:rPr>
          <w:rFonts w:ascii="Times New Roman;serif" w:hAnsi="Times New Roman;serif"/>
          <w:b w:val="false"/>
          <w:color w:val="000000"/>
          <w:sz w:val="20"/>
        </w:rPr>
        <w:t>) issued a press release (the “</w:t>
      </w:r>
      <w:r>
        <w:rPr>
          <w:rFonts w:ascii="Times New Roman;serif" w:hAnsi="Times New Roman;serif"/>
          <w:b/>
          <w:color w:val="000000"/>
          <w:sz w:val="20"/>
        </w:rPr>
        <w:t>Press Release</w:t>
      </w:r>
      <w:r>
        <w:rPr>
          <w:color w:val="000000"/>
        </w:rPr>
        <w:t>”</w:t>
      </w:r>
      <w:r>
        <w:rPr>
          <w:rFonts w:ascii="Times New Roman;serif" w:hAnsi="Times New Roman;serif"/>
          <w:b w:val="false"/>
          <w:color w:val="000000"/>
          <w:sz w:val="20"/>
        </w:rPr>
        <w:t>) announcing results for the quarter ended March 31, 2026. A copy of the Press Release is attached as Exhibit 99.1 to this current report on Form 8-K and is incorporated by reference herein.</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The information under Item 2.02 in this current report on Form 8-K and the related information in the exhibit attached hereto shall not be deemed “filed” for purposes of Section 18 of the Securities Exchange Act of 1934, as amended (the “</w:t>
      </w:r>
      <w:r>
        <w:rPr>
          <w:rFonts w:ascii="Times New Roman;serif" w:hAnsi="Times New Roman;serif"/>
          <w:b/>
          <w:color w:val="000000"/>
          <w:sz w:val="20"/>
        </w:rPr>
        <w:t>Exchange Act</w:t>
      </w:r>
      <w:r>
        <w:rPr>
          <w:color w:val="000000"/>
        </w:rPr>
        <w:t>”</w:t>
      </w:r>
      <w:r>
        <w:rPr>
          <w:rFonts w:ascii="Times New Roman;serif" w:hAnsi="Times New Roman;serif"/>
          <w:b w:val="false"/>
          <w:color w:val="000000"/>
          <w:sz w:val="20"/>
        </w:rPr>
        <w:t>) or otherwise subject to the liabilities of that section, nor shall it be deemed incorporated by reference in any filing under the Securities Act of 1933, as amended, or the Exchange Act, regardless of any general incorporation language in such filing.</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 Exhibits</w:t>
      </w:r>
    </w:p>
    <w:tbl>
      <w:tblPr>
        <w:tblW w:w="8007" w:type="dxa"/>
        <w:jc w:val="left"/>
        <w:tblInd w:w="0" w:type="dxa"/>
        <w:tblLayout w:type="fixed"/>
        <w:tblCellMar>
          <w:top w:w="28" w:type="dxa"/>
          <w:left w:w="28" w:type="dxa"/>
          <w:bottom w:w="28" w:type="dxa"/>
          <w:right w:w="28" w:type="dxa"/>
        </w:tblCellMar>
      </w:tblPr>
      <w:tblGrid>
        <w:gridCol w:w="391"/>
        <w:gridCol w:w="344"/>
        <w:gridCol w:w="346"/>
        <w:gridCol w:w="109"/>
        <w:gridCol w:w="109"/>
        <w:gridCol w:w="109"/>
        <w:gridCol w:w="1928"/>
        <w:gridCol w:w="1928"/>
        <w:gridCol w:w="274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_q126earningsrel.htm">
              <w:r>
                <w:rPr>
                  <w:rStyle w:val="InternetLink"/>
                  <w:rFonts w:ascii="Times New Roman;serif" w:hAnsi="Times New Roman;serif"/>
                  <w:b w:val="false"/>
                  <w:color w:val="000080"/>
                  <w:sz w:val="20"/>
                  <w:u w:val="single"/>
                </w:rPr>
                <w:t>Press Release dated May 11, 202</w:t>
              </w:r>
            </w:hyperlink>
            <w:hyperlink w:anchor="exhibit991_q126earningsrel.htm">
              <w:r>
                <w:rPr>
                  <w:rStyle w:val="InternetLink"/>
                  <w:rFonts w:ascii="Times New Roman;serif" w:hAnsi="Times New Roman;serif"/>
                  <w:b w:val="false"/>
                  <w:color w:val="000080"/>
                  <w:sz w:val="20"/>
                  <w:u w:val="single"/>
                </w:rPr>
                <w:t>6</w:t>
              </w:r>
            </w:hyperlink>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Date File (embedded within the Inline XBRL document)</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231" w:type="dxa"/>
        <w:jc w:val="left"/>
        <w:tblInd w:w="0" w:type="dxa"/>
        <w:tblLayout w:type="fixed"/>
        <w:tblCellMar>
          <w:top w:w="28" w:type="dxa"/>
          <w:left w:w="28" w:type="dxa"/>
          <w:bottom w:w="28" w:type="dxa"/>
          <w:right w:w="28" w:type="dxa"/>
        </w:tblCellMar>
      </w:tblPr>
      <w:tblGrid>
        <w:gridCol w:w="200"/>
        <w:gridCol w:w="177"/>
        <w:gridCol w:w="178"/>
        <w:gridCol w:w="414"/>
        <w:gridCol w:w="414"/>
        <w:gridCol w:w="417"/>
        <w:gridCol w:w="222"/>
        <w:gridCol w:w="222"/>
        <w:gridCol w:w="222"/>
        <w:gridCol w:w="1098"/>
        <w:gridCol w:w="1098"/>
        <w:gridCol w:w="156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r>
      <w:tr>
        <w:trPr/>
        <w:tc>
          <w:tcPr>
            <w:tcW w:w="6231"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SI-BONE, INC.</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1"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11, 2026</w:t>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Anshul Maheshwari</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Anshul Maheshwari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Operating Officer &amp; Financial Officer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44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center"/>
        <w:rPr/>
      </w:pPr>
      <w:r>
        <w:rPr/>
        <w:drawing>
          <wp:inline distT="0" distB="0" distL="0" distR="0">
            <wp:extent cx="1466850" cy="8382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466850" cy="838200"/>
                    </a:xfrm>
                    <a:prstGeom prst="rect">
                      <a:avLst/>
                    </a:prstGeom>
                  </pic:spPr>
                </pic:pic>
              </a:graphicData>
            </a:graphic>
          </wp:inline>
        </w:drawing>
      </w:r>
    </w:p>
    <w:p>
      <w:pPr>
        <w:pStyle w:val="TextBody"/>
        <w:bidi w:val="0"/>
        <w:spacing w:lineRule="auto" w:line="429" w:before="0" w:after="0"/>
        <w:jc w:val="center"/>
        <w:rPr>
          <w:rFonts w:ascii="Times New Roman;serif" w:hAnsi="Times New Roman;serif"/>
          <w:b/>
          <w:color w:val="000000"/>
          <w:sz w:val="22"/>
        </w:rPr>
      </w:pPr>
      <w:r>
        <w:rPr>
          <w:rFonts w:ascii="Times New Roman;serif" w:hAnsi="Times New Roman;serif"/>
          <w:b/>
          <w:color w:val="000000"/>
          <w:sz w:val="22"/>
        </w:rPr>
        <w:t>SI-BONE, Inc. Reports Financial Results for the First Quarter 2026 and Raises 2026 Guidance</w:t>
      </w:r>
    </w:p>
    <w:p>
      <w:pPr>
        <w:pStyle w:val="TextBody"/>
        <w:bidi w:val="0"/>
        <w:spacing w:lineRule="atLeast" w:line="427" w:before="0" w:after="0"/>
        <w:jc w:val="center"/>
        <w:rPr>
          <w:rFonts w:ascii="Times New Roman;serif" w:hAnsi="Times New Roman;serif"/>
          <w:b w:val="false"/>
          <w:i/>
          <w:color w:val="000000"/>
          <w:sz w:val="22"/>
        </w:rPr>
      </w:pPr>
      <w:r>
        <w:rPr>
          <w:rFonts w:ascii="Times New Roman;serif" w:hAnsi="Times New Roman;serif"/>
          <w:b w:val="false"/>
          <w:i/>
          <w:color w:val="000000"/>
          <w:sz w:val="22"/>
        </w:rPr>
        <w:t>Delivered ~11% worldwide revenue growth, record physician engagement and ~440% improvement in adjusted EBITDA</w:t>
      </w:r>
    </w:p>
    <w:p>
      <w:pPr>
        <w:pStyle w:val="TextBody"/>
        <w:bidi w:val="0"/>
        <w:spacing w:before="0" w:after="0"/>
        <w:jc w:val="center"/>
        <w:rPr/>
      </w:pPr>
      <w:r>
        <w:rPr/>
      </w:r>
    </w:p>
    <w:p>
      <w:pPr>
        <w:pStyle w:val="TextBody"/>
        <w:bidi w:val="0"/>
        <w:spacing w:lineRule="atLeast" w:line="427" w:before="0" w:after="0"/>
        <w:jc w:val="both"/>
        <w:rPr/>
      </w:pPr>
      <w:r>
        <w:rPr>
          <w:rFonts w:ascii="Times New Roman;serif" w:hAnsi="Times New Roman;serif"/>
          <w:b/>
          <w:color w:val="000000"/>
          <w:sz w:val="22"/>
        </w:rPr>
        <w:t>First Quarter 2026 Financial Highlights</w:t>
      </w:r>
      <w:r>
        <w:rPr>
          <w:color w:val="000000"/>
        </w:rPr>
        <w:t xml:space="preserve"> </w:t>
      </w:r>
      <w:r>
        <w:rPr>
          <w:rFonts w:ascii="Times New Roman;serif" w:hAnsi="Times New Roman;serif"/>
          <w:b w:val="false"/>
          <w:i/>
          <w:color w:val="000000"/>
          <w:sz w:val="22"/>
        </w:rPr>
        <w:t>(all</w:t>
      </w:r>
      <w:r>
        <w:rPr>
          <w:color w:val="3051F2"/>
        </w:rPr>
        <w:t xml:space="preserve"> </w:t>
      </w:r>
      <w:r>
        <w:rPr>
          <w:rFonts w:ascii="Times New Roman;serif" w:hAnsi="Times New Roman;serif"/>
          <w:b w:val="false"/>
          <w:i/>
          <w:color w:val="000000"/>
          <w:sz w:val="22"/>
        </w:rPr>
        <w:t>comparisons are to the prior year period)</w:t>
      </w:r>
    </w:p>
    <w:p>
      <w:pPr>
        <w:pStyle w:val="TextBody"/>
        <w:bidi w:val="0"/>
        <w:spacing w:lineRule="atLeast" w:line="427" w:before="0" w:after="0"/>
        <w:ind w:left="0" w:right="0" w:hanging="450"/>
        <w:jc w:val="both"/>
        <w:rPr/>
      </w:pPr>
      <w:r>
        <w:rPr>
          <w:color w:val="000000"/>
        </w:rPr>
        <w:t>•</w:t>
      </w:r>
      <w:r>
        <w:rPr>
          <w:rFonts w:ascii="Times New Roman;serif" w:hAnsi="Times New Roman;serif"/>
          <w:b w:val="false"/>
          <w:color w:val="000000"/>
          <w:sz w:val="22"/>
        </w:rPr>
        <w:t>Worldwide revenue of</w:t>
      </w:r>
      <w:r>
        <w:rPr>
          <w:color w:val="FAAC16"/>
        </w:rPr>
        <w:t xml:space="preserve"> </w:t>
      </w:r>
      <w:r>
        <w:rPr>
          <w:rFonts w:ascii="Times New Roman;serif" w:hAnsi="Times New Roman;serif"/>
          <w:b w:val="false"/>
          <w:color w:val="000000"/>
          <w:sz w:val="22"/>
        </w:rPr>
        <w:t xml:space="preserve">$52.6 million, representing growth of 11.2% </w:t>
      </w:r>
    </w:p>
    <w:p>
      <w:pPr>
        <w:pStyle w:val="TextBody"/>
        <w:bidi w:val="0"/>
        <w:spacing w:lineRule="atLeast" w:line="427" w:before="0" w:after="0"/>
        <w:ind w:left="0" w:right="0" w:hanging="450"/>
        <w:jc w:val="both"/>
        <w:rPr/>
      </w:pPr>
      <w:r>
        <w:rPr>
          <w:color w:val="000000"/>
        </w:rPr>
        <w:t>•</w:t>
      </w:r>
      <w:r>
        <w:rPr>
          <w:rFonts w:ascii="Times New Roman;serif" w:hAnsi="Times New Roman;serif"/>
          <w:b w:val="false"/>
          <w:color w:val="000000"/>
          <w:sz w:val="24"/>
        </w:rPr>
        <w:t>U.S. revenue of</w:t>
      </w:r>
      <w:r>
        <w:rPr>
          <w:color w:val="000000"/>
        </w:rPr>
        <w:t xml:space="preserve"> </w:t>
      </w:r>
      <w:r>
        <w:rPr>
          <w:rFonts w:ascii="Times New Roman;serif" w:hAnsi="Times New Roman;serif"/>
          <w:b w:val="false"/>
          <w:color w:val="000000"/>
          <w:sz w:val="22"/>
        </w:rPr>
        <w:t>$49.3 million, representing growth of 10.0%</w:t>
      </w:r>
      <w:r>
        <w:rPr>
          <w:color w:val="3051F2"/>
        </w:rPr>
        <w:t xml:space="preserve"> </w:t>
      </w:r>
    </w:p>
    <w:p>
      <w:pPr>
        <w:pStyle w:val="TextBody"/>
        <w:bidi w:val="0"/>
        <w:spacing w:lineRule="atLeast" w:line="427" w:before="0" w:after="0"/>
        <w:ind w:left="0" w:right="0" w:hanging="450"/>
        <w:jc w:val="both"/>
        <w:rPr/>
      </w:pPr>
      <w:r>
        <w:rPr>
          <w:color w:val="000000"/>
        </w:rPr>
        <w:t>•</w:t>
      </w:r>
      <w:r>
        <w:rPr>
          <w:rFonts w:ascii="Times New Roman;serif" w:hAnsi="Times New Roman;serif"/>
          <w:b w:val="false"/>
          <w:color w:val="000000"/>
          <w:sz w:val="22"/>
        </w:rPr>
        <w:t>Gross margin of</w:t>
      </w:r>
      <w:r>
        <w:rPr>
          <w:color w:val="FAAC16"/>
        </w:rPr>
        <w:t xml:space="preserve"> </w:t>
      </w:r>
      <w:r>
        <w:rPr>
          <w:rFonts w:ascii="Times New Roman;serif" w:hAnsi="Times New Roman;serif"/>
          <w:b w:val="false"/>
          <w:color w:val="000000"/>
          <w:sz w:val="22"/>
        </w:rPr>
        <w:t xml:space="preserve">79.8% </w:t>
      </w:r>
    </w:p>
    <w:p>
      <w:pPr>
        <w:pStyle w:val="TextBody"/>
        <w:bidi w:val="0"/>
        <w:spacing w:lineRule="atLeast" w:line="427" w:before="0" w:after="0"/>
        <w:ind w:left="0" w:right="0" w:hanging="450"/>
        <w:jc w:val="both"/>
        <w:rPr/>
      </w:pPr>
      <w:r>
        <w:rPr>
          <w:color w:val="000000"/>
        </w:rPr>
        <w:t>•</w:t>
      </w:r>
      <w:r>
        <w:rPr>
          <w:rFonts w:ascii="Times New Roman;serif" w:hAnsi="Times New Roman;serif"/>
          <w:b w:val="false"/>
          <w:color w:val="000000"/>
          <w:sz w:val="22"/>
        </w:rPr>
        <w:t>Net loss of $4.3 million, representing an improvement of</w:t>
      </w:r>
      <w:r>
        <w:rPr>
          <w:color w:val="FAAC16"/>
        </w:rPr>
        <w:t xml:space="preserve"> </w:t>
      </w:r>
      <w:r>
        <w:rPr>
          <w:rFonts w:ascii="Times New Roman;serif" w:hAnsi="Times New Roman;serif"/>
          <w:b w:val="false"/>
          <w:color w:val="000000"/>
          <w:sz w:val="22"/>
        </w:rPr>
        <w:t xml:space="preserve">33.8% </w:t>
      </w:r>
    </w:p>
    <w:p>
      <w:pPr>
        <w:pStyle w:val="TextBody"/>
        <w:bidi w:val="0"/>
        <w:spacing w:lineRule="atLeast" w:line="427" w:before="0" w:after="0"/>
        <w:ind w:left="0" w:right="0" w:hanging="450"/>
        <w:jc w:val="both"/>
        <w:rPr/>
      </w:pPr>
      <w:r>
        <w:rPr>
          <w:color w:val="000000"/>
        </w:rPr>
        <w:t>•</w:t>
      </w:r>
      <w:r>
        <w:rPr>
          <w:rFonts w:ascii="Times New Roman;serif" w:hAnsi="Times New Roman;serif"/>
          <w:b w:val="false"/>
          <w:color w:val="000000"/>
          <w:sz w:val="22"/>
        </w:rPr>
        <w:t>Adjusted EBITDA of</w:t>
      </w:r>
      <w:r>
        <w:rPr>
          <w:color w:val="FAAC16"/>
        </w:rPr>
        <w:t xml:space="preserve"> </w:t>
      </w:r>
      <w:r>
        <w:rPr>
          <w:rFonts w:ascii="Times New Roman;serif" w:hAnsi="Times New Roman;serif"/>
          <w:b w:val="false"/>
          <w:color w:val="000000"/>
          <w:sz w:val="22"/>
        </w:rPr>
        <w:t xml:space="preserve">$2.5 million, representing an improvement of over 440% </w:t>
      </w:r>
    </w:p>
    <w:p>
      <w:pPr>
        <w:pStyle w:val="TextBody"/>
        <w:bidi w:val="0"/>
        <w:spacing w:lineRule="atLeast" w:line="427" w:before="0" w:after="0"/>
        <w:ind w:left="0" w:right="0" w:hanging="450"/>
        <w:jc w:val="both"/>
        <w:rPr/>
      </w:pPr>
      <w:r>
        <w:rPr>
          <w:color w:val="000000"/>
        </w:rPr>
        <w:t>•</w:t>
      </w:r>
      <w:r>
        <w:rPr>
          <w:rFonts w:ascii="Times New Roman;serif" w:hAnsi="Times New Roman;serif"/>
          <w:b w:val="false"/>
          <w:color w:val="000000"/>
          <w:sz w:val="22"/>
        </w:rPr>
        <w:t xml:space="preserve">$144.7 million in cash and equivalents </w:t>
      </w:r>
    </w:p>
    <w:p>
      <w:pPr>
        <w:pStyle w:val="TextBody"/>
        <w:bidi w:val="0"/>
        <w:spacing w:lineRule="atLeast" w:line="427" w:before="0" w:after="0"/>
        <w:jc w:val="both"/>
        <w:rPr/>
      </w:pPr>
      <w:r>
        <w:rPr>
          <w:rFonts w:ascii="Times New Roman;serif" w:hAnsi="Times New Roman;serif"/>
          <w:b/>
          <w:color w:val="000000"/>
          <w:sz w:val="22"/>
        </w:rPr>
        <w:t xml:space="preserve">Recent Operational Highlights </w:t>
      </w:r>
      <w:r>
        <w:rPr>
          <w:rFonts w:ascii="Times New Roman;serif" w:hAnsi="Times New Roman;serif"/>
          <w:b w:val="false"/>
          <w:i/>
          <w:color w:val="000000"/>
          <w:sz w:val="22"/>
        </w:rPr>
        <w:t>(any</w:t>
      </w:r>
      <w:r>
        <w:rPr>
          <w:color w:val="3051F2"/>
        </w:rPr>
        <w:t xml:space="preserve"> </w:t>
      </w:r>
      <w:r>
        <w:rPr>
          <w:rFonts w:ascii="Times New Roman;serif" w:hAnsi="Times New Roman;serif"/>
          <w:b w:val="false"/>
          <w:i/>
          <w:color w:val="000000"/>
          <w:sz w:val="22"/>
        </w:rPr>
        <w:t>comparisons are to the prior year period)</w:t>
      </w:r>
    </w:p>
    <w:p>
      <w:pPr>
        <w:pStyle w:val="TextBody"/>
        <w:bidi w:val="0"/>
        <w:spacing w:lineRule="atLeast" w:line="427" w:before="0" w:after="0"/>
        <w:ind w:left="0" w:right="0" w:hanging="450"/>
        <w:jc w:val="both"/>
        <w:rPr/>
      </w:pPr>
      <w:r>
        <w:rPr>
          <w:color w:val="000000"/>
        </w:rPr>
        <w:t>•</w:t>
      </w:r>
      <w:r>
        <w:rPr>
          <w:rFonts w:ascii="Times New Roman;serif" w:hAnsi="Times New Roman;serif"/>
          <w:b w:val="false"/>
          <w:color w:val="000000"/>
          <w:sz w:val="22"/>
        </w:rPr>
        <w:t xml:space="preserve">Over 1,650 active U.S. physicians, representing growth of 17% </w:t>
      </w:r>
    </w:p>
    <w:p>
      <w:pPr>
        <w:pStyle w:val="TextBody"/>
        <w:bidi w:val="0"/>
        <w:spacing w:lineRule="atLeast" w:line="427" w:before="0" w:after="0"/>
        <w:ind w:left="0" w:right="0" w:hanging="450"/>
        <w:jc w:val="both"/>
        <w:rPr/>
      </w:pPr>
      <w:r>
        <w:rPr>
          <w:color w:val="000000"/>
        </w:rPr>
        <w:t>•</w:t>
      </w:r>
      <w:r>
        <w:rPr>
          <w:rFonts w:ascii="Times New Roman;serif" w:hAnsi="Times New Roman;serif"/>
          <w:b w:val="false"/>
          <w:color w:val="000000"/>
          <w:sz w:val="22"/>
        </w:rPr>
        <w:t xml:space="preserve">$2.2 million in trailing 12-month average revenue per territory, representing an increase of 11% </w:t>
      </w:r>
    </w:p>
    <w:p>
      <w:pPr>
        <w:pStyle w:val="TextBody"/>
        <w:bidi w:val="0"/>
        <w:spacing w:lineRule="atLeast" w:line="427" w:before="0" w:after="0"/>
        <w:ind w:left="0" w:right="0" w:hanging="450"/>
        <w:jc w:val="both"/>
        <w:rPr/>
      </w:pPr>
      <w:r>
        <w:rPr>
          <w:color w:val="000000"/>
        </w:rPr>
        <w:t>•</w:t>
      </w:r>
      <w:r>
        <w:rPr>
          <w:rFonts w:ascii="Times New Roman;serif" w:hAnsi="Times New Roman;serif"/>
          <w:b w:val="false"/>
          <w:color w:val="000000"/>
          <w:sz w:val="22"/>
        </w:rPr>
        <w:t xml:space="preserve">Expanded international presence with the launch of iFuse TORQ TNT in Europe and iFuse TORQ in Australia </w:t>
      </w:r>
    </w:p>
    <w:p>
      <w:pPr>
        <w:pStyle w:val="TextBody"/>
        <w:bidi w:val="0"/>
        <w:spacing w:lineRule="atLeast" w:line="427" w:before="0" w:after="0"/>
        <w:ind w:left="0" w:right="0" w:hanging="450"/>
        <w:jc w:val="both"/>
        <w:rPr/>
      </w:pPr>
      <w:r>
        <w:rPr>
          <w:color w:val="000000"/>
        </w:rPr>
        <w:t>•</w:t>
      </w:r>
      <w:r>
        <w:rPr>
          <w:rFonts w:ascii="Times New Roman;serif" w:hAnsi="Times New Roman;serif"/>
          <w:b w:val="false"/>
          <w:color w:val="000000"/>
          <w:sz w:val="22"/>
        </w:rPr>
        <w:t xml:space="preserve">CMS proposes, in their FY2027 IPPS Proposed Rule, the creation of a new MS-DRG family with higher payment for hospitals supporting complex spinal fusion procedures that incorporate iFuse Bedrock Granite </w:t>
      </w:r>
    </w:p>
    <w:p>
      <w:pPr>
        <w:pStyle w:val="TextBody"/>
        <w:bidi w:val="0"/>
        <w:spacing w:before="0" w:after="0"/>
        <w:ind w:left="0" w:right="0" w:hanging="90"/>
        <w:jc w:val="both"/>
        <w:rPr/>
      </w:pPr>
      <w:r>
        <w:rPr/>
      </w:r>
    </w:p>
    <w:p>
      <w:pPr>
        <w:pStyle w:val="TextBody"/>
        <w:bidi w:val="0"/>
        <w:spacing w:lineRule="auto" w:line="417" w:before="0" w:after="0"/>
        <w:jc w:val="both"/>
        <w:rPr/>
      </w:pPr>
      <w:r>
        <w:rPr>
          <w:rFonts w:ascii="Times New Roman;serif" w:hAnsi="Times New Roman;serif"/>
          <w:b/>
          <w:color w:val="000000"/>
          <w:sz w:val="22"/>
        </w:rPr>
        <w:t>SANTA CLARA, Calif. May 11, 2026</w:t>
      </w:r>
      <w:r>
        <w:rPr>
          <w:color w:val="000000"/>
        </w:rPr>
        <w:t xml:space="preserve"> </w:t>
      </w:r>
      <w:r>
        <w:rPr>
          <w:rFonts w:ascii="Times New Roman;serif" w:hAnsi="Times New Roman;serif"/>
          <w:b w:val="false"/>
          <w:color w:val="000000"/>
          <w:sz w:val="22"/>
        </w:rPr>
        <w:t>- SI-BONE, Inc. (Nasdaq: SIBN), the global leader in developing procedural solutions to address clinical challenges associated with compromised bone, today reported financial results for the quarter ended March 31, 2026.</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2"/>
        </w:rPr>
      </w:pPr>
      <w:r>
        <w:rPr>
          <w:rFonts w:ascii="Times New Roman;serif" w:hAnsi="Times New Roman;serif"/>
          <w:b w:val="false"/>
          <w:color w:val="000000"/>
          <w:sz w:val="22"/>
        </w:rPr>
        <w:t>"The first quarter demonstrated the strength and durability of our platform, with record physician engagement and double-digit growth across all key metrics," said Laura Francis, Chief Executive Officer. "We advanced several high-impact initiatives during the quarter, including the U.S. launch of INTRA Ti, our trauma partnership with Smith + Nephew, and the introduction of iFuse TORQ TNT and iFuse TORQ across various international markets, each of which expands our addressable market and deepens our competitive position. With growing commercial scale and our third breakthrough device on track for launch later this year, we are well positioned to accelerate revenue growth through 2026 and into 2027."</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86" w:before="55" w:after="30"/>
        <w:jc w:val="left"/>
        <w:rPr>
          <w:rFonts w:ascii="Times New Roman;serif" w:hAnsi="Times New Roman;serif"/>
          <w:b/>
          <w:color w:val="000000"/>
          <w:sz w:val="22"/>
        </w:rPr>
      </w:pPr>
      <w:r>
        <w:rPr>
          <w:rFonts w:ascii="Times New Roman;serif" w:hAnsi="Times New Roman;serif"/>
          <w:b/>
          <w:color w:val="000000"/>
          <w:sz w:val="22"/>
        </w:rPr>
        <w:t>First Quarter 2026 Financial Results</w:t>
      </w:r>
    </w:p>
    <w:p>
      <w:pPr>
        <w:pStyle w:val="TextBody"/>
        <w:bidi w:val="0"/>
        <w:spacing w:lineRule="auto" w:line="417" w:before="0" w:after="0"/>
        <w:jc w:val="both"/>
        <w:rPr>
          <w:rFonts w:ascii="Times New Roman;serif" w:hAnsi="Times New Roman;serif"/>
          <w:b w:val="false"/>
          <w:color w:val="000000"/>
          <w:sz w:val="22"/>
        </w:rPr>
      </w:pPr>
      <w:r>
        <w:rPr>
          <w:rFonts w:ascii="Times New Roman;serif" w:hAnsi="Times New Roman;serif"/>
          <w:b w:val="false"/>
          <w:color w:val="000000"/>
          <w:sz w:val="22"/>
        </w:rPr>
        <w:t>Worldwide revenue was $52.6 million in the first quarter 2026, a 11.2% increase from $47.3 million in the corresponding period in 2025. U.S. revenue for the first quarter 2026 was $49.3 million, a 10.0% increase from $44.8 million in the corresponding period in 2025. U.S revenue growth benefited from expanded adoption of the product portfolio across all sites of care and increased sales channel coverage. International revenue for the first quarter 2026 was $3.3 million, a 33.9% increase from $2.5 million in the corresponding period in 2025. International revenue growth reflects the growing demand for iFuse TORQ.</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Gross profit was $41.9 million in the first quarter 2026, an increase of 11.3% from $37.7 million in the corresponding period in 2025. Gross margin in the first quarter 2026 was stable compared to the prior year period at 79.8%. </w:t>
      </w:r>
    </w:p>
    <w:p>
      <w:pPr>
        <w:pStyle w:val="TextBody"/>
        <w:bidi w:val="0"/>
        <w:spacing w:before="0" w:after="0"/>
        <w:jc w:val="both"/>
        <w:rPr/>
      </w:pPr>
      <w:r>
        <w:rPr/>
      </w:r>
    </w:p>
    <w:p>
      <w:pPr>
        <w:pStyle w:val="TextBody"/>
        <w:bidi w:val="0"/>
        <w:spacing w:lineRule="auto" w:line="417" w:before="0" w:after="0"/>
        <w:jc w:val="both"/>
        <w:rPr/>
      </w:pPr>
      <w:r>
        <w:rPr>
          <w:rFonts w:ascii="Times New Roman;serif" w:hAnsi="Times New Roman;serif"/>
          <w:b w:val="false"/>
          <w:color w:val="000000"/>
          <w:sz w:val="22"/>
        </w:rPr>
        <w:t>Operating expenses increased 4.1% to $47.0 million in the first quarter 2026, as compared to</w:t>
      </w:r>
      <w:r>
        <w:rPr>
          <w:color w:val="FAAC16"/>
        </w:rPr>
        <w:t xml:space="preserve"> </w:t>
      </w:r>
      <w:r>
        <w:rPr>
          <w:rFonts w:ascii="Times New Roman;serif" w:hAnsi="Times New Roman;serif"/>
          <w:b w:val="false"/>
          <w:color w:val="000000"/>
          <w:sz w:val="22"/>
        </w:rPr>
        <w:t xml:space="preserve">$45.2 million in the corresponding period in 2025. The change in operating expenses was primarily driven by general commercial activity related to higher revenue and new product rollout. </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2"/>
        </w:rPr>
      </w:pPr>
      <w:r>
        <w:rPr>
          <w:rFonts w:ascii="Times New Roman;serif" w:hAnsi="Times New Roman;serif"/>
          <w:b w:val="false"/>
          <w:color w:val="000000"/>
          <w:sz w:val="22"/>
        </w:rPr>
        <w:t>Operating loss improved by 31.9% to $5.1 million in the first quarter 2026, as compared to an operating loss of $7.5 million in the corresponding period in 2025.</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Net loss improved by 33.8% to $4.3 million, or $0.10 per diluted share, in the first quarter 2026, as compared to a net loss of $6.5 million, or $0.15 per diluted share, in the corresponding period in 2025. </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Adjusted EBITDA was $2.5 million in the first quarter 2026, improving from an adjusted EBITDA of $0.5 million in the corresponding period in 2025. </w:t>
      </w:r>
    </w:p>
    <w:p>
      <w:pPr>
        <w:pStyle w:val="TextBody"/>
        <w:bidi w:val="0"/>
        <w:spacing w:before="0" w:after="0"/>
        <w:jc w:val="both"/>
        <w:rPr/>
      </w:pPr>
      <w:r>
        <w:rPr/>
      </w:r>
    </w:p>
    <w:p>
      <w:pPr>
        <w:pStyle w:val="TextBody"/>
        <w:bidi w:val="0"/>
        <w:spacing w:lineRule="auto" w:line="417" w:before="0" w:after="0"/>
        <w:jc w:val="both"/>
        <w:rPr/>
      </w:pPr>
      <w:r>
        <w:rPr>
          <w:rFonts w:ascii="Times New Roman;serif" w:hAnsi="Times New Roman;serif"/>
          <w:b w:val="false"/>
          <w:color w:val="000000"/>
          <w:sz w:val="22"/>
        </w:rPr>
        <w:t>Cash and equivalents as of March 31, 2026 were $144.7 million,</w:t>
      </w:r>
      <w:r>
        <w:rPr>
          <w:color w:val="3051F2"/>
        </w:rPr>
        <w:t xml:space="preserve"> </w:t>
      </w:r>
      <w:r>
        <w:rPr>
          <w:rFonts w:ascii="Times New Roman;serif" w:hAnsi="Times New Roman;serif"/>
          <w:b w:val="false"/>
          <w:color w:val="000000"/>
          <w:sz w:val="22"/>
        </w:rPr>
        <w:t>compared to</w:t>
      </w:r>
      <w:r>
        <w:rPr>
          <w:color w:val="FAAC16"/>
        </w:rPr>
        <w:t xml:space="preserve"> </w:t>
      </w:r>
      <w:r>
        <w:rPr>
          <w:rFonts w:ascii="Times New Roman;serif" w:hAnsi="Times New Roman;serif"/>
          <w:b w:val="false"/>
          <w:color w:val="000000"/>
          <w:sz w:val="24"/>
        </w:rPr>
        <w:t>$147.8</w:t>
      </w:r>
      <w:r>
        <w:rPr>
          <w:color w:val="000000"/>
        </w:rPr>
        <w:t xml:space="preserve"> </w:t>
      </w:r>
      <w:r>
        <w:rPr>
          <w:rFonts w:ascii="Times New Roman;serif" w:hAnsi="Times New Roman;serif"/>
          <w:b w:val="false"/>
          <w:color w:val="000000"/>
          <w:sz w:val="22"/>
        </w:rPr>
        <w:t>million</w:t>
      </w:r>
      <w:r>
        <w:rPr>
          <w:color w:val="FAAC16"/>
        </w:rPr>
        <w:t xml:space="preserve"> </w:t>
      </w:r>
      <w:r>
        <w:rPr>
          <w:rFonts w:ascii="Times New Roman;serif" w:hAnsi="Times New Roman;serif"/>
          <w:b w:val="false"/>
          <w:color w:val="000000"/>
          <w:sz w:val="22"/>
        </w:rPr>
        <w:t>as of December</w:t>
      </w:r>
      <w:r>
        <w:rPr>
          <w:color w:val="FAAC16"/>
        </w:rPr>
        <w:t xml:space="preserve"> </w:t>
      </w:r>
      <w:r>
        <w:rPr>
          <w:rFonts w:ascii="Times New Roman;serif" w:hAnsi="Times New Roman;serif"/>
          <w:b w:val="false"/>
          <w:color w:val="000000"/>
          <w:sz w:val="22"/>
        </w:rPr>
        <w:t xml:space="preserve">31, 2025. </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color w:val="000000"/>
          <w:sz w:val="22"/>
        </w:rPr>
      </w:pPr>
      <w:r>
        <w:rPr>
          <w:rFonts w:ascii="Times New Roman;serif" w:hAnsi="Times New Roman;serif"/>
          <w:b/>
          <w:color w:val="000000"/>
          <w:sz w:val="22"/>
        </w:rPr>
        <w:t xml:space="preserve">Updated Fiscal 2026 Financial Guidance </w:t>
      </w:r>
    </w:p>
    <w:p>
      <w:pPr>
        <w:pStyle w:val="TextBody"/>
        <w:bidi w:val="0"/>
        <w:spacing w:lineRule="auto" w:line="417" w:before="0" w:after="0"/>
        <w:jc w:val="both"/>
        <w:rPr/>
      </w:pPr>
      <w:r>
        <w:rPr>
          <w:rFonts w:ascii="Times New Roman;serif" w:hAnsi="Times New Roman;serif"/>
          <w:b w:val="false"/>
          <w:color w:val="000000"/>
          <w:sz w:val="22"/>
        </w:rPr>
        <w:t>SI-BONE increased 2026 worldwide revenue expectation to be in the range of $230 million to $233</w:t>
      </w:r>
      <w:r>
        <w:rPr>
          <w:color w:val="000000"/>
        </w:rPr>
        <w:t xml:space="preserve"> </w:t>
      </w:r>
      <w:r>
        <w:rPr>
          <w:rFonts w:ascii="Times New Roman;serif" w:hAnsi="Times New Roman;serif"/>
          <w:b w:val="false"/>
          <w:color w:val="000000"/>
          <w:sz w:val="22"/>
        </w:rPr>
        <w:t xml:space="preserve">million, implying year-over-year growth of ~14% to 16%. SI-BONE increased its estimate for full year 2026 gross margin to ~79%.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819" w:type="dxa"/>
        <w:jc w:val="left"/>
        <w:tblInd w:w="0" w:type="dxa"/>
        <w:tblLayout w:type="fixed"/>
        <w:tblCellMar>
          <w:top w:w="28" w:type="dxa"/>
          <w:left w:w="28" w:type="dxa"/>
          <w:bottom w:w="28" w:type="dxa"/>
          <w:right w:w="28" w:type="dxa"/>
        </w:tblCellMar>
      </w:tblPr>
      <w:tblGrid>
        <w:gridCol w:w="645"/>
        <w:gridCol w:w="569"/>
        <w:gridCol w:w="570"/>
        <w:gridCol w:w="585"/>
        <w:gridCol w:w="585"/>
        <w:gridCol w:w="585"/>
        <w:gridCol w:w="661"/>
        <w:gridCol w:w="661"/>
        <w:gridCol w:w="958"/>
      </w:tblGrid>
      <w:tr>
        <w:trPr/>
        <w:tc>
          <w:tcPr>
            <w:tcW w:w="64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Fiscal Year 2026 Guidance</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New (May 11, 2026)</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Prior (February 23, 2026)</w:t>
            </w:r>
          </w:p>
        </w:tc>
      </w:tr>
      <w:tr>
        <w:trPr/>
        <w:tc>
          <w:tcPr>
            <w:tcW w:w="178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75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$230.0M - $233.0M</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~14-16% growth</w:t>
            </w:r>
          </w:p>
        </w:tc>
        <w:tc>
          <w:tcPr>
            <w:tcW w:w="228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$228.5M - $232.5M</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~14%-16% growth</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~79.0%</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~78.0%</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Expenses </w:t>
            </w:r>
          </w:p>
        </w:tc>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~12.5% growth</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at revenue midpoint</w:t>
            </w:r>
          </w:p>
        </w:tc>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~12.5% growth</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at revenue midpoint</w:t>
            </w:r>
          </w:p>
        </w:tc>
      </w:tr>
      <w:tr>
        <w:trPr/>
        <w:tc>
          <w:tcPr>
            <w:tcW w:w="1784"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1755"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386" w:before="0" w:after="0"/>
              <w:jc w:val="center"/>
              <w:rPr>
                <w:rFonts w:ascii="Times New Roman;serif" w:hAnsi="Times New Roman;serif"/>
                <w:b w:val="false"/>
                <w:i/>
                <w:color w:val="000000"/>
                <w:sz w:val="20"/>
              </w:rPr>
            </w:pPr>
            <w:r>
              <w:rPr>
                <w:rFonts w:ascii="Times New Roman;serif" w:hAnsi="Times New Roman;serif"/>
                <w:b w:val="false"/>
                <w:i/>
                <w:color w:val="000000"/>
                <w:sz w:val="20"/>
              </w:rPr>
              <w:t>Positive</w:t>
            </w:r>
          </w:p>
        </w:tc>
        <w:tc>
          <w:tcPr>
            <w:tcW w:w="2280"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386" w:before="0" w:after="0"/>
              <w:jc w:val="center"/>
              <w:rPr>
                <w:rFonts w:ascii="Times New Roman;serif" w:hAnsi="Times New Roman;serif"/>
                <w:b w:val="false"/>
                <w:i/>
                <w:color w:val="000000"/>
                <w:sz w:val="20"/>
              </w:rPr>
            </w:pPr>
            <w:r>
              <w:rPr>
                <w:rFonts w:ascii="Times New Roman;serif" w:hAnsi="Times New Roman;serif"/>
                <w:b w:val="false"/>
                <w:i/>
                <w:color w:val="000000"/>
                <w:sz w:val="20"/>
              </w:rPr>
              <w:t>Positive</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color w:val="000000"/>
          <w:sz w:val="22"/>
        </w:rPr>
      </w:pPr>
      <w:r>
        <w:rPr>
          <w:rFonts w:ascii="Times New Roman;serif" w:hAnsi="Times New Roman;serif"/>
          <w:b/>
          <w:color w:val="000000"/>
          <w:sz w:val="22"/>
        </w:rPr>
        <w:t>Webcast Information</w:t>
      </w:r>
    </w:p>
    <w:p>
      <w:pPr>
        <w:pStyle w:val="TextBody"/>
        <w:bidi w:val="0"/>
        <w:spacing w:lineRule="auto" w:line="417" w:before="0" w:after="0"/>
        <w:jc w:val="left"/>
        <w:rPr/>
      </w:pPr>
      <w:r>
        <w:rPr>
          <w:rFonts w:ascii="Times New Roman;serif" w:hAnsi="Times New Roman;serif"/>
          <w:b w:val="false"/>
          <w:color w:val="000000"/>
          <w:sz w:val="22"/>
        </w:rPr>
        <w:t xml:space="preserve">SI-BONE will host a conference call to discuss the first quarter 2026 financial results after market close on Monday, May 11, 2026 at 4:30 P.M. Eastern Time. The conference call can be accessed live over webcast at </w:t>
      </w:r>
      <w:r>
        <w:rPr>
          <w:rFonts w:ascii="Times New Roman;serif" w:hAnsi="Times New Roman;serif"/>
          <w:b w:val="false"/>
          <w:color w:val="0E32E1"/>
          <w:sz w:val="22"/>
        </w:rPr>
        <w:t>https://edge.media-server.com/mmc/p/vde24u4q</w:t>
      </w:r>
      <w:r>
        <w:rPr>
          <w:rFonts w:ascii="Times New Roman;serif" w:hAnsi="Times New Roman;serif"/>
          <w:b w:val="false"/>
          <w:color w:val="3051F2"/>
          <w:sz w:val="22"/>
        </w:rPr>
        <w:t>.</w:t>
      </w:r>
      <w:r>
        <w:rPr>
          <w:color w:val="000000"/>
        </w:rPr>
        <w:t xml:space="preserve"> </w:t>
      </w:r>
      <w:r>
        <w:rPr>
          <w:rFonts w:ascii="Times New Roman;serif" w:hAnsi="Times New Roman;serif"/>
          <w:b w:val="false"/>
          <w:color w:val="000000"/>
          <w:sz w:val="22"/>
        </w:rPr>
        <w:t xml:space="preserve">Live audio of the webcast will be available on the “Investors” section of the company’s website at: </w:t>
      </w:r>
      <w:r>
        <w:rPr>
          <w:rFonts w:ascii="Times New Roman;serif" w:hAnsi="Times New Roman;serif"/>
          <w:b w:val="false"/>
          <w:color w:val="0E32E1"/>
          <w:sz w:val="22"/>
        </w:rPr>
        <w:t>www.si-bone.com</w:t>
      </w:r>
      <w:r>
        <w:rPr>
          <w:rFonts w:ascii="Times New Roman;serif" w:hAnsi="Times New Roman;serif"/>
          <w:b w:val="false"/>
          <w:color w:val="000000"/>
          <w:sz w:val="22"/>
        </w:rPr>
        <w:t>. The webcast will be archived and available for replay for at least 90 days after the event.</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color w:val="000000"/>
          <w:sz w:val="22"/>
        </w:rPr>
      </w:pPr>
      <w:r>
        <w:rPr>
          <w:rFonts w:ascii="Times New Roman;serif" w:hAnsi="Times New Roman;serif"/>
          <w:b/>
          <w:color w:val="000000"/>
          <w:sz w:val="22"/>
        </w:rPr>
        <w:t>About SI-BONE, Inc.</w:t>
      </w:r>
    </w:p>
    <w:p>
      <w:pPr>
        <w:pStyle w:val="TextBody"/>
        <w:bidi w:val="0"/>
        <w:spacing w:lineRule="auto" w:line="417" w:before="0" w:after="0"/>
        <w:jc w:val="both"/>
        <w:rPr>
          <w:rFonts w:ascii="Times New Roman;serif" w:hAnsi="Times New Roman;serif"/>
          <w:b w:val="false"/>
          <w:color w:val="000000"/>
          <w:sz w:val="22"/>
        </w:rPr>
      </w:pPr>
      <w:r>
        <w:rPr>
          <w:rFonts w:ascii="Times New Roman;serif" w:hAnsi="Times New Roman;serif"/>
          <w:b w:val="false"/>
          <w:color w:val="000000"/>
          <w:sz w:val="22"/>
        </w:rPr>
        <w:t>SI-BONE (NASDAQ: SIBN) is a global leader in developing procedural solutions to address clinical challenges associated with compromised bone. With expertise in biomechanical design and anatomy specific innovation, SI-BONE has built a technology platform with market-leading applications centered on the spinopelvic anatomy. SI-BONE continues to leverage the deep experience in addressing the challenges of low-density bone in the sacrum to develop unique technologies that are targeting new clinical adjacencies to help improve outcomes for patients with compromised bone. Since 2009, SI-BONE has supported physicians in performing nearly 150,000 procedures. A unique body of clinical evidence supports the use of SI-BONE's technologies, including four randomized controlled trials and over 185 peer reviewed publications.</w:t>
      </w:r>
    </w:p>
    <w:p>
      <w:pPr>
        <w:pStyle w:val="TextBody"/>
        <w:bidi w:val="0"/>
        <w:spacing w:before="0" w:after="0"/>
        <w:jc w:val="left"/>
        <w:rPr/>
      </w:pPr>
      <w:r>
        <w:rPr/>
      </w:r>
    </w:p>
    <w:p>
      <w:pPr>
        <w:pStyle w:val="TextBody"/>
        <w:bidi w:val="0"/>
        <w:spacing w:before="0" w:after="0"/>
        <w:jc w:val="left"/>
        <w:rPr/>
      </w:pPr>
      <w:r>
        <w:rPr/>
      </w:r>
    </w:p>
    <w:p>
      <w:pPr>
        <w:pStyle w:val="TextBody"/>
        <w:bidi w:val="0"/>
        <w:spacing w:lineRule="atLeast" w:line="300" w:before="0" w:after="0"/>
        <w:jc w:val="left"/>
        <w:rPr/>
      </w:pPr>
      <w:r>
        <w:rPr>
          <w:rFonts w:ascii="Times New Roman;serif" w:hAnsi="Times New Roman;serif"/>
          <w:b w:val="false"/>
          <w:color w:val="000000"/>
          <w:sz w:val="22"/>
        </w:rPr>
        <w:t xml:space="preserve">For additional information on the company or the products, including risks and benefits, please visit </w:t>
      </w:r>
      <w:r>
        <w:rPr>
          <w:rFonts w:ascii="Times New Roman;serif" w:hAnsi="Times New Roman;serif"/>
          <w:b w:val="false"/>
          <w:color w:val="0E32E1"/>
          <w:sz w:val="22"/>
        </w:rPr>
        <w:t>www.si-bone.com.</w:t>
      </w:r>
    </w:p>
    <w:p>
      <w:pPr>
        <w:pStyle w:val="TextBody"/>
        <w:bidi w:val="0"/>
        <w:spacing w:before="0" w:after="0"/>
        <w:jc w:val="left"/>
        <w:rPr/>
      </w:pPr>
      <w:r>
        <w:rPr/>
      </w:r>
    </w:p>
    <w:p>
      <w:pPr>
        <w:pStyle w:val="TextBody"/>
        <w:bidi w:val="0"/>
        <w:spacing w:lineRule="atLeast" w:line="300"/>
        <w:jc w:val="both"/>
        <w:rPr>
          <w:rFonts w:ascii="Times New Roman;serif" w:hAnsi="Times New Roman;serif"/>
          <w:b w:val="false"/>
          <w:color w:val="000000"/>
          <w:sz w:val="22"/>
        </w:rPr>
      </w:pPr>
      <w:r>
        <w:rPr>
          <w:rFonts w:ascii="Times New Roman;serif" w:hAnsi="Times New Roman;serif"/>
          <w:b w:val="false"/>
          <w:color w:val="000000"/>
          <w:sz w:val="22"/>
        </w:rPr>
        <w:t>SI-BONE®, iFuse Bedrock Granite®, iFuse TORQ® and iFuse TORQ TNT® are registered trademarks of SI-BONE, Inc. All other marks referenced herein are property of their respective owners. ©2026 SI-BONE, Inc. All Rights Reserved.</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540" w:before="0" w:after="0"/>
        <w:jc w:val="both"/>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lineRule="auto" w:line="540" w:before="0" w:after="0"/>
        <w:jc w:val="both"/>
        <w:rPr>
          <w:rFonts w:ascii="Times New Roman;serif" w:hAnsi="Times New Roman;serif"/>
          <w:b w:val="false"/>
          <w:color w:val="000000"/>
          <w:sz w:val="22"/>
        </w:rPr>
      </w:pPr>
      <w:r>
        <w:rPr>
          <w:rFonts w:ascii="Times New Roman;serif" w:hAnsi="Times New Roman;serif"/>
          <w:b w:val="false"/>
          <w:color w:val="000000"/>
          <w:sz w:val="22"/>
        </w:rPr>
        <w:t>The statements in this press release regarding expectations of future events or results, including SI-BONE’s expectations of continued revenue and procedure growth and financial outlook, are “forward-looking” statements. These forward-looking statements are based on SI-BONE’s current expectations and inherently involve significant risks and uncertainties. These risks include SI-BONE’s ability to introduce and commercialize new products and indications, SI-BONE’s ability to maintain favorable reimbursement for procedures using its products including CMS's finalization of the proposed FY 2027 Inpatient Rule referenced herein, the impact of any future economic weakness or deterioration in economic conditions as a result of tariffs and retaliation by U.S. trading partners on the ability and desire of patients to undergo elective procedures including those using SI-BONE’s products, SI-BONE’s ability to manage risks to its supply chain, future capital requirements driven by new surgical systems requiring instrument tray and implant inventory investment, and the pace of the re-normalization of the healthcare operating environment including the ability and desire of patients and physicians to undergo and perform procedures using SI-BONE’s products. Actual results and the timing of events could differ materially from those anticipated in such forward-looking statements as a result of these and other risks and uncertainties, many of which are described in SI-BONE’s most recent filings on Form 10-K and Form 10-Q, and SI-BONE’s other filings with the Securities and Exchange Commission (SEC) available at the SEC’s Internet site (www.sec.gov), especially under the caption “Risk Factors.” SI-BONE does not undertake any obligation to update forward-looking statements and expressly disclaims any obligations or undertaking to release publicly any updates or revisions to any forward-looking statements contained herein, except as required by law.</w:t>
      </w:r>
    </w:p>
    <w:p>
      <w:pPr>
        <w:pStyle w:val="TextBody"/>
        <w:bidi w:val="0"/>
        <w:spacing w:before="0" w:after="0"/>
        <w:jc w:val="both"/>
        <w:rPr/>
      </w:pPr>
      <w:r>
        <w:rPr/>
      </w:r>
    </w:p>
    <w:p>
      <w:pPr>
        <w:pStyle w:val="TextBody"/>
        <w:bidi w:val="0"/>
        <w:spacing w:lineRule="auto" w:line="540" w:before="0" w:after="0"/>
        <w:jc w:val="both"/>
        <w:rPr>
          <w:rFonts w:ascii="Times New Roman;serif" w:hAnsi="Times New Roman;serif"/>
          <w:b/>
          <w:color w:val="000000"/>
          <w:sz w:val="22"/>
        </w:rPr>
      </w:pPr>
      <w:r>
        <w:rPr>
          <w:rFonts w:ascii="Times New Roman;serif" w:hAnsi="Times New Roman;serif"/>
          <w:b/>
          <w:color w:val="000000"/>
          <w:sz w:val="22"/>
        </w:rPr>
        <w:t>Use of Non-GAAP Financial Measures</w:t>
      </w:r>
    </w:p>
    <w:p>
      <w:pPr>
        <w:pStyle w:val="TextBody"/>
        <w:bidi w:val="0"/>
        <w:spacing w:lineRule="auto" w:line="540"/>
        <w:jc w:val="both"/>
        <w:rPr>
          <w:rFonts w:ascii="Times New Roman;serif" w:hAnsi="Times New Roman;serif"/>
          <w:b w:val="false"/>
          <w:color w:val="000000"/>
          <w:sz w:val="22"/>
        </w:rPr>
      </w:pPr>
      <w:r>
        <w:rPr>
          <w:rFonts w:ascii="Times New Roman;serif" w:hAnsi="Times New Roman;serif"/>
          <w:b w:val="false"/>
          <w:color w:val="000000"/>
          <w:sz w:val="22"/>
        </w:rPr>
        <w:t xml:space="preserve">To supplement our condensed consolidated financial statements, which are prepared and presented in accordance with generally accepted accounting principles in the United States ("GAAP"), SI-BONE uses two non-GAAP financial measures: Adjusted EBITDA and free cash flow. Non-GAAP measures should be considered supplemental to, and not a substitute for, financial information prepared in accordance with GAAP. Adjusted EBITDA excludes the effect of items that increase or decrease SI-BONE’s reported results of operations. Free cash flow is not intended to represent our residual cash flow available for discretionary expenditures. Management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40" w:before="0" w:after="0"/>
        <w:jc w:val="both"/>
        <w:rPr>
          <w:rFonts w:ascii="Times New Roman;serif" w:hAnsi="Times New Roman;serif"/>
          <w:b w:val="false"/>
          <w:color w:val="000000"/>
          <w:sz w:val="22"/>
        </w:rPr>
      </w:pPr>
      <w:r>
        <w:rPr>
          <w:rFonts w:ascii="Times New Roman;serif" w:hAnsi="Times New Roman;serif"/>
          <w:b w:val="false"/>
          <w:color w:val="000000"/>
          <w:sz w:val="22"/>
        </w:rPr>
        <w:t>strongly encourages investors to review, when they become available, the company's consolidated financial statements and publicly filed reports in their entirety. The company's definition of adjusted EBITDA and free cash flow may differ from similarly titled measures used by others.</w:t>
      </w:r>
    </w:p>
    <w:p>
      <w:pPr>
        <w:pStyle w:val="TextBody"/>
        <w:bidi w:val="0"/>
        <w:spacing w:before="0" w:after="0"/>
        <w:jc w:val="both"/>
        <w:rPr/>
      </w:pPr>
      <w:r>
        <w:rPr/>
      </w:r>
    </w:p>
    <w:p>
      <w:pPr>
        <w:pStyle w:val="TextBody"/>
        <w:bidi w:val="0"/>
        <w:spacing w:lineRule="auto" w:line="540" w:before="0" w:after="0"/>
        <w:jc w:val="both"/>
        <w:rPr>
          <w:rFonts w:ascii="Times New Roman;serif" w:hAnsi="Times New Roman;serif"/>
          <w:b w:val="false"/>
          <w:color w:val="000000"/>
          <w:sz w:val="22"/>
        </w:rPr>
      </w:pPr>
      <w:r>
        <w:rPr>
          <w:rFonts w:ascii="Times New Roman;serif" w:hAnsi="Times New Roman;serif"/>
          <w:b w:val="false"/>
          <w:color w:val="000000"/>
          <w:sz w:val="22"/>
        </w:rPr>
        <w:t>Adjusted EBITDA excludes from net loss the effects of interest income, interest expense, depreciation and amortization, and stock-based compensation. Free cash flow is defined as net cash provided by operating activities less purchases of property and equipment. SI-BONE believes the presentation of these financial measures is useful to management because it allows management to more consistently analyze period-to-period financial performance and provides meaningful supplemental information with respect to core operational activities used to evaluate management's performance. SI-BONE also believes the presentation of non-GAAP financial measures is useful to investors and other interested persons as it enables these persons to use this additional information to assess the company’s performance in using this additional metric that management uses to assess the company’s performance.</w:t>
      </w:r>
    </w:p>
    <w:p>
      <w:pPr>
        <w:pStyle w:val="TextBody"/>
        <w:bidi w:val="0"/>
        <w:spacing w:before="0" w:after="0"/>
        <w:jc w:val="left"/>
        <w:rPr/>
      </w:pPr>
      <w:r>
        <w:rPr/>
      </w:r>
    </w:p>
    <w:p>
      <w:pPr>
        <w:pStyle w:val="TextBody"/>
        <w:bidi w:val="0"/>
        <w:spacing w:lineRule="auto" w:line="448" w:before="0" w:after="0"/>
        <w:jc w:val="left"/>
        <w:rPr>
          <w:rFonts w:ascii="Times New Roman;serif" w:hAnsi="Times New Roman;serif"/>
          <w:b/>
          <w:color w:val="000000"/>
          <w:sz w:val="22"/>
        </w:rPr>
      </w:pPr>
      <w:r>
        <w:rPr>
          <w:rFonts w:ascii="Times New Roman;serif" w:hAnsi="Times New Roman;serif"/>
          <w:b/>
          <w:color w:val="000000"/>
          <w:sz w:val="22"/>
        </w:rPr>
        <w:t>Investor Contact</w:t>
      </w:r>
    </w:p>
    <w:p>
      <w:pPr>
        <w:pStyle w:val="TextBody"/>
        <w:bidi w:val="0"/>
        <w:spacing w:lineRule="auto" w:line="540" w:before="0" w:after="0"/>
        <w:jc w:val="both"/>
        <w:rPr>
          <w:rFonts w:ascii="Times New Roman;serif" w:hAnsi="Times New Roman;serif"/>
          <w:b w:val="false"/>
          <w:color w:val="000000"/>
          <w:sz w:val="22"/>
        </w:rPr>
      </w:pPr>
      <w:r>
        <w:rPr>
          <w:rFonts w:ascii="Times New Roman;serif" w:hAnsi="Times New Roman;serif"/>
          <w:b w:val="false"/>
          <w:color w:val="000000"/>
          <w:sz w:val="22"/>
        </w:rPr>
        <w:t>Saqib Iqbal</w:t>
      </w:r>
    </w:p>
    <w:p>
      <w:pPr>
        <w:pStyle w:val="TextBody"/>
        <w:bidi w:val="0"/>
        <w:spacing w:lineRule="auto" w:line="540" w:before="0" w:after="0"/>
        <w:jc w:val="both"/>
        <w:rPr>
          <w:rFonts w:ascii="Times New Roman;serif" w:hAnsi="Times New Roman;serif"/>
          <w:b w:val="false"/>
          <w:color w:val="000000"/>
          <w:sz w:val="22"/>
        </w:rPr>
      </w:pPr>
      <w:r>
        <w:rPr>
          <w:rFonts w:ascii="Times New Roman;serif" w:hAnsi="Times New Roman;serif"/>
          <w:b w:val="false"/>
          <w:color w:val="000000"/>
          <w:sz w:val="22"/>
        </w:rPr>
        <w:t>VP, FP&amp;A, and Investor Relations</w:t>
      </w:r>
    </w:p>
    <w:p>
      <w:pPr>
        <w:pStyle w:val="TextBody"/>
        <w:bidi w:val="0"/>
        <w:spacing w:lineRule="auto" w:line="540" w:before="0" w:after="0"/>
        <w:jc w:val="both"/>
        <w:rPr>
          <w:rFonts w:ascii="Times New Roman;serif" w:hAnsi="Times New Roman;serif"/>
          <w:b w:val="false"/>
          <w:color w:val="000000"/>
          <w:sz w:val="22"/>
        </w:rPr>
      </w:pPr>
      <w:r>
        <w:rPr>
          <w:rFonts w:ascii="Times New Roman;serif" w:hAnsi="Times New Roman;serif"/>
          <w:b w:val="false"/>
          <w:color w:val="000000"/>
          <w:sz w:val="22"/>
        </w:rPr>
        <w:t>investors@SI-BONE.com</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44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44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OPERATIONS </w:t>
      </w:r>
    </w:p>
    <w:p>
      <w:pPr>
        <w:pStyle w:val="TextBody"/>
        <w:bidi w:val="0"/>
        <w:spacing w:lineRule="auto" w:line="44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except share and per share amounts) </w:t>
      </w:r>
    </w:p>
    <w:p>
      <w:pPr>
        <w:pStyle w:val="TextBody"/>
        <w:bidi w:val="0"/>
        <w:spacing w:lineRule="auto" w:line="44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361"/>
        <w:gridCol w:w="1958"/>
        <w:gridCol w:w="1933"/>
        <w:gridCol w:w="109"/>
        <w:gridCol w:w="109"/>
        <w:gridCol w:w="109"/>
        <w:gridCol w:w="244"/>
        <w:gridCol w:w="837"/>
        <w:gridCol w:w="109"/>
        <w:gridCol w:w="109"/>
        <w:gridCol w:w="109"/>
        <w:gridCol w:w="109"/>
        <w:gridCol w:w="244"/>
        <w:gridCol w:w="837"/>
        <w:gridCol w:w="109"/>
        <w:gridCol w:w="109"/>
        <w:gridCol w:w="109"/>
        <w:gridCol w:w="109"/>
        <w:gridCol w:w="109"/>
        <w:gridCol w:w="109"/>
        <w:gridCol w:w="109"/>
        <w:gridCol w:w="109"/>
        <w:gridCol w:w="156"/>
      </w:tblGrid>
      <w:tr>
        <w:trPr/>
        <w:tc>
          <w:tcPr>
            <w:tcW w:w="2361"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6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52" w:type="dxa"/>
            <w:gridSpan w:val="3"/>
            <w:tcBorders/>
            <w:shd w:fill="CCEEFF" w:val="clear"/>
            <w:tcMar>
              <w:top w:w="0" w:type="dxa"/>
              <w:left w:w="0" w:type="dxa"/>
              <w:bottom w:w="0" w:type="dxa"/>
              <w:right w:w="0" w:type="dxa"/>
            </w:tcMar>
            <w:vAlign w:val="center"/>
          </w:tcPr>
          <w:p>
            <w:pPr>
              <w:pStyle w:val="TableContents"/>
              <w:bidi w:val="0"/>
              <w:spacing w:lineRule="auto" w:line="240" w:before="3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52" w:type="dxa"/>
            <w:gridSpan w:val="3"/>
            <w:tcBorders/>
            <w:shd w:fill="FFFFFF" w:val="clear"/>
            <w:tcMar>
              <w:top w:w="0" w:type="dxa"/>
              <w:left w:w="0" w:type="dxa"/>
              <w:bottom w:w="0" w:type="dxa"/>
              <w:right w:w="0" w:type="dxa"/>
            </w:tcMar>
            <w:vAlign w:val="center"/>
          </w:tcPr>
          <w:p>
            <w:pPr>
              <w:pStyle w:val="TableContents"/>
              <w:bidi w:val="0"/>
              <w:spacing w:lineRule="auto" w:line="240" w:before="5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52" w:type="dxa"/>
            <w:gridSpan w:val="3"/>
            <w:tcBorders/>
            <w:shd w:fill="FFFFFF" w:val="clear"/>
            <w:tcMar>
              <w:top w:w="0" w:type="dxa"/>
              <w:left w:w="0" w:type="dxa"/>
              <w:bottom w:w="0" w:type="dxa"/>
              <w:right w:w="0" w:type="dxa"/>
            </w:tcMar>
            <w:vAlign w:val="center"/>
          </w:tcPr>
          <w:p>
            <w:pPr>
              <w:pStyle w:val="TableContents"/>
              <w:bidi w:val="0"/>
              <w:spacing w:lineRule="auto" w:line="240" w:before="3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52" w:type="dxa"/>
            <w:gridSpan w:val="3"/>
            <w:tcBorders/>
            <w:shd w:fill="FFFFFF" w:val="clear"/>
            <w:tcMar>
              <w:top w:w="0" w:type="dxa"/>
              <w:left w:w="0" w:type="dxa"/>
              <w:bottom w:w="0" w:type="dxa"/>
              <w:right w:w="0" w:type="dxa"/>
            </w:tcMar>
            <w:vAlign w:val="center"/>
          </w:tcPr>
          <w:p>
            <w:pPr>
              <w:pStyle w:val="TableContents"/>
              <w:bidi w:val="0"/>
              <w:spacing w:lineRule="auto" w:line="240" w:before="3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52" w:type="dxa"/>
            <w:gridSpan w:val="3"/>
            <w:tcBorders/>
            <w:shd w:fill="CCEEFF" w:val="clear"/>
            <w:tcMar>
              <w:top w:w="0" w:type="dxa"/>
              <w:left w:w="0" w:type="dxa"/>
              <w:bottom w:w="0" w:type="dxa"/>
              <w:right w:w="0" w:type="dxa"/>
            </w:tcMar>
            <w:vAlign w:val="center"/>
          </w:tcPr>
          <w:p>
            <w:pPr>
              <w:pStyle w:val="TableContents"/>
              <w:bidi w:val="0"/>
              <w:spacing w:lineRule="auto" w:line="240" w:before="3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52" w:type="dxa"/>
            <w:gridSpan w:val="3"/>
            <w:tcBorders/>
            <w:shd w:fill="FFFFFF" w:val="clear"/>
            <w:tcMar>
              <w:top w:w="0" w:type="dxa"/>
              <w:left w:w="0" w:type="dxa"/>
              <w:bottom w:w="0" w:type="dxa"/>
              <w:right w:w="0" w:type="dxa"/>
            </w:tcMar>
            <w:vAlign w:val="center"/>
          </w:tcPr>
          <w:p>
            <w:pPr>
              <w:pStyle w:val="TableContents"/>
              <w:bidi w:val="0"/>
              <w:spacing w:lineRule="auto" w:line="240" w:before="5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52" w:type="dxa"/>
            <w:gridSpan w:val="3"/>
            <w:tcBorders/>
            <w:shd w:fill="FFFFFF" w:val="clear"/>
            <w:tcMar>
              <w:top w:w="0" w:type="dxa"/>
              <w:left w:w="0" w:type="dxa"/>
              <w:bottom w:w="0" w:type="dxa"/>
              <w:right w:w="0" w:type="dxa"/>
            </w:tcMar>
            <w:vAlign w:val="center"/>
          </w:tcPr>
          <w:p>
            <w:pPr>
              <w:pStyle w:val="TableContents"/>
              <w:bidi w:val="0"/>
              <w:spacing w:lineRule="auto" w:line="240" w:before="3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52" w:type="dxa"/>
            <w:gridSpan w:val="3"/>
            <w:tcBorders/>
            <w:shd w:fill="FFFFFF" w:val="clear"/>
            <w:tcMar>
              <w:top w:w="0" w:type="dxa"/>
              <w:left w:w="0" w:type="dxa"/>
              <w:bottom w:w="0" w:type="dxa"/>
              <w:right w:w="0" w:type="dxa"/>
            </w:tcMar>
            <w:vAlign w:val="center"/>
          </w:tcPr>
          <w:p>
            <w:pPr>
              <w:pStyle w:val="TableContents"/>
              <w:bidi w:val="0"/>
              <w:spacing w:lineRule="auto" w:line="240" w:before="5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52" w:type="dxa"/>
            <w:gridSpan w:val="3"/>
            <w:tcBorders/>
            <w:shd w:fill="FFFFFF" w:val="clear"/>
            <w:tcMar>
              <w:top w:w="0" w:type="dxa"/>
              <w:left w:w="0" w:type="dxa"/>
              <w:bottom w:w="0" w:type="dxa"/>
              <w:right w:w="0" w:type="dxa"/>
            </w:tcMar>
            <w:vAlign w:val="center"/>
          </w:tcPr>
          <w:p>
            <w:pPr>
              <w:pStyle w:val="TableContents"/>
              <w:bidi w:val="0"/>
              <w:spacing w:lineRule="auto" w:line="240" w:before="5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used to compute basic and diluted net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43,959,760 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42,337,481 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4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44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44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44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tbl>
      <w:tblPr>
        <w:tblW w:w="8242" w:type="dxa"/>
        <w:jc w:val="left"/>
        <w:tblInd w:w="0" w:type="dxa"/>
        <w:tblLayout w:type="fixed"/>
        <w:tblCellMar>
          <w:top w:w="28" w:type="dxa"/>
          <w:left w:w="28" w:type="dxa"/>
          <w:bottom w:w="28" w:type="dxa"/>
          <w:right w:w="28" w:type="dxa"/>
        </w:tblCellMar>
      </w:tblPr>
      <w:tblGrid>
        <w:gridCol w:w="1705"/>
        <w:gridCol w:w="1499"/>
        <w:gridCol w:w="1506"/>
        <w:gridCol w:w="109"/>
        <w:gridCol w:w="109"/>
        <w:gridCol w:w="109"/>
        <w:gridCol w:w="237"/>
        <w:gridCol w:w="930"/>
        <w:gridCol w:w="122"/>
        <w:gridCol w:w="109"/>
        <w:gridCol w:w="109"/>
        <w:gridCol w:w="109"/>
        <w:gridCol w:w="281"/>
        <w:gridCol w:w="1103"/>
        <w:gridCol w:w="205"/>
      </w:tblGrid>
      <w:tr>
        <w:trPr/>
        <w:tc>
          <w:tcPr>
            <w:tcW w:w="1705"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3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42,240 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111,148 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105,583 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30,961 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29,915 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35,534 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33,897 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214,720 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216,115 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242,718 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238,555 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5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LIABILITIES AND STOCKHOLDERS’ EQUITY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5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25,279 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35,599 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35,569 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63,776 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61,023 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5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5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633,029 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626,970 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5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5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(454,592)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(450,258)</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178,942 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177,532 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242,718 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238,555 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4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448" w:before="0" w:after="0"/>
        <w:jc w:val="center"/>
        <w:rPr>
          <w:rFonts w:ascii="Times New Roman;serif" w:hAnsi="Times New Roman;serif"/>
          <w:b/>
          <w:color w:val="000000"/>
          <w:sz w:val="20"/>
        </w:rPr>
      </w:pPr>
      <w:r>
        <w:rPr>
          <w:rFonts w:ascii="Times New Roman;serif" w:hAnsi="Times New Roman;serif"/>
          <w:b/>
          <w:color w:val="000000"/>
          <w:sz w:val="20"/>
        </w:rPr>
        <w:t>RECONCILIATION OF NET LOSS TO NON-GAAP ADJUSTED EBITDA</w:t>
      </w:r>
    </w:p>
    <w:p>
      <w:pPr>
        <w:pStyle w:val="TextBody"/>
        <w:bidi w:val="0"/>
        <w:spacing w:lineRule="auto" w:line="44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w:t>
      </w:r>
    </w:p>
    <w:p>
      <w:pPr>
        <w:pStyle w:val="TextBody"/>
        <w:bidi w:val="0"/>
        <w:spacing w:lineRule="auto" w:line="44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5977" w:type="dxa"/>
        <w:jc w:val="center"/>
        <w:tblInd w:w="0" w:type="dxa"/>
        <w:tblLayout w:type="fixed"/>
        <w:tblCellMar>
          <w:top w:w="28" w:type="dxa"/>
          <w:left w:w="28" w:type="dxa"/>
          <w:bottom w:w="28" w:type="dxa"/>
          <w:right w:w="28" w:type="dxa"/>
        </w:tblCellMar>
      </w:tblPr>
      <w:tblGrid>
        <w:gridCol w:w="941"/>
        <w:gridCol w:w="821"/>
        <w:gridCol w:w="832"/>
        <w:gridCol w:w="109"/>
        <w:gridCol w:w="109"/>
        <w:gridCol w:w="109"/>
        <w:gridCol w:w="231"/>
        <w:gridCol w:w="759"/>
        <w:gridCol w:w="119"/>
        <w:gridCol w:w="119"/>
        <w:gridCol w:w="119"/>
        <w:gridCol w:w="119"/>
        <w:gridCol w:w="231"/>
        <w:gridCol w:w="759"/>
        <w:gridCol w:w="119"/>
        <w:gridCol w:w="109"/>
        <w:gridCol w:w="109"/>
        <w:gridCol w:w="109"/>
        <w:gridCol w:w="154"/>
      </w:tblGrid>
      <w:tr>
        <w:trPr/>
        <w:tc>
          <w:tcPr>
            <w:tcW w:w="94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(4,334)</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(6,542)</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2,550 </w:t>
            </w:r>
          </w:p>
        </w:tc>
        <w:tc>
          <w:tcPr>
            <w:tcW w:w="1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4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448" w:before="0" w:after="0"/>
        <w:jc w:val="center"/>
        <w:rPr>
          <w:rFonts w:ascii="Times New Roman;serif" w:hAnsi="Times New Roman;serif"/>
          <w:b/>
          <w:color w:val="000000"/>
          <w:sz w:val="20"/>
        </w:rPr>
      </w:pPr>
      <w:r>
        <w:rPr>
          <w:rFonts w:ascii="Times New Roman;serif" w:hAnsi="Times New Roman;serif"/>
          <w:b/>
          <w:color w:val="000000"/>
          <w:sz w:val="20"/>
        </w:rPr>
        <w:t>RECONCILIATION OF FREE CASH FLOW</w:t>
      </w:r>
    </w:p>
    <w:p>
      <w:pPr>
        <w:pStyle w:val="TextBody"/>
        <w:bidi w:val="0"/>
        <w:spacing w:lineRule="auto" w:line="44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w:t>
      </w:r>
    </w:p>
    <w:p>
      <w:pPr>
        <w:pStyle w:val="TextBody"/>
        <w:bidi w:val="0"/>
        <w:spacing w:lineRule="auto" w:line="44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7626" w:type="dxa"/>
        <w:jc w:val="left"/>
        <w:tblInd w:w="0" w:type="dxa"/>
        <w:tblLayout w:type="fixed"/>
        <w:tblCellMar>
          <w:top w:w="28" w:type="dxa"/>
          <w:left w:w="28" w:type="dxa"/>
          <w:bottom w:w="28" w:type="dxa"/>
          <w:right w:w="28" w:type="dxa"/>
        </w:tblCellMar>
      </w:tblPr>
      <w:tblGrid>
        <w:gridCol w:w="1129"/>
        <w:gridCol w:w="994"/>
        <w:gridCol w:w="997"/>
        <w:gridCol w:w="109"/>
        <w:gridCol w:w="109"/>
        <w:gridCol w:w="109"/>
        <w:gridCol w:w="109"/>
        <w:gridCol w:w="109"/>
        <w:gridCol w:w="228"/>
        <w:gridCol w:w="228"/>
        <w:gridCol w:w="443"/>
        <w:gridCol w:w="1451"/>
        <w:gridCol w:w="228"/>
        <w:gridCol w:w="109"/>
        <w:gridCol w:w="109"/>
        <w:gridCol w:w="109"/>
        <w:gridCol w:w="211"/>
        <w:gridCol w:w="691"/>
        <w:gridCol w:w="154"/>
      </w:tblGrid>
      <w:tr>
        <w:trPr/>
        <w:tc>
          <w:tcPr>
            <w:tcW w:w="1129"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8" w:type="dxa"/>
            <w:gridSpan w:val="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383" w:type="dxa"/>
            <w:gridSpan w:val="6"/>
            <w:tcBorders/>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(3,439)</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2369</Words>
  <Characters>13949</Characters>
  <CharactersWithSpaces>16121</CharactersWithSpaces>
  <Paragraphs>346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