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RECUPERO ANTHONY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SI-BONE,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SIBN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4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24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01/05/2024</w:t>
            </w: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President, Commercial Ops</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01/05/2024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51,007</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249,910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01/05/2024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17,002</w:t>
            </w:r>
            <w:r>
              <w:rPr>
                <w:rFonts w:ascii="Times New Roman" w:cs="Times New Roman" w:eastAsia="Times New Roman" w:hAnsi="Times New Roman"/>
                <w:sz w:val="22"/>
                <w:szCs w:val="22"/>
                <w:color w:val="008000"/>
                <w:w w:val="93"/>
                <w:vertAlign w:val="superscript"/>
              </w:rPr>
              <w:t>(2)</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jc w:val="center"/>
              <w:ind w:right="200"/>
              <w:spacing w:after="0"/>
              <w:rPr>
                <w:sz w:val="20"/>
                <w:szCs w:val="20"/>
                <w:color w:val="auto"/>
              </w:rPr>
            </w:pPr>
            <w:r>
              <w:rPr>
                <w:rFonts w:ascii="Times New Roman" w:cs="Times New Roman" w:eastAsia="Times New Roman" w:hAnsi="Times New Roman"/>
                <w:sz w:val="17"/>
                <w:szCs w:val="17"/>
                <w:color w:val="0000FF"/>
              </w:rPr>
              <w:t>266,912</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over four years beginning on January 1, 2024, and will be released in quarterly installments, subject to the Reporting Person's continued service through each relevant vesting date.</w:t>
      </w:r>
    </w:p>
    <w:p>
      <w:pPr>
        <w:spacing w:after="0" w:line="20"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if at all, over three years based on the Issuer's total shareholder return (TSR) as measured against the TSR of the company at the median of the range TSRs of a set of peer companies established by the Issuer as set forth in the grant.</w:t>
      </w:r>
    </w:p>
    <w:p>
      <w:pPr>
        <w:spacing w:after="0" w:line="20"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190,406 shares issuable on the settlement of restricted stock units granted to the Reporting Person. Each restricted stock unit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Anthony</w:t>
        <w:tab/>
        <w:t>01/05/2024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10230"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2024-01-05T17:00:56Z</dcterms:created>
  <dcterms:modified xsi:type="dcterms:W3CDTF">2024-01-05T17:00:56Z</dcterms:modified>
</cp:coreProperties>
</file>