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8" w:lineRule="exact"/>
        <w:rPr>
          <w:sz w:val="24"/>
          <w:szCs w:val="24"/>
          <w:color w:val="auto"/>
        </w:rPr>
      </w:pPr>
    </w:p>
    <w:p>
      <w:pPr>
        <w:ind w:left="1320" w:hanging="1164"/>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700" w:hanging="56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tbl>
      <w:tblPr>
        <w:tblLayout w:type="fixed"/>
        <w:tblInd w:w="16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0" w:type="dxa"/>
            <w:vAlign w:val="bottom"/>
            <w:gridSpan w:val="4"/>
          </w:tcPr>
          <w:p>
            <w:pPr>
              <w:ind w:left="360"/>
              <w:spacing w:after="0"/>
              <w:rPr>
                <w:sz w:val="20"/>
                <w:szCs w:val="20"/>
                <w:color w:val="auto"/>
              </w:rPr>
            </w:pPr>
            <w:r>
              <w:rPr>
                <w:rFonts w:ascii="Arial" w:cs="Arial" w:eastAsia="Arial" w:hAnsi="Arial"/>
                <w:sz w:val="18"/>
                <w:szCs w:val="18"/>
                <w:b w:val="1"/>
                <w:bCs w:val="1"/>
                <w:color w:val="auto"/>
              </w:rPr>
              <w:t>TRANSITION PERIOD FROM</w:t>
            </w:r>
          </w:p>
        </w:tc>
        <w:tc>
          <w:tcPr>
            <w:tcW w:w="140" w:type="dxa"/>
            <w:vAlign w:val="bottom"/>
          </w:tcPr>
          <w:p>
            <w:pPr>
              <w:spacing w:after="0"/>
              <w:rPr>
                <w:sz w:val="20"/>
                <w:szCs w:val="20"/>
                <w:color w:val="auto"/>
              </w:rPr>
            </w:pPr>
          </w:p>
        </w:tc>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620" w:type="dxa"/>
            <w:vAlign w:val="bottom"/>
          </w:tcPr>
          <w:p>
            <w:pPr>
              <w:spacing w:after="0"/>
              <w:rPr>
                <w:sz w:val="20"/>
                <w:szCs w:val="20"/>
                <w:color w:val="auto"/>
              </w:rPr>
            </w:pPr>
          </w:p>
        </w:tc>
      </w:tr>
      <w:tr>
        <w:trPr>
          <w:trHeight w:val="358"/>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 xml:space="preserve">Commission File Number </w:t>
            </w:r>
            <w:r>
              <w:rPr>
                <w:rFonts w:ascii="Arial" w:cs="Arial" w:eastAsia="Arial" w:hAnsi="Arial"/>
                <w:sz w:val="17"/>
                <w:szCs w:val="17"/>
                <w:b w:val="1"/>
                <w:bCs w:val="1"/>
                <w:color w:val="auto"/>
                <w:w w:val="93"/>
              </w:rPr>
              <w:t>001-38701</w:t>
            </w: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gridSpan w:val="3"/>
          </w:tcPr>
          <w:p>
            <w:pPr>
              <w:jc w:val="center"/>
              <w:ind w:right="80"/>
              <w:spacing w:after="0"/>
              <w:rPr>
                <w:sz w:val="20"/>
                <w:szCs w:val="20"/>
                <w:color w:val="auto"/>
              </w:rPr>
            </w:pPr>
            <w:r>
              <w:rPr>
                <w:rFonts w:ascii="Arial" w:cs="Arial" w:eastAsia="Arial" w:hAnsi="Arial"/>
                <w:sz w:val="36"/>
                <w:szCs w:val="36"/>
                <w:b w:val="1"/>
                <w:bCs w:val="1"/>
                <w:color w:val="auto"/>
                <w:w w:val="96"/>
              </w:rPr>
              <w:t>SI-BONE, Inc.</w:t>
            </w: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80" w:type="dxa"/>
            <w:vAlign w:val="bottom"/>
            <w:gridSpan w:val="6"/>
          </w:tcPr>
          <w:p>
            <w:pPr>
              <w:jc w:val="center"/>
              <w:ind w:right="1384"/>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620" w:type="dxa"/>
            <w:vAlign w:val="bottom"/>
          </w:tcPr>
          <w:p>
            <w:pPr>
              <w:spacing w:after="0"/>
              <w:rPr>
                <w:sz w:val="18"/>
                <w:szCs w:val="18"/>
                <w:color w:val="auto"/>
              </w:rPr>
            </w:pPr>
          </w:p>
        </w:tc>
      </w:tr>
      <w:tr>
        <w:trPr>
          <w:trHeight w:val="334"/>
        </w:trPr>
        <w:tc>
          <w:tcPr>
            <w:tcW w:w="740" w:type="dxa"/>
            <w:vAlign w:val="bottom"/>
          </w:tcPr>
          <w:p>
            <w:pPr>
              <w:spacing w:after="0"/>
              <w:rPr>
                <w:sz w:val="24"/>
                <w:szCs w:val="24"/>
                <w:color w:val="auto"/>
              </w:rPr>
            </w:pPr>
          </w:p>
        </w:tc>
        <w:tc>
          <w:tcPr>
            <w:tcW w:w="1880" w:type="dxa"/>
            <w:vAlign w:val="bottom"/>
            <w:gridSpan w:val="2"/>
          </w:tcPr>
          <w:p>
            <w:pPr>
              <w:jc w:val="center"/>
              <w:ind w:right="901"/>
              <w:spacing w:after="0"/>
              <w:rPr>
                <w:sz w:val="20"/>
                <w:szCs w:val="20"/>
                <w:color w:val="auto"/>
              </w:rPr>
            </w:pPr>
            <w:r>
              <w:rPr>
                <w:rFonts w:ascii="Arial" w:cs="Arial" w:eastAsia="Arial" w:hAnsi="Arial"/>
                <w:sz w:val="18"/>
                <w:szCs w:val="18"/>
                <w:b w:val="1"/>
                <w:bCs w:val="1"/>
                <w:color w:val="auto"/>
                <w:w w:val="93"/>
              </w:rPr>
              <w:t>Delaware</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gridSpan w:val="2"/>
          </w:tcPr>
          <w:p>
            <w:pPr>
              <w:jc w:val="center"/>
              <w:ind w:left="219"/>
              <w:spacing w:after="0"/>
              <w:rPr>
                <w:sz w:val="20"/>
                <w:szCs w:val="20"/>
                <w:color w:val="auto"/>
              </w:rPr>
            </w:pPr>
            <w:r>
              <w:rPr>
                <w:rFonts w:ascii="Arial" w:cs="Arial" w:eastAsia="Arial" w:hAnsi="Arial"/>
                <w:sz w:val="18"/>
                <w:szCs w:val="18"/>
                <w:b w:val="1"/>
                <w:bCs w:val="1"/>
                <w:color w:val="auto"/>
                <w:w w:val="91"/>
              </w:rPr>
              <w:t>26-2216351</w:t>
            </w:r>
          </w:p>
        </w:tc>
        <w:tc>
          <w:tcPr>
            <w:tcW w:w="620" w:type="dxa"/>
            <w:vAlign w:val="bottom"/>
          </w:tcPr>
          <w:p>
            <w:pPr>
              <w:spacing w:after="0"/>
              <w:rPr>
                <w:sz w:val="24"/>
                <w:szCs w:val="24"/>
                <w:color w:val="auto"/>
              </w:rPr>
            </w:pPr>
          </w:p>
        </w:tc>
      </w:tr>
      <w:tr>
        <w:trPr>
          <w:trHeight w:val="144"/>
        </w:trPr>
        <w:tc>
          <w:tcPr>
            <w:tcW w:w="2620" w:type="dxa"/>
            <w:vAlign w:val="bottom"/>
            <w:gridSpan w:val="3"/>
          </w:tcPr>
          <w:p>
            <w:pPr>
              <w:jc w:val="center"/>
              <w:ind w:right="181"/>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ind w:left="4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620" w:type="dxa"/>
            <w:vAlign w:val="bottom"/>
          </w:tcPr>
          <w:p>
            <w:pPr>
              <w:spacing w:after="0"/>
              <w:rPr>
                <w:sz w:val="12"/>
                <w:szCs w:val="12"/>
                <w:color w:val="auto"/>
              </w:rPr>
            </w:pPr>
          </w:p>
        </w:tc>
      </w:tr>
      <w:tr>
        <w:trPr>
          <w:trHeight w:val="186"/>
        </w:trPr>
        <w:tc>
          <w:tcPr>
            <w:tcW w:w="262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3"/>
              </w:rPr>
              <w:t>of incorporation or organization)</w:t>
            </w: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center"/>
              <w:ind w:left="84"/>
              <w:spacing w:after="0"/>
              <w:rPr>
                <w:sz w:val="20"/>
                <w:szCs w:val="20"/>
                <w:color w:val="auto"/>
              </w:rPr>
            </w:pPr>
            <w:r>
              <w:rPr>
                <w:rFonts w:ascii="Arial" w:cs="Arial" w:eastAsia="Arial" w:hAnsi="Arial"/>
                <w:sz w:val="14"/>
                <w:szCs w:val="14"/>
                <w:b w:val="1"/>
                <w:bCs w:val="1"/>
                <w:color w:val="auto"/>
                <w:w w:val="94"/>
              </w:rPr>
              <w:t>Identification No.)</w:t>
            </w:r>
          </w:p>
        </w:tc>
        <w:tc>
          <w:tcPr>
            <w:tcW w:w="620" w:type="dxa"/>
            <w:vAlign w:val="bottom"/>
          </w:tcPr>
          <w:p>
            <w:pPr>
              <w:spacing w:after="0"/>
              <w:rPr>
                <w:sz w:val="16"/>
                <w:szCs w:val="16"/>
                <w:color w:val="auto"/>
              </w:rPr>
            </w:pPr>
          </w:p>
        </w:tc>
      </w:tr>
      <w:tr>
        <w:trPr>
          <w:trHeight w:val="326"/>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80" w:type="dxa"/>
            <w:vAlign w:val="bottom"/>
            <w:gridSpan w:val="6"/>
          </w:tcPr>
          <w:p>
            <w:pPr>
              <w:jc w:val="center"/>
              <w:ind w:right="1384"/>
              <w:spacing w:after="0"/>
              <w:rPr>
                <w:sz w:val="20"/>
                <w:szCs w:val="20"/>
                <w:color w:val="auto"/>
              </w:rPr>
            </w:pPr>
            <w:r>
              <w:rPr>
                <w:rFonts w:ascii="Arial" w:cs="Arial" w:eastAsia="Arial" w:hAnsi="Arial"/>
                <w:sz w:val="16"/>
                <w:szCs w:val="16"/>
                <w:b w:val="1"/>
                <w:bCs w:val="1"/>
                <w:color w:val="auto"/>
                <w:w w:val="93"/>
              </w:rPr>
              <w:t>471 El Camino Real, Suite 101, Santa Clara, California 95050</w:t>
            </w:r>
          </w:p>
        </w:tc>
        <w:tc>
          <w:tcPr>
            <w:tcW w:w="620" w:type="dxa"/>
            <w:vAlign w:val="bottom"/>
          </w:tcPr>
          <w:p>
            <w:pPr>
              <w:spacing w:after="0"/>
              <w:rPr>
                <w:sz w:val="24"/>
                <w:szCs w:val="24"/>
                <w:color w:val="auto"/>
              </w:rPr>
            </w:pPr>
          </w:p>
        </w:tc>
      </w:tr>
      <w:tr>
        <w:trPr>
          <w:trHeight w:val="210"/>
        </w:trPr>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80" w:type="dxa"/>
            <w:vAlign w:val="bottom"/>
            <w:gridSpan w:val="6"/>
          </w:tcPr>
          <w:p>
            <w:pPr>
              <w:jc w:val="center"/>
              <w:ind w:right="1384"/>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c>
          <w:tcPr>
            <w:tcW w:w="620" w:type="dxa"/>
            <w:vAlign w:val="bottom"/>
          </w:tcPr>
          <w:p>
            <w:pPr>
              <w:spacing w:after="0"/>
              <w:rPr>
                <w:sz w:val="18"/>
                <w:szCs w:val="18"/>
                <w:color w:val="auto"/>
              </w:rPr>
            </w:pPr>
          </w:p>
        </w:tc>
      </w:tr>
      <w:tr>
        <w:trPr>
          <w:trHeight w:val="270"/>
        </w:trPr>
        <w:tc>
          <w:tcPr>
            <w:tcW w:w="740" w:type="dxa"/>
            <w:vAlign w:val="bottom"/>
          </w:tcPr>
          <w:p>
            <w:pPr>
              <w:spacing w:after="0"/>
              <w:rPr>
                <w:sz w:val="23"/>
                <w:szCs w:val="23"/>
                <w:color w:val="auto"/>
              </w:rPr>
            </w:pPr>
          </w:p>
        </w:tc>
        <w:tc>
          <w:tcPr>
            <w:tcW w:w="6860" w:type="dxa"/>
            <w:vAlign w:val="bottom"/>
            <w:gridSpan w:val="7"/>
          </w:tcPr>
          <w:p>
            <w:pPr>
              <w:jc w:val="center"/>
              <w:ind w:right="284"/>
              <w:spacing w:after="0"/>
              <w:rPr>
                <w:sz w:val="20"/>
                <w:szCs w:val="20"/>
                <w:color w:val="auto"/>
              </w:rPr>
            </w:pPr>
            <w:r>
              <w:rPr>
                <w:rFonts w:ascii="Arial" w:cs="Arial" w:eastAsia="Arial" w:hAnsi="Arial"/>
                <w:sz w:val="16"/>
                <w:szCs w:val="16"/>
                <w:b w:val="1"/>
                <w:bCs w:val="1"/>
                <w:color w:val="auto"/>
                <w:w w:val="90"/>
              </w:rPr>
              <w:t>Registrant’s telephone number, including area code: (408) 207-0700</w:t>
            </w:r>
          </w:p>
        </w:tc>
        <w:tc>
          <w:tcPr>
            <w:tcW w:w="620" w:type="dxa"/>
            <w:vAlign w:val="bottom"/>
          </w:tcPr>
          <w:p>
            <w:pPr>
              <w:spacing w:after="0"/>
              <w:rPr>
                <w:sz w:val="23"/>
                <w:szCs w:val="23"/>
                <w:color w:val="auto"/>
              </w:rPr>
            </w:pPr>
          </w:p>
        </w:tc>
      </w:tr>
      <w:tr>
        <w:trPr>
          <w:trHeight w:val="264"/>
        </w:trPr>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780" w:type="dxa"/>
            <w:vAlign w:val="bottom"/>
            <w:gridSpan w:val="6"/>
          </w:tcPr>
          <w:p>
            <w:pPr>
              <w:jc w:val="center"/>
              <w:ind w:right="1384"/>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20" w:type="dxa"/>
            <w:vAlign w:val="bottom"/>
          </w:tcPr>
          <w:p>
            <w:pPr>
              <w:spacing w:after="0"/>
              <w:rPr>
                <w:sz w:val="22"/>
                <w:szCs w:val="22"/>
                <w:color w:val="auto"/>
              </w:rPr>
            </w:pPr>
          </w:p>
        </w:tc>
      </w:tr>
      <w:tr>
        <w:trPr>
          <w:trHeight w:val="255"/>
        </w:trPr>
        <w:tc>
          <w:tcPr>
            <w:tcW w:w="7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660" w:type="dxa"/>
            <w:vAlign w:val="bottom"/>
          </w:tcPr>
          <w:p>
            <w:pPr>
              <w:spacing w:after="0"/>
              <w:rPr>
                <w:sz w:val="22"/>
                <w:szCs w:val="22"/>
                <w:color w:val="auto"/>
              </w:rPr>
            </w:pPr>
          </w:p>
        </w:tc>
        <w:tc>
          <w:tcPr>
            <w:tcW w:w="28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r>
      <w:tr>
        <w:trPr>
          <w:trHeight w:val="198"/>
        </w:trPr>
        <w:tc>
          <w:tcPr>
            <w:tcW w:w="2620" w:type="dxa"/>
            <w:vAlign w:val="bottom"/>
            <w:gridSpan w:val="3"/>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980" w:type="dxa"/>
            <w:vAlign w:val="bottom"/>
          </w:tcPr>
          <w:p>
            <w:pPr>
              <w:spacing w:after="0"/>
              <w:rPr>
                <w:sz w:val="17"/>
                <w:szCs w:val="17"/>
                <w:color w:val="auto"/>
              </w:rPr>
            </w:pPr>
          </w:p>
        </w:tc>
        <w:tc>
          <w:tcPr>
            <w:tcW w:w="1820" w:type="dxa"/>
            <w:vAlign w:val="bottom"/>
            <w:gridSpan w:val="2"/>
          </w:tcPr>
          <w:p>
            <w:pPr>
              <w:jc w:val="center"/>
              <w:ind w:right="660"/>
              <w:spacing w:after="0"/>
              <w:rPr>
                <w:sz w:val="20"/>
                <w:szCs w:val="20"/>
                <w:color w:val="auto"/>
              </w:rPr>
            </w:pPr>
            <w:r>
              <w:rPr>
                <w:rFonts w:ascii="Arial" w:cs="Arial" w:eastAsia="Arial" w:hAnsi="Arial"/>
                <w:sz w:val="14"/>
                <w:szCs w:val="14"/>
                <w:color w:val="auto"/>
                <w:w w:val="97"/>
              </w:rPr>
              <w:t>SIBN</w:t>
            </w:r>
          </w:p>
        </w:tc>
        <w:tc>
          <w:tcPr>
            <w:tcW w:w="140" w:type="dxa"/>
            <w:vAlign w:val="bottom"/>
          </w:tcPr>
          <w:p>
            <w:pPr>
              <w:spacing w:after="0"/>
              <w:rPr>
                <w:sz w:val="17"/>
                <w:szCs w:val="17"/>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color w:val="auto"/>
                <w:w w:val="94"/>
              </w:rPr>
              <w:t>The Nasdaq Global Market</w:t>
            </w:r>
          </w:p>
        </w:tc>
      </w:tr>
      <w:tr>
        <w:trPr>
          <w:trHeight w:val="270"/>
        </w:trPr>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780" w:type="dxa"/>
            <w:vAlign w:val="bottom"/>
            <w:gridSpan w:val="6"/>
          </w:tcPr>
          <w:p>
            <w:pPr>
              <w:jc w:val="center"/>
              <w:ind w:right="1384"/>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c>
          <w:tcPr>
            <w:tcW w:w="620" w:type="dxa"/>
            <w:vAlign w:val="bottom"/>
          </w:tcPr>
          <w:p>
            <w:pPr>
              <w:spacing w:after="0"/>
              <w:rPr>
                <w:sz w:val="23"/>
                <w:szCs w:val="23"/>
                <w:color w:val="auto"/>
              </w:rPr>
            </w:pPr>
          </w:p>
        </w:tc>
      </w:tr>
      <w:tr>
        <w:trPr>
          <w:trHeight w:val="302"/>
        </w:trPr>
        <w:tc>
          <w:tcPr>
            <w:tcW w:w="7600" w:type="dxa"/>
            <w:vAlign w:val="bottom"/>
            <w:gridSpan w:val="8"/>
          </w:tcPr>
          <w:p>
            <w:pPr>
              <w:ind w:left="16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 x No</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7600" w:type="dxa"/>
            <w:vAlign w:val="bottom"/>
            <w:gridSpan w:val="8"/>
          </w:tcPr>
          <w:p>
            <w:pPr>
              <w:ind w:left="260"/>
              <w:spacing w:after="0" w:line="196" w:lineRule="exact"/>
              <w:rPr>
                <w:sz w:val="20"/>
                <w:szCs w:val="20"/>
                <w:color w:val="auto"/>
              </w:rPr>
            </w:pPr>
            <w:r>
              <w:rPr>
                <w:rFonts w:ascii="Arial" w:cs="Arial" w:eastAsia="Arial" w:hAnsi="Arial"/>
                <w:sz w:val="14"/>
                <w:szCs w:val="14"/>
                <w:color w:val="auto"/>
                <w:w w:val="96"/>
              </w:rPr>
              <w:t xml:space="preserve">Indicate by check mark if the Registrant is not required to file reports pursuant to Section 13 or 15(d) of the Act. Yes </w:t>
            </w:r>
            <w:r>
              <w:rPr>
                <w:rFonts w:ascii="MS PGothic" w:cs="MS PGothic" w:eastAsia="MS PGothic" w:hAnsi="MS PGothic"/>
                <w:sz w:val="17"/>
                <w:szCs w:val="17"/>
                <w:color w:val="auto"/>
                <w:w w:val="96"/>
              </w:rPr>
              <w:t>☐</w:t>
            </w:r>
            <w:r>
              <w:rPr>
                <w:rFonts w:ascii="Arial" w:cs="Arial" w:eastAsia="Arial" w:hAnsi="Arial"/>
                <w:sz w:val="14"/>
                <w:szCs w:val="14"/>
                <w:color w:val="auto"/>
                <w:w w:val="96"/>
              </w:rPr>
              <w:t xml:space="preserve"> No</w:t>
            </w:r>
          </w:p>
        </w:tc>
        <w:tc>
          <w:tcPr>
            <w:tcW w:w="620" w:type="dxa"/>
            <w:vAlign w:val="bottom"/>
          </w:tcPr>
          <w:p>
            <w:pPr>
              <w:ind w:left="40"/>
              <w:spacing w:after="0"/>
              <w:rPr>
                <w:sz w:val="20"/>
                <w:szCs w:val="20"/>
                <w:color w:val="auto"/>
              </w:rPr>
            </w:pPr>
            <w:r>
              <w:rPr>
                <w:rFonts w:ascii="Arial" w:cs="Arial" w:eastAsia="Arial" w:hAnsi="Arial"/>
                <w:sz w:val="14"/>
                <w:szCs w:val="14"/>
                <w:color w:val="auto"/>
              </w:rPr>
              <w:t>x</w:t>
            </w:r>
          </w:p>
        </w:tc>
      </w:tr>
    </w:tbl>
    <w:p>
      <w:pPr>
        <w:spacing w:after="0" w:line="29" w:lineRule="exact"/>
        <w:rPr>
          <w:sz w:val="24"/>
          <w:szCs w:val="24"/>
          <w:color w:val="auto"/>
        </w:rPr>
      </w:pPr>
    </w:p>
    <w:p>
      <w:pPr>
        <w:jc w:val="center"/>
        <w:ind w:left="360"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0" w:lineRule="exact"/>
        <w:rPr>
          <w:sz w:val="24"/>
          <w:szCs w:val="24"/>
          <w:color w:val="auto"/>
        </w:rPr>
      </w:pPr>
    </w:p>
    <w:p>
      <w:pPr>
        <w:jc w:val="center"/>
        <w:ind w:left="3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30" w:lineRule="exact"/>
        <w:rPr>
          <w:sz w:val="24"/>
          <w:szCs w:val="24"/>
          <w:color w:val="auto"/>
        </w:rPr>
      </w:pPr>
    </w:p>
    <w:p>
      <w:pPr>
        <w:jc w:val="center"/>
        <w:ind w:left="340" w:right="1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1900" w:type="dxa"/>
            <w:vAlign w:val="bottom"/>
          </w:tcPr>
          <w:p>
            <w:pPr>
              <w:jc w:val="center"/>
              <w:ind w:right="268"/>
              <w:spacing w:after="0"/>
              <w:rPr>
                <w:sz w:val="20"/>
                <w:szCs w:val="20"/>
                <w:color w:val="auto"/>
              </w:rPr>
            </w:pPr>
            <w:r>
              <w:rPr>
                <w:rFonts w:ascii="Arial" w:cs="Arial" w:eastAsia="Arial" w:hAnsi="Arial"/>
                <w:sz w:val="14"/>
                <w:szCs w:val="14"/>
                <w:color w:val="auto"/>
                <w:w w:val="92"/>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48"/>
              <w:spacing w:after="0"/>
              <w:rPr>
                <w:sz w:val="20"/>
                <w:szCs w:val="20"/>
                <w:color w:val="auto"/>
              </w:rPr>
            </w:pPr>
            <w:r>
              <w:rPr>
                <w:rFonts w:ascii="Arial" w:cs="Arial" w:eastAsia="Arial" w:hAnsi="Arial"/>
                <w:sz w:val="14"/>
                <w:szCs w:val="14"/>
                <w:color w:val="auto"/>
                <w:w w:val="95"/>
              </w:rPr>
              <w:t>Accelerated filer</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520"/>
              <w:spacing w:after="0"/>
              <w:rPr>
                <w:sz w:val="20"/>
                <w:szCs w:val="20"/>
                <w:color w:val="auto"/>
              </w:rPr>
            </w:pPr>
            <w:r>
              <w:rPr>
                <w:rFonts w:ascii="Arial" w:cs="Arial" w:eastAsia="Arial" w:hAnsi="Arial"/>
                <w:sz w:val="14"/>
                <w:szCs w:val="14"/>
                <w:color w:val="auto"/>
              </w:rPr>
              <w:t>Non-accelerated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jc w:val="center"/>
              <w:ind w:right="268"/>
              <w:spacing w:after="0"/>
              <w:rPr>
                <w:sz w:val="20"/>
                <w:szCs w:val="20"/>
                <w:color w:val="auto"/>
              </w:rPr>
            </w:pPr>
            <w:r>
              <w:rPr>
                <w:rFonts w:ascii="Arial" w:cs="Arial" w:eastAsia="Arial" w:hAnsi="Arial"/>
                <w:sz w:val="14"/>
                <w:szCs w:val="14"/>
                <w:color w:val="auto"/>
                <w:w w:val="93"/>
              </w:rPr>
              <w:t>Smaller reporting company</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28"/>
              <w:spacing w:after="0"/>
              <w:rPr>
                <w:sz w:val="20"/>
                <w:szCs w:val="20"/>
                <w:color w:val="auto"/>
              </w:rPr>
            </w:pPr>
            <w:r>
              <w:rPr>
                <w:rFonts w:ascii="Arial" w:cs="Arial" w:eastAsia="Arial" w:hAnsi="Arial"/>
                <w:sz w:val="14"/>
                <w:szCs w:val="14"/>
                <w:color w:val="auto"/>
                <w:w w:val="94"/>
              </w:rPr>
              <w:t>Emerging growth company</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3" w:lineRule="exact"/>
        <w:rPr>
          <w:sz w:val="24"/>
          <w:szCs w:val="24"/>
          <w:color w:val="auto"/>
        </w:rPr>
      </w:pPr>
    </w:p>
    <w:p>
      <w:pPr>
        <w:jc w:val="center"/>
        <w:ind w:left="360" w:right="2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jc w:val="center"/>
        <w:ind w:left="360"/>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jc w:val="center"/>
        <w:ind w:right="-19"/>
        <w:spacing w:after="0" w:line="196" w:lineRule="exact"/>
        <w:tabs>
          <w:tab w:leader="none" w:pos="120"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157" w:lineRule="exact"/>
        <w:rPr>
          <w:sz w:val="24"/>
          <w:szCs w:val="24"/>
          <w:color w:val="auto"/>
        </w:rPr>
      </w:pPr>
    </w:p>
    <w:p>
      <w:pPr>
        <w:jc w:val="center"/>
        <w:ind w:left="340"/>
        <w:spacing w:after="0" w:line="252" w:lineRule="auto"/>
        <w:rPr>
          <w:sz w:val="20"/>
          <w:szCs w:val="20"/>
          <w:color w:val="auto"/>
        </w:rPr>
      </w:pPr>
      <w:r>
        <w:rPr>
          <w:rFonts w:ascii="Arial" w:cs="Arial" w:eastAsia="Arial" w:hAnsi="Arial"/>
          <w:sz w:val="14"/>
          <w:szCs w:val="14"/>
          <w:color w:val="auto"/>
        </w:rPr>
        <w:t>The aggregate market value of the shares of common stock held by non-affiliates of the registrant as of June 30, 2021, the last business day of the registrant’s most recently completed second fiscal quarter, was approximately $1.00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number of shares of Registrant’s Common Stock outstanding as of February 22, 2022 was 33,840,570 shares.</w:t>
      </w:r>
    </w:p>
    <w:p>
      <w:pPr>
        <w:spacing w:after="0" w:line="29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Portions of the Registrant’s Definitive Proxy Statement relating to the Annual Meeting of Shareholders, which will be filed with the Securities and Exchange Commission within 120 days after</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end of the Registrant’s fiscal year ended December 31, 2021,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5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2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rPr>
              <w:t>PART I</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0"/>
        </w:trPr>
        <w:tc>
          <w:tcPr>
            <w:tcW w:w="1220" w:type="dxa"/>
            <w:vAlign w:val="bottom"/>
            <w:gridSpan w:val="6"/>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Item 1</w:t>
              </w:r>
            </w:hyperlink>
          </w:p>
        </w:tc>
        <w:tc>
          <w:tcPr>
            <w:tcW w:w="9120" w:type="dxa"/>
            <w:vAlign w:val="bottom"/>
            <w:gridSpan w:val="20"/>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520" w:type="dxa"/>
            <w:vAlign w:val="bottom"/>
            <w:gridSpan w:val="3"/>
          </w:tcPr>
          <w:p>
            <w:pPr>
              <w:jc w:val="center"/>
              <w:ind w:left="250"/>
              <w:spacing w:after="0" w:line="190"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320" w:type="dxa"/>
            <w:vAlign w:val="bottom"/>
          </w:tcPr>
          <w:p>
            <w:pPr>
              <w:spacing w:after="0"/>
              <w:rPr>
                <w:sz w:val="16"/>
                <w:szCs w:val="16"/>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00" w:type="dxa"/>
            <w:vAlign w:val="bottom"/>
            <w:gridSpan w:val="4"/>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Item 1A</w:t>
              </w:r>
            </w:hyperlink>
          </w:p>
        </w:tc>
        <w:tc>
          <w:tcPr>
            <w:tcW w:w="620" w:type="dxa"/>
            <w:vAlign w:val="bottom"/>
            <w:gridSpan w:val="2"/>
          </w:tcPr>
          <w:p>
            <w:pPr>
              <w:spacing w:after="0"/>
              <w:rPr>
                <w:sz w:val="18"/>
                <w:szCs w:val="18"/>
                <w:color w:val="auto"/>
              </w:rPr>
            </w:pPr>
          </w:p>
        </w:tc>
        <w:tc>
          <w:tcPr>
            <w:tcW w:w="920" w:type="dxa"/>
            <w:vAlign w:val="bottom"/>
            <w:gridSpan w:val="3"/>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Risk Factors</w:t>
              </w:r>
            </w:hyperlink>
          </w:p>
        </w:tc>
        <w:tc>
          <w:tcPr>
            <w:tcW w:w="8200" w:type="dxa"/>
            <w:vAlign w:val="bottom"/>
            <w:gridSpan w:val="17"/>
          </w:tcPr>
          <w:p>
            <w:pPr>
              <w:spacing w:after="0"/>
              <w:rPr>
                <w:sz w:val="18"/>
                <w:szCs w:val="18"/>
                <w:color w:val="auto"/>
              </w:rPr>
            </w:pPr>
          </w:p>
        </w:tc>
        <w:tc>
          <w:tcPr>
            <w:tcW w:w="520" w:type="dxa"/>
            <w:vAlign w:val="bottom"/>
            <w:gridSpan w:val="3"/>
          </w:tcPr>
          <w:p>
            <w:pPr>
              <w:jc w:val="center"/>
              <w:ind w:left="25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600" w:type="dxa"/>
            <w:vAlign w:val="bottom"/>
            <w:gridSpan w:val="4"/>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Item 1B</w:t>
              </w:r>
            </w:hyperlink>
          </w:p>
        </w:tc>
        <w:tc>
          <w:tcPr>
            <w:tcW w:w="620" w:type="dxa"/>
            <w:vAlign w:val="bottom"/>
            <w:gridSpan w:val="2"/>
          </w:tcPr>
          <w:p>
            <w:pPr>
              <w:spacing w:after="0"/>
              <w:rPr>
                <w:sz w:val="18"/>
                <w:szCs w:val="18"/>
                <w:color w:val="auto"/>
              </w:rPr>
            </w:pPr>
          </w:p>
        </w:tc>
        <w:tc>
          <w:tcPr>
            <w:tcW w:w="912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Unresolved Staff Comments</w:t>
              </w:r>
            </w:hyperlink>
          </w:p>
        </w:tc>
        <w:tc>
          <w:tcPr>
            <w:tcW w:w="520" w:type="dxa"/>
            <w:vAlign w:val="bottom"/>
            <w:gridSpan w:val="3"/>
          </w:tcPr>
          <w:p>
            <w:pPr>
              <w:jc w:val="center"/>
              <w:ind w:left="25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80" w:type="dxa"/>
            <w:vAlign w:val="bottom"/>
            <w:gridSpan w:val="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Item 2</w:t>
              </w:r>
            </w:hyperlink>
          </w:p>
        </w:tc>
        <w:tc>
          <w:tcPr>
            <w:tcW w:w="640" w:type="dxa"/>
            <w:vAlign w:val="bottom"/>
            <w:gridSpan w:val="3"/>
          </w:tcPr>
          <w:p>
            <w:pPr>
              <w:spacing w:after="0"/>
              <w:rPr>
                <w:sz w:val="18"/>
                <w:szCs w:val="18"/>
                <w:color w:val="auto"/>
              </w:rPr>
            </w:pPr>
          </w:p>
        </w:tc>
        <w:tc>
          <w:tcPr>
            <w:tcW w:w="2060" w:type="dxa"/>
            <w:vAlign w:val="bottom"/>
            <w:gridSpan w:val="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Properties</w:t>
              </w:r>
            </w:hyperlink>
          </w:p>
        </w:tc>
        <w:tc>
          <w:tcPr>
            <w:tcW w:w="7060" w:type="dxa"/>
            <w:vAlign w:val="bottom"/>
            <w:gridSpan w:val="12"/>
          </w:tcPr>
          <w:p>
            <w:pPr>
              <w:spacing w:after="0"/>
              <w:rPr>
                <w:sz w:val="18"/>
                <w:szCs w:val="18"/>
                <w:color w:val="auto"/>
              </w:rPr>
            </w:pPr>
          </w:p>
        </w:tc>
        <w:tc>
          <w:tcPr>
            <w:tcW w:w="520" w:type="dxa"/>
            <w:vAlign w:val="bottom"/>
            <w:gridSpan w:val="3"/>
          </w:tcPr>
          <w:p>
            <w:pPr>
              <w:jc w:val="center"/>
              <w:ind w:left="25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gridSpan w:val="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Item 3</w:t>
              </w:r>
            </w:hyperlink>
          </w:p>
        </w:tc>
        <w:tc>
          <w:tcPr>
            <w:tcW w:w="912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520" w:type="dxa"/>
            <w:vAlign w:val="bottom"/>
            <w:gridSpan w:val="3"/>
          </w:tcPr>
          <w:p>
            <w:pPr>
              <w:jc w:val="center"/>
              <w:ind w:left="25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gridSpan w:val="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Item 4</w:t>
              </w:r>
            </w:hyperlink>
          </w:p>
        </w:tc>
        <w:tc>
          <w:tcPr>
            <w:tcW w:w="912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520" w:type="dxa"/>
            <w:vAlign w:val="bottom"/>
            <w:gridSpan w:val="3"/>
          </w:tcPr>
          <w:p>
            <w:pPr>
              <w:jc w:val="center"/>
              <w:ind w:left="25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320" w:type="dxa"/>
            <w:vAlign w:val="bottom"/>
          </w:tcPr>
          <w:p>
            <w:pPr>
              <w:spacing w:after="0"/>
              <w:rPr>
                <w:sz w:val="18"/>
                <w:szCs w:val="18"/>
                <w:color w:val="auto"/>
              </w:rPr>
            </w:pPr>
          </w:p>
        </w:tc>
      </w:tr>
      <w:tr>
        <w:trPr>
          <w:trHeight w:val="249"/>
        </w:trPr>
        <w:tc>
          <w:tcPr>
            <w:tcW w:w="4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9"/>
              </w:rPr>
              <w:t>PART II</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r>
      <w:tr>
        <w:trPr>
          <w:trHeight w:val="190"/>
        </w:trPr>
        <w:tc>
          <w:tcPr>
            <w:tcW w:w="1220" w:type="dxa"/>
            <w:vAlign w:val="bottom"/>
            <w:gridSpan w:val="6"/>
          </w:tcPr>
          <w:p>
            <w:pPr>
              <w:spacing w:after="0" w:line="190" w:lineRule="exact"/>
              <w:rPr>
                <w:rFonts w:ascii="Arial" w:cs="Arial" w:eastAsia="Arial" w:hAnsi="Arial"/>
                <w:sz w:val="18"/>
                <w:szCs w:val="18"/>
                <w:color w:val="0000FF"/>
              </w:rPr>
            </w:pPr>
            <w:hyperlink w:anchor="page62">
              <w:r>
                <w:rPr>
                  <w:rFonts w:ascii="Arial" w:cs="Arial" w:eastAsia="Arial" w:hAnsi="Arial"/>
                  <w:sz w:val="18"/>
                  <w:szCs w:val="18"/>
                  <w:color w:val="0000FF"/>
                </w:rPr>
                <w:t>Item 5</w:t>
              </w:r>
            </w:hyperlink>
          </w:p>
        </w:tc>
        <w:tc>
          <w:tcPr>
            <w:tcW w:w="9120" w:type="dxa"/>
            <w:vAlign w:val="bottom"/>
            <w:gridSpan w:val="20"/>
          </w:tcPr>
          <w:p>
            <w:pPr>
              <w:spacing w:after="0" w:line="190" w:lineRule="exact"/>
              <w:rPr>
                <w:rFonts w:ascii="Arial" w:cs="Arial" w:eastAsia="Arial" w:hAnsi="Arial"/>
                <w:sz w:val="18"/>
                <w:szCs w:val="18"/>
                <w:color w:val="0000FF"/>
              </w:rPr>
            </w:pPr>
            <w:hyperlink w:anchor="page62">
              <w:r>
                <w:rPr>
                  <w:rFonts w:ascii="Arial" w:cs="Arial" w:eastAsia="Arial" w:hAnsi="Arial"/>
                  <w:sz w:val="18"/>
                  <w:szCs w:val="18"/>
                  <w:color w:val="0000FF"/>
                </w:rPr>
                <w:t>Market for Registrant’s Common Equity, Related Stockholder Matters and Issuer Purchases of Equity Securities</w:t>
              </w:r>
            </w:hyperlink>
          </w:p>
        </w:tc>
        <w:tc>
          <w:tcPr>
            <w:tcW w:w="520" w:type="dxa"/>
            <w:vAlign w:val="bottom"/>
            <w:gridSpan w:val="3"/>
          </w:tcPr>
          <w:p>
            <w:pPr>
              <w:jc w:val="center"/>
              <w:ind w:left="250"/>
              <w:spacing w:after="0" w:line="190"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320" w:type="dxa"/>
            <w:vAlign w:val="bottom"/>
          </w:tcPr>
          <w:p>
            <w:pPr>
              <w:spacing w:after="0"/>
              <w:rPr>
                <w:sz w:val="16"/>
                <w:szCs w:val="16"/>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220" w:type="dxa"/>
            <w:vAlign w:val="bottom"/>
            <w:gridSpan w:val="6"/>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Item 6</w:t>
              </w:r>
            </w:hyperlink>
          </w:p>
        </w:tc>
        <w:tc>
          <w:tcPr>
            <w:tcW w:w="9120" w:type="dxa"/>
            <w:vAlign w:val="bottom"/>
            <w:gridSpan w:val="20"/>
          </w:tcPr>
          <w:p>
            <w:pPr>
              <w:spacing w:after="0"/>
              <w:rPr>
                <w:sz w:val="20"/>
                <w:szCs w:val="20"/>
                <w:color w:val="auto"/>
              </w:rPr>
            </w:pPr>
            <w:r>
              <w:rPr>
                <w:rFonts w:ascii="Arial" w:cs="Arial" w:eastAsia="Arial" w:hAnsi="Arial"/>
                <w:sz w:val="18"/>
                <w:szCs w:val="18"/>
                <w:color w:val="auto"/>
              </w:rPr>
              <w:t>[Reserved]</w:t>
            </w:r>
          </w:p>
        </w:tc>
        <w:tc>
          <w:tcPr>
            <w:tcW w:w="520" w:type="dxa"/>
            <w:vAlign w:val="bottom"/>
            <w:gridSpan w:val="3"/>
          </w:tcPr>
          <w:p>
            <w:pPr>
              <w:jc w:val="center"/>
              <w:ind w:left="25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Item 7</w:t>
              </w:r>
            </w:hyperlink>
          </w:p>
        </w:tc>
        <w:tc>
          <w:tcPr>
            <w:tcW w:w="680" w:type="dxa"/>
            <w:vAlign w:val="bottom"/>
            <w:gridSpan w:val="4"/>
          </w:tcPr>
          <w:p>
            <w:pPr>
              <w:spacing w:after="0"/>
              <w:rPr>
                <w:sz w:val="18"/>
                <w:szCs w:val="18"/>
                <w:color w:val="auto"/>
              </w:rPr>
            </w:pPr>
          </w:p>
        </w:tc>
        <w:tc>
          <w:tcPr>
            <w:tcW w:w="9120" w:type="dxa"/>
            <w:vAlign w:val="bottom"/>
            <w:gridSpan w:val="20"/>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3"/>
          </w:tcPr>
          <w:p>
            <w:pPr>
              <w:jc w:val="center"/>
              <w:ind w:left="25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320" w:type="dxa"/>
            <w:vAlign w:val="bottom"/>
          </w:tcPr>
          <w:p>
            <w:pPr>
              <w:spacing w:after="0"/>
              <w:rPr>
                <w:sz w:val="18"/>
                <w:szCs w:val="18"/>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100" w:type="dxa"/>
            <w:vAlign w:val="bottom"/>
            <w:tcBorders>
              <w:bottom w:val="single" w:sz="8" w:color="0000FF"/>
            </w:tcBorders>
            <w:gridSpan w:val="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7A</w:t>
              </w:r>
            </w:hyperlink>
          </w:p>
        </w:tc>
        <w:tc>
          <w:tcPr>
            <w:tcW w:w="120" w:type="dxa"/>
            <w:vAlign w:val="bottom"/>
          </w:tcPr>
          <w:p>
            <w:pPr>
              <w:spacing w:after="0"/>
              <w:rPr>
                <w:sz w:val="18"/>
                <w:szCs w:val="18"/>
                <w:color w:val="auto"/>
              </w:rPr>
            </w:pPr>
          </w:p>
        </w:tc>
        <w:tc>
          <w:tcPr>
            <w:tcW w:w="432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Quantitative and Qualitative Disclosures about Market Risk</w:t>
              </w:r>
            </w:hyperlink>
          </w:p>
        </w:tc>
        <w:tc>
          <w:tcPr>
            <w:tcW w:w="4800" w:type="dxa"/>
            <w:vAlign w:val="bottom"/>
            <w:gridSpan w:val="7"/>
          </w:tcPr>
          <w:p>
            <w:pPr>
              <w:spacing w:after="0"/>
              <w:rPr>
                <w:sz w:val="18"/>
                <w:szCs w:val="18"/>
                <w:color w:val="auto"/>
              </w:rPr>
            </w:pPr>
          </w:p>
        </w:tc>
        <w:tc>
          <w:tcPr>
            <w:tcW w:w="520" w:type="dxa"/>
            <w:vAlign w:val="bottom"/>
            <w:gridSpan w:val="3"/>
          </w:tcPr>
          <w:p>
            <w:pPr>
              <w:jc w:val="center"/>
              <w:ind w:left="25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74</w:t>
              </w:r>
            </w:hyperlink>
          </w:p>
        </w:tc>
        <w:tc>
          <w:tcPr>
            <w:tcW w:w="320" w:type="dxa"/>
            <w:vAlign w:val="bottom"/>
          </w:tcPr>
          <w:p>
            <w:pPr>
              <w:spacing w:after="0"/>
              <w:rPr>
                <w:sz w:val="18"/>
                <w:szCs w:val="18"/>
                <w:color w:val="auto"/>
              </w:rPr>
            </w:pPr>
          </w:p>
        </w:tc>
      </w:tr>
      <w:tr>
        <w:trPr>
          <w:trHeight w:val="209"/>
        </w:trPr>
        <w:tc>
          <w:tcPr>
            <w:tcW w:w="1220" w:type="dxa"/>
            <w:vAlign w:val="bottom"/>
            <w:gridSpan w:val="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8</w:t>
              </w:r>
            </w:hyperlink>
          </w:p>
        </w:tc>
        <w:tc>
          <w:tcPr>
            <w:tcW w:w="9120" w:type="dxa"/>
            <w:vAlign w:val="bottom"/>
            <w:gridSpan w:val="2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Financial Statements and Supplementary Data</w:t>
              </w:r>
            </w:hyperlink>
          </w:p>
        </w:tc>
        <w:tc>
          <w:tcPr>
            <w:tcW w:w="520" w:type="dxa"/>
            <w:vAlign w:val="bottom"/>
            <w:gridSpan w:val="3"/>
          </w:tcPr>
          <w:p>
            <w:pPr>
              <w:jc w:val="center"/>
              <w:ind w:left="25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75</w:t>
              </w:r>
            </w:hyperlink>
          </w:p>
        </w:tc>
        <w:tc>
          <w:tcPr>
            <w:tcW w:w="320" w:type="dxa"/>
            <w:vAlign w:val="bottom"/>
          </w:tcPr>
          <w:p>
            <w:pPr>
              <w:spacing w:after="0"/>
              <w:rPr>
                <w:sz w:val="18"/>
                <w:szCs w:val="18"/>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20" w:type="dxa"/>
            <w:vAlign w:val="bottom"/>
            <w:gridSpan w:val="6"/>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9</w:t>
              </w:r>
            </w:hyperlink>
          </w:p>
        </w:tc>
        <w:tc>
          <w:tcPr>
            <w:tcW w:w="9120" w:type="dxa"/>
            <w:vAlign w:val="bottom"/>
            <w:gridSpan w:val="20"/>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Changes in and Disagreements With Accountants on Accounting and Financial Disclosure</w:t>
              </w:r>
            </w:hyperlink>
          </w:p>
        </w:tc>
        <w:tc>
          <w:tcPr>
            <w:tcW w:w="840" w:type="dxa"/>
            <w:vAlign w:val="bottom"/>
            <w:gridSpan w:val="4"/>
          </w:tcPr>
          <w:p>
            <w:pPr>
              <w:jc w:val="center"/>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600" w:type="dxa"/>
            <w:vAlign w:val="bottom"/>
            <w:gridSpan w:val="4"/>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Item 9A</w:t>
              </w:r>
            </w:hyperlink>
          </w:p>
        </w:tc>
        <w:tc>
          <w:tcPr>
            <w:tcW w:w="620" w:type="dxa"/>
            <w:vAlign w:val="bottom"/>
            <w:gridSpan w:val="2"/>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w w:val="88"/>
              </w:rPr>
            </w:pPr>
            <w:hyperlink w:anchor="page106">
              <w:r>
                <w:rPr>
                  <w:rFonts w:ascii="Arial" w:cs="Arial" w:eastAsia="Arial" w:hAnsi="Arial"/>
                  <w:sz w:val="18"/>
                  <w:szCs w:val="18"/>
                  <w:color w:val="0000FF"/>
                  <w:w w:val="88"/>
                </w:rPr>
                <w:t>Controls and Procedures</w:t>
              </w:r>
            </w:hyperlink>
          </w:p>
        </w:tc>
        <w:tc>
          <w:tcPr>
            <w:tcW w:w="7340" w:type="dxa"/>
            <w:vAlign w:val="bottom"/>
            <w:gridSpan w:val="14"/>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600" w:type="dxa"/>
            <w:vAlign w:val="bottom"/>
            <w:gridSpan w:val="4"/>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Item 9B</w:t>
              </w:r>
            </w:hyperlink>
          </w:p>
        </w:tc>
        <w:tc>
          <w:tcPr>
            <w:tcW w:w="620" w:type="dxa"/>
            <w:vAlign w:val="bottom"/>
            <w:gridSpan w:val="2"/>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Other Information</w:t>
              </w:r>
            </w:hyperlink>
          </w:p>
        </w:tc>
        <w:tc>
          <w:tcPr>
            <w:tcW w:w="7340" w:type="dxa"/>
            <w:vAlign w:val="bottom"/>
            <w:gridSpan w:val="14"/>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1220" w:type="dxa"/>
            <w:vAlign w:val="bottom"/>
            <w:gridSpan w:val="6"/>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9C</w:t>
              </w:r>
            </w:hyperlink>
          </w:p>
        </w:tc>
        <w:tc>
          <w:tcPr>
            <w:tcW w:w="9120" w:type="dxa"/>
            <w:vAlign w:val="bottom"/>
            <w:gridSpan w:val="20"/>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Disclosure Regarding Foreign Jurisdictions that Prevent Inspections</w:t>
              </w:r>
            </w:hyperlink>
          </w:p>
        </w:tc>
        <w:tc>
          <w:tcPr>
            <w:tcW w:w="840" w:type="dxa"/>
            <w:vAlign w:val="bottom"/>
            <w:gridSpan w:val="4"/>
          </w:tcPr>
          <w:p>
            <w:pPr>
              <w:jc w:val="center"/>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49"/>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0"/>
        </w:trPr>
        <w:tc>
          <w:tcPr>
            <w:tcW w:w="540" w:type="dxa"/>
            <w:vAlign w:val="bottom"/>
            <w:gridSpan w:val="2"/>
          </w:tcPr>
          <w:p>
            <w:pPr>
              <w:spacing w:after="0" w:line="190" w:lineRule="exact"/>
              <w:rPr>
                <w:rFonts w:ascii="Arial" w:cs="Arial" w:eastAsia="Arial" w:hAnsi="Arial"/>
                <w:sz w:val="18"/>
                <w:szCs w:val="18"/>
                <w:color w:val="0000FF"/>
                <w:w w:val="83"/>
              </w:rPr>
            </w:pPr>
            <w:hyperlink w:anchor="page107">
              <w:r>
                <w:rPr>
                  <w:rFonts w:ascii="Arial" w:cs="Arial" w:eastAsia="Arial" w:hAnsi="Arial"/>
                  <w:sz w:val="18"/>
                  <w:szCs w:val="18"/>
                  <w:color w:val="0000FF"/>
                  <w:w w:val="83"/>
                </w:rPr>
                <w:t>Item 10</w:t>
              </w:r>
            </w:hyperlink>
          </w:p>
        </w:tc>
        <w:tc>
          <w:tcPr>
            <w:tcW w:w="680" w:type="dxa"/>
            <w:vAlign w:val="bottom"/>
            <w:gridSpan w:val="4"/>
          </w:tcPr>
          <w:p>
            <w:pPr>
              <w:spacing w:after="0"/>
              <w:rPr>
                <w:sz w:val="16"/>
                <w:szCs w:val="16"/>
                <w:color w:val="auto"/>
              </w:rPr>
            </w:pPr>
          </w:p>
        </w:tc>
        <w:tc>
          <w:tcPr>
            <w:tcW w:w="9120" w:type="dxa"/>
            <w:vAlign w:val="bottom"/>
            <w:gridSpan w:val="20"/>
          </w:tcPr>
          <w:p>
            <w:pPr>
              <w:spacing w:after="0" w:line="190" w:lineRule="exact"/>
              <w:rPr>
                <w:rFonts w:ascii="Arial" w:cs="Arial" w:eastAsia="Arial" w:hAnsi="Arial"/>
                <w:sz w:val="18"/>
                <w:szCs w:val="18"/>
                <w:color w:val="0000FF"/>
              </w:rPr>
            </w:pPr>
            <w:hyperlink w:anchor="page107">
              <w:r>
                <w:rPr>
                  <w:rFonts w:ascii="Arial" w:cs="Arial" w:eastAsia="Arial" w:hAnsi="Arial"/>
                  <w:sz w:val="18"/>
                  <w:szCs w:val="18"/>
                  <w:color w:val="0000FF"/>
                </w:rPr>
                <w:t>Directors, Executive Officers and Corporate Governance</w:t>
              </w:r>
            </w:hyperlink>
          </w:p>
        </w:tc>
        <w:tc>
          <w:tcPr>
            <w:tcW w:w="840" w:type="dxa"/>
            <w:vAlign w:val="bottom"/>
            <w:gridSpan w:val="4"/>
          </w:tcPr>
          <w:p>
            <w:pPr>
              <w:jc w:val="center"/>
              <w:spacing w:after="0" w:line="190" w:lineRule="exact"/>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83"/>
              </w:rPr>
            </w:pPr>
            <w:hyperlink w:anchor="page107">
              <w:r>
                <w:rPr>
                  <w:rFonts w:ascii="Arial" w:cs="Arial" w:eastAsia="Arial" w:hAnsi="Arial"/>
                  <w:sz w:val="18"/>
                  <w:szCs w:val="18"/>
                  <w:color w:val="0000FF"/>
                  <w:w w:val="83"/>
                </w:rPr>
                <w:t>Item 11</w:t>
              </w:r>
            </w:hyperlink>
          </w:p>
        </w:tc>
        <w:tc>
          <w:tcPr>
            <w:tcW w:w="680" w:type="dxa"/>
            <w:vAlign w:val="bottom"/>
            <w:gridSpan w:val="4"/>
          </w:tcPr>
          <w:p>
            <w:pPr>
              <w:spacing w:after="0"/>
              <w:rPr>
                <w:sz w:val="18"/>
                <w:szCs w:val="18"/>
                <w:color w:val="auto"/>
              </w:rPr>
            </w:pPr>
          </w:p>
        </w:tc>
        <w:tc>
          <w:tcPr>
            <w:tcW w:w="4100" w:type="dxa"/>
            <w:vAlign w:val="bottom"/>
            <w:gridSpan w:val="1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Executive Compensation</w:t>
              </w:r>
            </w:hyperlink>
          </w:p>
        </w:tc>
        <w:tc>
          <w:tcPr>
            <w:tcW w:w="5020" w:type="dxa"/>
            <w:vAlign w:val="bottom"/>
            <w:gridSpan w:val="8"/>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1100" w:type="dxa"/>
            <w:vAlign w:val="bottom"/>
            <w:gridSpan w:val="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Item 12</w:t>
              </w:r>
            </w:hyperlink>
          </w:p>
        </w:tc>
        <w:tc>
          <w:tcPr>
            <w:tcW w:w="120" w:type="dxa"/>
            <w:vAlign w:val="bottom"/>
          </w:tcPr>
          <w:p>
            <w:pPr>
              <w:spacing w:after="0"/>
              <w:rPr>
                <w:sz w:val="18"/>
                <w:szCs w:val="18"/>
                <w:color w:val="auto"/>
              </w:rPr>
            </w:pPr>
          </w:p>
        </w:tc>
        <w:tc>
          <w:tcPr>
            <w:tcW w:w="7300" w:type="dxa"/>
            <w:vAlign w:val="bottom"/>
            <w:gridSpan w:val="18"/>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Security Ownership of Certain Beneficial Owners and Management and Related Stockholder Matters</w:t>
              </w:r>
            </w:hyperlink>
          </w:p>
        </w:tc>
        <w:tc>
          <w:tcPr>
            <w:tcW w:w="1820" w:type="dxa"/>
            <w:vAlign w:val="bottom"/>
            <w:gridSpan w:val="2"/>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0"/>
        </w:trPr>
        <w:tc>
          <w:tcPr>
            <w:tcW w:w="11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83"/>
              </w:rPr>
            </w:pPr>
            <w:hyperlink w:anchor="page107">
              <w:r>
                <w:rPr>
                  <w:rFonts w:ascii="Arial" w:cs="Arial" w:eastAsia="Arial" w:hAnsi="Arial"/>
                  <w:sz w:val="18"/>
                  <w:szCs w:val="18"/>
                  <w:color w:val="0000FF"/>
                  <w:w w:val="83"/>
                </w:rPr>
                <w:t>Item 13</w:t>
              </w:r>
            </w:hyperlink>
          </w:p>
        </w:tc>
        <w:tc>
          <w:tcPr>
            <w:tcW w:w="5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15"/>
          </w:tcPr>
          <w:p>
            <w:pPr>
              <w:spacing w:after="0"/>
              <w:rPr>
                <w:rFonts w:ascii="Arial" w:cs="Arial" w:eastAsia="Arial" w:hAnsi="Arial"/>
                <w:sz w:val="18"/>
                <w:szCs w:val="18"/>
                <w:color w:val="0000FF"/>
                <w:w w:val="89"/>
              </w:rPr>
            </w:pPr>
            <w:hyperlink w:anchor="page107">
              <w:r>
                <w:rPr>
                  <w:rFonts w:ascii="Arial" w:cs="Arial" w:eastAsia="Arial" w:hAnsi="Arial"/>
                  <w:sz w:val="18"/>
                  <w:szCs w:val="18"/>
                  <w:color w:val="0000FF"/>
                  <w:w w:val="89"/>
                </w:rPr>
                <w:t>Certain Relationships and Related Transactions and Director Independence</w:t>
              </w:r>
            </w:hyperlink>
          </w:p>
        </w:tc>
        <w:tc>
          <w:tcPr>
            <w:tcW w:w="1880" w:type="dxa"/>
            <w:vAlign w:val="bottom"/>
            <w:gridSpan w:val="3"/>
          </w:tcPr>
          <w:p>
            <w:pPr>
              <w:spacing w:after="0"/>
              <w:rPr>
                <w:sz w:val="18"/>
                <w:szCs w:val="18"/>
                <w:color w:val="auto"/>
              </w:rPr>
            </w:pPr>
          </w:p>
        </w:tc>
        <w:tc>
          <w:tcPr>
            <w:tcW w:w="1820" w:type="dxa"/>
            <w:vAlign w:val="bottom"/>
            <w:gridSpan w:val="2"/>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83"/>
              </w:rPr>
            </w:pPr>
            <w:hyperlink w:anchor="page107">
              <w:r>
                <w:rPr>
                  <w:rFonts w:ascii="Arial" w:cs="Arial" w:eastAsia="Arial" w:hAnsi="Arial"/>
                  <w:sz w:val="18"/>
                  <w:szCs w:val="18"/>
                  <w:color w:val="0000FF"/>
                  <w:w w:val="83"/>
                </w:rPr>
                <w:t>Item 14</w:t>
              </w:r>
            </w:hyperlink>
          </w:p>
        </w:tc>
        <w:tc>
          <w:tcPr>
            <w:tcW w:w="680" w:type="dxa"/>
            <w:vAlign w:val="bottom"/>
            <w:gridSpan w:val="4"/>
          </w:tcPr>
          <w:p>
            <w:pPr>
              <w:spacing w:after="0"/>
              <w:rPr>
                <w:sz w:val="18"/>
                <w:szCs w:val="18"/>
                <w:color w:val="auto"/>
              </w:rPr>
            </w:pPr>
          </w:p>
        </w:tc>
        <w:tc>
          <w:tcPr>
            <w:tcW w:w="5420" w:type="dxa"/>
            <w:vAlign w:val="bottom"/>
            <w:gridSpan w:val="1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Principal Accountant Fees and Services</w:t>
              </w:r>
            </w:hyperlink>
          </w:p>
        </w:tc>
        <w:tc>
          <w:tcPr>
            <w:tcW w:w="3700" w:type="dxa"/>
            <w:vAlign w:val="bottom"/>
            <w:gridSpan w:val="5"/>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07">
              <w:r>
                <w:rPr>
                  <w:rFonts w:ascii="Arial" w:cs="Arial" w:eastAsia="Arial" w:hAnsi="Arial"/>
                  <w:sz w:val="18"/>
                  <w:szCs w:val="18"/>
                  <w:color w:val="0000FF"/>
                  <w:w w:val="86"/>
                </w:rPr>
                <w:t>106</w:t>
              </w:r>
            </w:hyperlink>
          </w:p>
        </w:tc>
      </w:tr>
      <w:tr>
        <w:trPr>
          <w:trHeight w:val="249"/>
        </w:trPr>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2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r>
      <w:tr>
        <w:trPr>
          <w:trHeight w:val="190"/>
        </w:trPr>
        <w:tc>
          <w:tcPr>
            <w:tcW w:w="540" w:type="dxa"/>
            <w:vAlign w:val="bottom"/>
            <w:gridSpan w:val="2"/>
          </w:tcPr>
          <w:p>
            <w:pPr>
              <w:spacing w:after="0" w:line="190" w:lineRule="exact"/>
              <w:rPr>
                <w:rFonts w:ascii="Arial" w:cs="Arial" w:eastAsia="Arial" w:hAnsi="Arial"/>
                <w:sz w:val="18"/>
                <w:szCs w:val="18"/>
                <w:color w:val="0000FF"/>
                <w:w w:val="83"/>
              </w:rPr>
            </w:pPr>
            <w:hyperlink w:anchor="page108">
              <w:r>
                <w:rPr>
                  <w:rFonts w:ascii="Arial" w:cs="Arial" w:eastAsia="Arial" w:hAnsi="Arial"/>
                  <w:sz w:val="18"/>
                  <w:szCs w:val="18"/>
                  <w:color w:val="0000FF"/>
                  <w:w w:val="83"/>
                </w:rPr>
                <w:t>Item 15</w:t>
              </w:r>
            </w:hyperlink>
          </w:p>
        </w:tc>
        <w:tc>
          <w:tcPr>
            <w:tcW w:w="680" w:type="dxa"/>
            <w:vAlign w:val="bottom"/>
            <w:gridSpan w:val="4"/>
          </w:tcPr>
          <w:p>
            <w:pPr>
              <w:spacing w:after="0"/>
              <w:rPr>
                <w:sz w:val="16"/>
                <w:szCs w:val="16"/>
                <w:color w:val="auto"/>
              </w:rPr>
            </w:pPr>
          </w:p>
        </w:tc>
        <w:tc>
          <w:tcPr>
            <w:tcW w:w="9120" w:type="dxa"/>
            <w:vAlign w:val="bottom"/>
            <w:gridSpan w:val="20"/>
          </w:tcPr>
          <w:p>
            <w:pPr>
              <w:spacing w:after="0" w:line="190" w:lineRule="exact"/>
              <w:rPr>
                <w:rFonts w:ascii="Arial" w:cs="Arial" w:eastAsia="Arial" w:hAnsi="Arial"/>
                <w:sz w:val="18"/>
                <w:szCs w:val="18"/>
                <w:color w:val="0000FF"/>
              </w:rPr>
            </w:pPr>
            <w:hyperlink w:anchor="page108">
              <w:r>
                <w:rPr>
                  <w:rFonts w:ascii="Arial" w:cs="Arial" w:eastAsia="Arial" w:hAnsi="Arial"/>
                  <w:sz w:val="18"/>
                  <w:szCs w:val="18"/>
                  <w:color w:val="0000FF"/>
                </w:rPr>
                <w:t>Exhibits and Financial Statement Schedules</w:t>
              </w:r>
            </w:hyperlink>
          </w:p>
        </w:tc>
        <w:tc>
          <w:tcPr>
            <w:tcW w:w="840" w:type="dxa"/>
            <w:vAlign w:val="bottom"/>
            <w:gridSpan w:val="4"/>
          </w:tcPr>
          <w:p>
            <w:pPr>
              <w:jc w:val="center"/>
              <w:spacing w:after="0" w:line="190" w:lineRule="exact"/>
              <w:rPr>
                <w:rFonts w:ascii="Arial" w:cs="Arial" w:eastAsia="Arial" w:hAnsi="Arial"/>
                <w:sz w:val="18"/>
                <w:szCs w:val="18"/>
                <w:color w:val="0000FF"/>
                <w:w w:val="86"/>
              </w:rPr>
            </w:pPr>
            <w:hyperlink w:anchor="page108">
              <w:r>
                <w:rPr>
                  <w:rFonts w:ascii="Arial" w:cs="Arial" w:eastAsia="Arial" w:hAnsi="Arial"/>
                  <w:sz w:val="18"/>
                  <w:szCs w:val="18"/>
                  <w:color w:val="0000FF"/>
                  <w:w w:val="86"/>
                </w:rPr>
                <w:t>107</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83"/>
              </w:rPr>
            </w:pPr>
            <w:hyperlink w:anchor="page110">
              <w:r>
                <w:rPr>
                  <w:rFonts w:ascii="Arial" w:cs="Arial" w:eastAsia="Arial" w:hAnsi="Arial"/>
                  <w:sz w:val="18"/>
                  <w:szCs w:val="18"/>
                  <w:color w:val="0000FF"/>
                  <w:w w:val="83"/>
                </w:rPr>
                <w:t>Item 16</w:t>
              </w:r>
            </w:hyperlink>
          </w:p>
        </w:tc>
        <w:tc>
          <w:tcPr>
            <w:tcW w:w="680" w:type="dxa"/>
            <w:vAlign w:val="bottom"/>
            <w:gridSpan w:val="4"/>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Form 10-K Summary</w:t>
              </w:r>
            </w:hyperlink>
          </w:p>
        </w:tc>
        <w:tc>
          <w:tcPr>
            <w:tcW w:w="1600" w:type="dxa"/>
            <w:vAlign w:val="bottom"/>
            <w:gridSpan w:val="5"/>
          </w:tcPr>
          <w:p>
            <w:pPr>
              <w:spacing w:after="0"/>
              <w:rPr>
                <w:sz w:val="18"/>
                <w:szCs w:val="18"/>
                <w:color w:val="auto"/>
              </w:rPr>
            </w:pPr>
          </w:p>
        </w:tc>
        <w:tc>
          <w:tcPr>
            <w:tcW w:w="5960" w:type="dxa"/>
            <w:vAlign w:val="bottom"/>
            <w:gridSpan w:val="10"/>
          </w:tcPr>
          <w:p>
            <w:pPr>
              <w:spacing w:after="0"/>
              <w:rPr>
                <w:sz w:val="18"/>
                <w:szCs w:val="18"/>
                <w:color w:val="auto"/>
              </w:rPr>
            </w:pPr>
          </w:p>
        </w:tc>
        <w:tc>
          <w:tcPr>
            <w:tcW w:w="840" w:type="dxa"/>
            <w:vAlign w:val="bottom"/>
            <w:gridSpan w:val="4"/>
          </w:tcPr>
          <w:p>
            <w:pPr>
              <w:jc w:val="center"/>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109</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533"/>
        </w:trPr>
        <w:tc>
          <w:tcPr>
            <w:tcW w:w="1100" w:type="dxa"/>
            <w:vAlign w:val="bottom"/>
            <w:gridSpan w:val="5"/>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SIGNATURES</w:t>
              </w:r>
            </w:hyperlink>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gridSpan w:val="3"/>
          </w:tcPr>
          <w:p>
            <w:pPr>
              <w:jc w:val="center"/>
              <w:ind w:left="170"/>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110</w:t>
              </w:r>
            </w:hyperlink>
          </w:p>
        </w:tc>
        <w:tc>
          <w:tcPr>
            <w:tcW w:w="3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199390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spacing w:after="0" w:line="184" w:lineRule="exact"/>
        <w:rPr>
          <w:sz w:val="20"/>
          <w:szCs w:val="20"/>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70"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9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Prolonged inflation and supply chain disruptions could result in delayed product launches, lost revenue, higher costs and decreased profit margins;</w:t>
      </w:r>
    </w:p>
    <w:p>
      <w:pPr>
        <w:spacing w:after="0" w:line="213" w:lineRule="exact"/>
        <w:rPr>
          <w:rFonts w:ascii="Arial" w:cs="Arial" w:eastAsia="Arial" w:hAnsi="Arial"/>
          <w:sz w:val="19"/>
          <w:szCs w:val="19"/>
          <w:color w:val="auto"/>
        </w:rPr>
      </w:pPr>
    </w:p>
    <w:p>
      <w:pPr>
        <w:jc w:val="both"/>
        <w:ind w:left="660" w:hanging="328"/>
        <w:spacing w:after="0" w:line="248"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81" w:lineRule="exact"/>
        <w:rPr>
          <w:rFonts w:ascii="Arial" w:cs="Arial" w:eastAsia="Arial" w:hAnsi="Arial"/>
          <w:sz w:val="18"/>
          <w:szCs w:val="18"/>
          <w:b w:val="1"/>
          <w:bCs w:val="1"/>
          <w:i w:val="1"/>
          <w:iCs w:val="1"/>
          <w:color w:val="auto"/>
        </w:rPr>
      </w:pPr>
    </w:p>
    <w:p>
      <w:pPr>
        <w:ind w:left="66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46"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81"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70"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7" w:lineRule="exact"/>
        <w:rPr>
          <w:rFonts w:ascii="Arial" w:cs="Arial" w:eastAsia="Arial" w:hAnsi="Arial"/>
          <w:sz w:val="18"/>
          <w:szCs w:val="18"/>
          <w:color w:val="auto"/>
        </w:rPr>
      </w:pPr>
    </w:p>
    <w:p>
      <w:pPr>
        <w:jc w:val="both"/>
        <w:ind w:left="6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70"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7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Our business could suffer if we lose the services of key members of our senior management, key advisors or personnel;</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ind w:left="660" w:hanging="328"/>
        <w:spacing w:after="0" w:line="261"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If use of our products results in adverse events, this may require them to be taken off the market, require them to include safety warnings or otherwise limit their sales;</w:t>
      </w:r>
    </w:p>
    <w:p>
      <w:pPr>
        <w:spacing w:after="0" w:line="17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Various factors outside our direct control may adversely affect manufacturing, sterilization, and distribution of our products;</w:t>
      </w:r>
    </w:p>
    <w:p>
      <w:pPr>
        <w:spacing w:after="0" w:line="211"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1"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1"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0" w:lineRule="exact"/>
        <w:rPr>
          <w:sz w:val="20"/>
          <w:szCs w:val="20"/>
          <w:color w:val="auto"/>
        </w:rPr>
      </w:pPr>
    </w:p>
    <w:p>
      <w:pPr>
        <w:jc w:val="both"/>
        <w:ind w:firstLine="405"/>
        <w:spacing w:after="0" w:line="230"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203" w:lineRule="exact"/>
        <w:rPr>
          <w:sz w:val="20"/>
          <w:szCs w:val="20"/>
          <w:color w:val="auto"/>
        </w:rPr>
      </w:pPr>
    </w:p>
    <w:p>
      <w:pPr>
        <w:jc w:val="both"/>
        <w:ind w:left="660" w:hanging="328"/>
        <w:spacing w:after="0" w:line="30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our products, the ability and desire of patients and physicians to undergo and perform such procedures, the duration and any potential resurgence of the COVID-19 pandemic, and whether the COVID-19 pandemic will recur in the future;</w:t>
      </w:r>
    </w:p>
    <w:p>
      <w:pPr>
        <w:spacing w:after="0" w:line="15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the COVID-19 pandemic has on the global supply chain and our third-party manufacturers and suppliers, which could adversely impact the availability or cost of materials, which could disrupt our supply chain related to implants and instruments.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employees, including those with specialized skills and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We are a medical device company dedicated to solving musculoskeletal disorders of the sacropelvic anatomy. We have pioneered a proprietary minimally invasive surgical system with a family of implants, which we call iFuse, to address sacroiliac joint dysfunction and degeneration, adult deformity, pelvic ring traumatic fractures. Since we introduced our first generation iFuse implant in 2009, as of December 31, 2021, approximately 65,000 procedures have been performed of which over 18% were performed in 2021 by over 2,600 surgeons in the United States and more than 36 other countries.</w:t>
      </w:r>
    </w:p>
    <w:p>
      <w:pPr>
        <w:spacing w:after="0" w:line="17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in which an implant is used and a multi-billion dollar market exists. We believe that the iFuse Implant System is currently the market leading surgical system used in minimally invasive fusions of the sacroiliac joint in the United States.</w:t>
      </w:r>
    </w:p>
    <w:p>
      <w:pPr>
        <w:spacing w:after="0" w:line="17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iFuse Implant System includes a series of patented titanium implants and the instruments we have developed to enable surgeons to perform procedures using different surgical approaches for different indications.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 in the Bedrock technique.</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first-generation iFuse implant has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The iFuse implant has at least three times the strength of a typical eight-millimeter cannulated surgical screw, and the large porous surface area of our implants allows for bony ingrowth. We hold issued patents on implants with cross-sections of many non-round shapes, including the triangular shape of our first generation iFuse implant. We also hold issued patents for the method of placing those implants across the sacroiliac joint, as well as other parts of the spine and pelvis.</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iFuse-3D, our second-generation implant, in 2017. This patented titanium implant combines the triangular cross-section of the iFuse Classic implant with the proprietary 3D-printed porous surface and a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17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iFuse for this indication and surgical technique in Europe in December 2019. In March 2020, we received FDA 510(k) clearance for an expanded indication for our triangular iFuse implants to support our trauma program. In January 2021, we received CE marking for a similarly expanded indication for use to support our trauma program in Europe.</w:t>
      </w:r>
    </w:p>
    <w:p>
      <w:pPr>
        <w:spacing w:after="0" w:line="12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In February 2021, we received clearance from the FDA for iFuse-TORQ, a set of 3D-printed threaded implants designed to treat fractures of the pelvis and for minimally invasive sacroiliac joint fusion. We believe there were previously unmet clinical needs in the treatment of pelvic ring fractures and chronic sacroiliac joint pain associated with pelvic ring trauma. iFuse-TORQ also provides an opportunity for us to expand our share in the minimally invasive sacroiliac joint fusion market by offering a device which is threaded, rather than impacted, into the pelvis, addressing a preference of some surgeons in this segment.</w:t>
      </w:r>
    </w:p>
    <w:p>
      <w:pPr>
        <w:spacing w:after="0" w:line="1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We market our products primarily with a direct sales force as well as a number of distributors in the United States, and with a combination of a direct sales force and distributors in other countries. We generate substantially all of our revenues from the sale of iFuse implants.</w:t>
      </w:r>
    </w:p>
    <w:p>
      <w:pPr>
        <w:spacing w:after="0" w:line="14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2021 and 2020, we generated revenue of $90.2 million and $73.4 million, respectively, representing a growth rate of 23% from 2020 to 2021, and incurred net losses of $56.6 million and $43.7 million, respectively. Our gross margins were 88% for 2021 and 2020.</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 w:name="page7"/>
    <w:bookmarkEnd w:id="6"/>
    <w:p>
      <w:pPr>
        <w:jc w:val="both"/>
        <w:ind w:firstLine="405"/>
        <w:spacing w:after="0" w:line="248" w:lineRule="auto"/>
        <w:rPr>
          <w:sz w:val="20"/>
          <w:szCs w:val="20"/>
          <w:color w:val="auto"/>
        </w:rPr>
      </w:pPr>
      <w:r>
        <w:rPr>
          <w:rFonts w:ascii="Arial" w:cs="Arial" w:eastAsia="Arial" w:hAnsi="Arial"/>
          <w:sz w:val="18"/>
          <w:szCs w:val="18"/>
          <w:color w:val="auto"/>
        </w:rPr>
        <w:t>In October 2018, we completed our initial public offering (“IPO”) with net proceeds to us of $113.4 million. In January and February 2020, we received a total of $63.0 million of net proceeds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Over 30 million American adults are estimated to have chronic lower back pain. Our experience in both clinical trials and commercial settings indicates that at least 30% of patients whose chronic lower back pain stems from the sacroiliac joint may be candidates for surgical treatment with our implants. Based on our market experience and internal estimates, and the assumption that the average person suffering from sacroiliac joint dysfunction has been in pain for five years, we estimate that the potential market for sacroiliac joint fusion in the United States could be 279,000 patients annually, for a potential annual market in the United States of approximately $2.5 billion.</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that approximately 65% of people who suffer from sacroiliac pain are women. Sacroiliac joint patients may have experienced one or more of the following events that have contributed to disruption and/or degeneration of the sacroiliac joint: pregnancy, falls, previous lumbar surgery, automobile accidents, and aging, which may cause degeneration of the cushioning in the joint much like other joints.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FDA clearance to promote the use of our triangular iFuse implant for fusion of the sacroiliac joint in conjunction with multi-level spinal fusion procedures to provide further stabilization and immobilization of the sacroiliac joint. Based on the number of long level spinal constructs requiring spinopelvic fixation, we estimate the addressable market opportunity to be approximate $200 million annually.</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have FDA clearance for expanded indications for the use of our triangular iFuse implant in the treatment of pelvic trauma, including for stabilization of the sacroiliac joint in conjunction with the treatment of fractures involving the sacroiliac joint. In 2021, we introduced our iFuse-TORQ implant, which is specifically targeted for the pelvic trauma market which we estimate to be an approximately $350 million market opportunity.</w:t>
      </w:r>
    </w:p>
    <w:p>
      <w:pPr>
        <w:spacing w:after="0" w:line="16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continue to invest in the development of products and techniques to help surgeons improve the treatment of these patients, and anticipate continuing to build products and pursue additional indications.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the introduction of our implants to the market in 2009, the number of procedures performed globally increased to approximately 65,000 from 53,000 as of December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16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procedure and triangular iFuse implants, we believe that more accurate diagnosis is part of the reason for the high success and patient satisfaction rates of our procedure.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2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Patients with sacroiliac joint dysfunction frequently experience significant pain simply from sitting, standing, or rolling over in bed. These activities result in small movements of the sacroiliac joints and pressure transferred across the joints. The pain can be exacerbated with activity - when a patient walks or runs, for example, the shock from each step is transmitted up the leg, through the iliac bones of the pelvis to the sacroiliac joint. The initial goal in fusion of the sacroiliac joint is to immediately stabilize the joint which rapidly reduces the pain. Following initial stabilization of the sacroiliac joint, the goal is to permanently fuse the joint. We believe our proprietary triangular implants stabilize the joint better and more quickly than competing technologies.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Due to its infrequent use and invasive nature, resulting in post-operative pain and lengthy recovery, the open sacroiliac joint fusion procedure was rarely taught in medical school or residency programs. Prior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our randomized controlled clinical trials. Non-surgical treatments include:</w:t>
      </w:r>
    </w:p>
    <w:p>
      <w:pPr>
        <w:spacing w:after="0" w:line="19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therapy, including opiates and non-steroidal anti-inflammatory medications.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Physical therapy, which can involve exercises as well as massage.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Intra-articular injections of steroid medications, which are typically performed by physicians who specialize in pain treatment or anesthesia.</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Radiofrequency ablation, or the cauterizing, of the lateral branches of the sacral nerve roots.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 The iFuse Implant System</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iFuse Implant System, which includes implants and instruments, is used with different surgical approaches for different indications. The iFuse system is designed to address the shortcomings of alternative treatments, including open surgery, non-surgical management, traditional screw-based and other minimally invasive stabilization and fusion procedures. Our implants are made of titanium and have a porous surface.</w:t>
      </w:r>
    </w:p>
    <w:p>
      <w:pPr>
        <w:spacing w:after="0" w:line="16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first-generation iFuse product is a triangular implant that is at least three times the strength of a typical eight-millimeter surgical screw, and the large porous surface area allows adherence of the bone to the implants. Three implants are typically used in each procedure. We introduced the original iFuse implants in 2009, and our second-generation iFuse-3D implants in 2017.</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prevents them from rotating. Our triangular iFuse implants cross the sacroiliac joint and provide immediate joint stability, which is why we believe pain diminishes soon after the iFuse procedure. Over time, bone grows onto, and in the case of iFuse-3D into, the implants and across the joint, permanently stabilizing or fusing the joint.</w:t>
      </w:r>
    </w:p>
    <w:p>
      <w:pPr>
        <w:spacing w:after="0" w:line="19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By contrast, open and other techniques for sacroiliac joint fusion typically use screws, plates and/or bone graft for fixation. When placed across the sacroiliac joint, standard orthopedic screws, which lack features to encourage biologic fixation, tend to rotate and loosen over time. Because of the triangular shape, porous surface, strength, and other differentiating factors of our triangular iFuse implants, we believe that our published clinical data do not apply to other minimally invasive solutions. Little published evidence of safety, clinical effectiveness, durability, or economic utility currently exists for sacroiliac fusion devices other than our triangular iFuse implants.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our iFuse implants and other products, as well as the substantial published clinical evidence showing the safety and effectiveness, are the reason why a growing number of payors have recommended that our triangular iFuse implants be reimbursed for sacroiliac surgery to the exclusion of other technologies that are designed for the procedure.</w:t>
      </w:r>
    </w:p>
    <w:p>
      <w:pPr>
        <w:spacing w:after="0" w:line="18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Three implants are used in most lateral iFuse procedures. Each implant crosses the joint from the iliac bone into the sacrum. Placing each implant requires three or four basic steps:</w:t>
      </w:r>
    </w:p>
    <w:p>
      <w:pPr>
        <w:spacing w:after="0" w:line="166"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225" w:lineRule="exact"/>
        <w:rPr>
          <w:rFonts w:ascii="Arial" w:cs="Arial" w:eastAsia="Arial" w:hAnsi="Arial"/>
          <w:sz w:val="18"/>
          <w:szCs w:val="18"/>
          <w:color w:val="auto"/>
        </w:rPr>
      </w:pPr>
    </w:p>
    <w:p>
      <w:pPr>
        <w:ind w:left="820" w:right="20" w:hanging="326"/>
        <w:spacing w:after="0" w:line="282"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Drill or Tapping</w:t>
      </w:r>
      <w:r>
        <w:rPr>
          <w:rFonts w:ascii="Arial" w:cs="Arial" w:eastAsia="Arial" w:hAnsi="Arial"/>
          <w:sz w:val="18"/>
          <w:szCs w:val="18"/>
          <w:color w:val="auto"/>
        </w:rPr>
        <w:t>. Surgeons drill or tap (manually create a channel) over the guide pin, through the iliac bone, across the sacroiliac joint and just</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sacrum.</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left="820" w:right="20" w:hanging="326"/>
        <w:spacing w:after="0" w:line="282"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When triangular implants are used, the surgeon impacts a broach, or sharp cutting tool, over the pin which prepares a triangular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slightly smaller than the iFuse implant.</w:t>
      </w:r>
    </w:p>
    <w:p>
      <w:pPr>
        <w:spacing w:after="0" w:line="161" w:lineRule="exact"/>
        <w:rPr>
          <w:rFonts w:ascii="Arial" w:cs="Arial" w:eastAsia="Arial" w:hAnsi="Arial"/>
          <w:sz w:val="18"/>
          <w:szCs w:val="18"/>
          <w:color w:val="auto"/>
        </w:rPr>
      </w:pPr>
    </w:p>
    <w:p>
      <w:pPr>
        <w:jc w:val="both"/>
        <w:ind w:left="820" w:hanging="326"/>
        <w:spacing w:after="0" w:line="261"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Placement</w:t>
      </w:r>
      <w:r>
        <w:rPr>
          <w:rFonts w:ascii="Arial" w:cs="Arial" w:eastAsia="Arial" w:hAnsi="Arial"/>
          <w:sz w:val="18"/>
          <w:szCs w:val="18"/>
          <w:color w:val="auto"/>
        </w:rPr>
        <w:t>. In the case of triangular iFuse implants, the surgeon impacts the implant into the triangular channel across the sacroiliac joint,</w:t>
      </w:r>
      <w:r>
        <w:rPr>
          <w:rFonts w:ascii="Arial" w:cs="Arial" w:eastAsia="Arial" w:hAnsi="Arial"/>
          <w:sz w:val="18"/>
          <w:szCs w:val="18"/>
          <w:b w:val="1"/>
          <w:bCs w:val="1"/>
          <w:color w:val="auto"/>
        </w:rPr>
        <w:t xml:space="preserve"> </w:t>
      </w:r>
      <w:r>
        <w:rPr>
          <w:rFonts w:ascii="Arial" w:cs="Arial" w:eastAsia="Arial" w:hAnsi="Arial"/>
          <w:sz w:val="18"/>
          <w:szCs w:val="18"/>
          <w:color w:val="auto"/>
        </w:rPr>
        <w:t>docking the implant in the sacrum. The channel is slightly smaller than the implant, which produces an interference fit. In the case of iFuse-TORQ, the surgeon threads the implant into the patients ilium, across the sacroilac joint and into the sacrum, providing fixation to the bone on either side of the joint.</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in many orthopedic procedures, a member of our team is normally present in the operating suite during surgery to provide technical assistance for the use of iFuse.</w:t>
      </w:r>
    </w:p>
    <w:p>
      <w:pPr>
        <w:spacing w:after="0" w:line="18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offer three custom instrument sets for surgical placement of our triangular iFuse implants in the body. The standard set comprises largely stainless steel materials; the XL (Extra Long) set is the same as the standard set but most instruments are elongated by three inches for treatment of larger patients; and the radiolucent set comprises instruments made with more radiolucent (transparent to X-rays) materials, such as PEEK and aluminum, to improve visualization under fluoroscopy during an iFuse procedure. The iFuse-TORQ system includes its own set of instruments designed for the threaded implants.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our iFuse platform technologies, we also provide enabling technologies for our surgeons. We introduced an instrument set that is cleared for use with Medtronic’s surgical navigation system, allowing the surgeon to visualize the 3D positioning of certain instruments and implants intra-operatively. In March 2018, we introduced surgical pins cleared for use with the Medtronic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April 2019, we received clearance from the United States Food and Drug Administration, or FDA, to promote the use of our triangular iFuse implants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triangular iFuse implants for this indication and surgical technique in Europe in December 2019.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in which three iFuse implants are placed across one sacroiliac joint via a lateral transarticular approach through the ilium and into the sacrum. The Bedrock technique is performed to increase the overall strength and stability at the base of a long construct for multilevel spinal fusion. Biomechanical testing has shown that iFuse implants placed in this position reduce sacroiliac joint motion by approximately 30% in conjunction with a long construct. 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March 2020, we received FDA 510(k) clearance for an expanded indication for our triangular iFuse implants to support our trauma program. In-early 2021, we introduced iFuse-TORQ in early 2021. Surgeons who prefer to use a screw technique to stabilize the sacroiliac joint can use our iFuse-TORQ, which includes options for implants with lags and washers for improved compression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w:t>
      </w:r>
    </w:p>
    <w:p>
      <w:pPr>
        <w:spacing w:after="0" w:line="1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safety, effectiveness and cost-effectiveness of our triangular iFuse implants are supported by more than 100 publications and several large prospective clinical studies, including two randomized trials, two large prospective multicenter trials and one long-term follow-up study. Additional long-term independent studies have reported follow-up data as far out as six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INSITE</w:t>
      </w:r>
    </w:p>
    <w:p>
      <w:pPr>
        <w:spacing w:after="0" w:line="15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7"/>
          <w:szCs w:val="17"/>
          <w:color w:val="auto"/>
        </w:rPr>
        <w:t xml:space="preserve">INSITE is a prospective randomized controlled trial conducted in the US. 148 patients with chronic SI joint pain were randomly assigned to immediate SI joint fusion using iFuse implants or individually tailored non-surgical management. In the SI joint fusion group, large improvements were seen in pain, disability related to pain and quality of life. In contrast, in the control group, only small, clinically unimportant improvements in these parameters were observed. Moreover, after six months, more than 90% of subjects still participating in the non-surgical group decided to cross over to SI joint fusion surgery, indicating that non-surgical treatment provided ineffective relief of pain and disability related to pain. Two-year follow-up, published in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August 2016, showed sustained improvements in pain, disability and quality of life in the surgery group, with high levels of satisfaction. An embedded cost-effectiveness analysis within INSITE, </w:t>
      </w:r>
      <w:r>
        <w:rPr>
          <w:rFonts w:ascii="Arial" w:cs="Arial" w:eastAsia="Arial" w:hAnsi="Arial"/>
          <w:sz w:val="17"/>
          <w:szCs w:val="17"/>
          <w:i w:val="1"/>
          <w:iCs w:val="1"/>
          <w:color w:val="auto"/>
        </w:rPr>
        <w:t>Clinicoeconomics and Outcomes Research</w:t>
      </w:r>
      <w:r>
        <w:rPr>
          <w:rFonts w:ascii="Arial" w:cs="Arial" w:eastAsia="Arial" w:hAnsi="Arial"/>
          <w:sz w:val="17"/>
          <w:szCs w:val="17"/>
          <w:color w:val="auto"/>
        </w:rPr>
        <w:t xml:space="preserve"> in December 2015, showed the procedure to be highly cost-effective for the treatment of chronic SI joint pain.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iMIA</w:t>
      </w:r>
    </w:p>
    <w:p>
      <w:pPr>
        <w:spacing w:after="0" w:line="212"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 xml:space="preserve">iMIA iFuse Implant System Minimally Invasive Arthrodesis (“iMIA”) is a second prospective, randomized controlled trial of sacroiliac joint fusion using iFuse compared to non-surgical management with a design very similar to that of INSITE. iMIA was conducted at nine centers in Europe. Results, published in </w:t>
      </w:r>
      <w:r>
        <w:rPr>
          <w:rFonts w:ascii="Arial" w:cs="Arial" w:eastAsia="Arial" w:hAnsi="Arial"/>
          <w:sz w:val="18"/>
          <w:szCs w:val="18"/>
          <w:i w:val="1"/>
          <w:iCs w:val="1"/>
          <w:color w:val="auto"/>
        </w:rPr>
        <w:t>Journal of Bone and Joint Surgery</w:t>
      </w:r>
      <w:r>
        <w:rPr>
          <w:rFonts w:ascii="Arial" w:cs="Arial" w:eastAsia="Arial" w:hAnsi="Arial"/>
          <w:sz w:val="18"/>
          <w:szCs w:val="18"/>
          <w:color w:val="auto"/>
        </w:rPr>
        <w:t xml:space="preserve"> in March 2019, were very similar to INSITE, with large, clinically important and statistically significant improvements in the SI joint fusion group and very few, clinically unimportant changes in the non-surgical control group. Improvements in the surgery group were sustained at 24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SIFI</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Sacroiliac Joint Fusion with iFuse Implant System (“SIFI”), is a prospective, multicenter single-arm clinical trial conducted at 26 centers in the US. Eligibility criteria and endpoints were identical to INSITE. Results from SIFI, published in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in April 2016, showed marked, immediate and sustained improvements in pain, disability and quality of life similar to the above two studies. Like the other studies, improvements were sustained at 24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21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 xml:space="preserve">Subjects participating in INSITE and SIFI were enrolled in a long-term follow-up study ("LOIS"). Five-year results, published in </w:t>
      </w:r>
      <w:r>
        <w:rPr>
          <w:rFonts w:ascii="Arial" w:cs="Arial" w:eastAsia="Arial" w:hAnsi="Arial"/>
          <w:sz w:val="16"/>
          <w:szCs w:val="16"/>
          <w:i w:val="1"/>
          <w:iCs w:val="1"/>
          <w:color w:val="auto"/>
        </w:rPr>
        <w:t>Medical Devices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Evidence and Research </w:t>
      </w:r>
      <w:r>
        <w:rPr>
          <w:rFonts w:ascii="Arial" w:cs="Arial" w:eastAsia="Arial" w:hAnsi="Arial"/>
          <w:sz w:val="16"/>
          <w:szCs w:val="16"/>
          <w:color w:val="auto"/>
        </w:rPr>
        <w:t>in April 2018, showed sustained improvements in pain, disability and quality of life as well as a high satisfaction rate. Moreover,</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radiographic analysis showed a high rate of bony apposition to implants on both the sacral and iliac sides (98%) as well as a high rate of SI joint fusion (88% bridging bone) at five years. There were no reported adverse events related to the study device or procedure at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SALLY Clinical Trial</w:t>
      </w:r>
    </w:p>
    <w:p>
      <w:pPr>
        <w:spacing w:after="0" w:line="21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 xml:space="preserve">Study of Bone Growth in the Sacroiliac Joint After Minimally Invasive Surgery with Titanium Implants (“SALLY”) is another prospective single-arm clinical study of the same patient population (chronic SI joint pain) who underwent SI joint fusion using iFuse-3D. Two-year results, published in </w:t>
      </w:r>
      <w:r>
        <w:rPr>
          <w:rFonts w:ascii="Arial" w:cs="Arial" w:eastAsia="Arial" w:hAnsi="Arial"/>
          <w:sz w:val="16"/>
          <w:szCs w:val="16"/>
          <w:i w:val="1"/>
          <w:iCs w:val="1"/>
          <w:color w:val="auto"/>
        </w:rPr>
        <w:t>Medical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Devices Evidence and Research </w:t>
      </w:r>
      <w:r>
        <w:rPr>
          <w:rFonts w:ascii="Arial" w:cs="Arial" w:eastAsia="Arial" w:hAnsi="Arial"/>
          <w:sz w:val="16"/>
          <w:szCs w:val="16"/>
          <w:color w:val="auto"/>
        </w:rPr>
        <w:t>in June 2021, showed similar improvements in pain, disability and quality of life compared to prior studies of iFuse-3D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CT evidence of earlier fusion of the SI joint. The study also showed marked reduction in opioid use and improvement in objective functional tests.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SILVIA Clinical Trial</w:t>
      </w:r>
    </w:p>
    <w:p>
      <w:pPr>
        <w:spacing w:after="0" w:line="225"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We are currently enrolling subjects in SI Joint Stabilization in Long Fusion to the Pelvis: Randomized Controlled Trial ("SILVIA"). SILVIA is an ongoing prospective randomized trial of iFuse-3D placement during multilevel spine fusion with fixation to the pelvis. This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sacroalar-iliac trajectory (termed “Bedrock”). The goal of this study is to show that placement of iFuse-3D in the Bedrock configuration reduces the rate of postoperative SI joint pain and improves the longevity of pelvic fixation hardware, failures of which are fairly common. Follow-up results from the SILVIA trial have not been fully collected or published as of the date of this report.</w:t>
      </w:r>
    </w:p>
    <w:p>
      <w:pPr>
        <w:spacing w:after="0" w:line="208"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Much of our clinical data, including INSITE, iMIA, SIFI and LOIS were developed using our first-generation iFuse implants. However, due to the consistent shape, implantation and method of action, as well as the consistent results observed in SALLY, we believe that the results observed in the prior studies can be generalized to include iFuse-3D, but cannot be generalized to include other minimally invasive sacroiliac joint fusion products, including screws, plants and implantable structural allograft products.</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Other Published Clinical Studies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date, several independent clinical studies have provided evidence to support the long-term safety and effectiveness of iFuse for SI joint fusion. These studies demonstrated pain reduction and/or ODI improvement that is statistically significant and clinically important and a safety profile that was similar to that observed in prospective studies. One study showed marked reduction in opioid use after SI joint fusion compared to similar subjects who underwent non-surgical treatment, and in whom opioid use increased.</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Coverage and Reimbursement</w:t>
      </w:r>
    </w:p>
    <w:p>
      <w:pPr>
        <w:spacing w:after="0" w:line="200" w:lineRule="exact"/>
        <w:rPr>
          <w:sz w:val="20"/>
          <w:szCs w:val="20"/>
          <w:color w:val="auto"/>
        </w:rPr>
      </w:pPr>
    </w:p>
    <w:p>
      <w:pPr>
        <w:spacing w:after="0" w:line="25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6"/>
          <w:szCs w:val="16"/>
          <w:color w:val="auto"/>
        </w:rPr>
        <w:t>Coverage and reimbursement for procedures using iFuse vary by setting of care, payor type and region. In the United States, healthcare providers that purchase iFuse products look to various third-party payors, such as Medicare, Medicaid, private commercial insurance companies, health maintenance organizations, accountable care organizations, and other healthcare-related organizations, to cover and pay for all or part of the costs of these procedures. Outside the United States, reimbursement levels vary significantly by country and by region within some countries. Reimbursement is obtained from a variety of sources, including government-sponsored and private health insurance plans, and combinations of both. Sales volumes and prices of company products will continue to depend in large part on the availability of coverage and reimbursement from such third-party payors for both the surgeon's professional fee and the facility fee which covers, among other things, the cost of implants used in iFuse procedures.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20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No uniform policy of coverage and reimbursement for medical device products and services exists among third-party payors in the United States. Therefore, coverage and reimbursement for medical device products and services can differ significantly from payor to payor. In addition, payors continually review new technologies for possible coverage and can, without notice, deny coverage for these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8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sometimes revise the methodologies used to determine reimbursement amounts. This includes annual updates to payments to physicians, hospitals, and ambulatory surgical centers for procedures during which our products are used. Even if favorable coverage and reimbursement status is attained for iFuse procedures, less favorable coverage policies and reimbursement rates may be implemented in the future.</w:t>
      </w:r>
    </w:p>
    <w:p>
      <w:pPr>
        <w:spacing w:after="0" w:line="171" w:lineRule="exact"/>
        <w:rPr>
          <w:sz w:val="20"/>
          <w:szCs w:val="20"/>
          <w:color w:val="auto"/>
        </w:rPr>
      </w:pPr>
    </w:p>
    <w:p>
      <w:pPr>
        <w:jc w:val="both"/>
        <w:ind w:firstLine="405"/>
        <w:spacing w:after="0" w:line="307" w:lineRule="auto"/>
        <w:rPr>
          <w:sz w:val="20"/>
          <w:szCs w:val="20"/>
          <w:color w:val="auto"/>
        </w:rPr>
      </w:pPr>
      <w:r>
        <w:rPr>
          <w:rFonts w:ascii="Arial" w:cs="Arial" w:eastAsia="Arial" w:hAnsi="Arial"/>
          <w:sz w:val="16"/>
          <w:szCs w:val="16"/>
          <w:color w:val="auto"/>
        </w:rPr>
        <w:t>There is near universal coverage of minimally invasive SI joint fusion with an estimate of over 300 million covered lives. Private payors representing more than approximately 160 million covered lives have adopted coverage policies exclusive to our triangular iFuse implants as of December 31, 2021.</w:t>
      </w:r>
    </w:p>
    <w:p>
      <w:pPr>
        <w:spacing w:after="0" w:line="16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it generally takes between six and 24 months for a surgeon to fully incorporate sacroiliac joint diagnosis and treatment into his or her practice after payors initiate coverage and the surgeon is trained.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medical affairs team provides high quality educational programs internally and externally. Internally, specialized medical knowledge, and practical experience with iFuse are used to help educate our sales, marketing, quality, reimbursement, clinical, regulatory, engineering, and product development teams. This same specialized medical knowledge and practical iFuse experience provides the foundation for a wide variety of educational programs provided to healthcare practitioners in various medical specialties, such as surgeons, pain management physicians, nurse practitioners/physician’s assistants and physical therapists, to help educate healthcare professionals about the sacroiliac joint as a component of lower back pain, proper diagnosis of SI joint dysfunction, non-surgical treatment options and surgical treatment with iFuse.</w:t>
      </w:r>
    </w:p>
    <w:p>
      <w:pPr>
        <w:spacing w:after="0" w:line="191"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Our surgeon training programs are for orthopedic spine surgeons, neurosurgeons, general orthopedic surgeons, and orthopedic trauma surgeons. As of December 31, 2021 and 2020, in the U.S., more than 1,800 surgeons and 1,600 surgeons, respectively, have been trained on our products and have treated at least one patient. Outside the U.S., as of December 31, 2021 and 2020, more than 700 surgeons and 600 surgeons, respectively, have been trained on iFuse and have treated at least one patient. We will continue to pursue the remainder of the approximately 7,500 target surgeons in the United States, as well as international surgeons for training in the future.</w:t>
      </w:r>
    </w:p>
    <w:p>
      <w:pPr>
        <w:spacing w:after="0" w:line="20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6"/>
          <w:szCs w:val="16"/>
          <w:color w:val="auto"/>
        </w:rPr>
        <w:t>The COVID-19 pandemic has challenged our traditional method of hands-on cadaveric and dry-lab training. In early 2020, the medical affairs team implemented a virtual education series for surgeons and mid-level practitioners. In July 2020, we began using the Si-BONE SImulator; an innovative, fully</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portable surgeon training simulator. This training platform allows us to train surgeons without need for an operating room or a fluoroscope. The computer-based surgeon training simulator provides quality haptics, or the realistic feel during the surgeon’s use of the instruments, and the training is performed</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without any radiation. One key advantage of this surgeon training simulator is that the surgeon can now be trained locally in their office or a hospital conference room in two to three hours, and the surgeon does not need to travel to a cadaver lab, which sometimes requires being away from their practice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for as much as a day and a half. The simulator uses the same instruments and implants as those that are used during surgery. The simulator is used to train surgeons to perform SI joint injections and iFuse sacroiliac joint fusions, as well as the iFuse Bedrock procedure. The simulators are deployed to cover all US regions and European subsidiaries and we currently have 24 simulators. We plan to expand the use of simulators for training purposes both in the United States and internationally. We will utilize the simulators and our existing programs to train new surgeons, increase the knowledge and proficiency of existing iFuse surgeons, and re-engage inactive surgeons.</w:t>
      </w:r>
    </w:p>
    <w:p>
      <w:pPr>
        <w:spacing w:after="0" w:line="1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conduct a large number of educational programs for the broader medical community including primary care physicians, pain management physicians and other healthcare practitioners that may manage a sacroiliac joint patient non-surgically, such as physical therapists and chiropractors. In addition to these general educational programs, we provide continuing education programs focused on SI joint diagnosis and treatment to physical therapists and case managers. We are able to provide these programs for both groups in all 50 states and the District of Columbia. We have trained over 7800 physical therapists through our continuing education program as of December 31, 2021. Case managers, who typically are nurses, work in facilities where the iFuse procedure is performed, such as hospitals, or for payors or health plans. Case managers help patients navigate the healthcare system so that they receive the most appropriate treatment. As of December 31, 2021, we have trained over 1300 case managers in the United States through our continuing education program. Our medical affairs team works with leading spine surgeons to educate other orthopedic and neurosurgeons on the differential diagnosis of sacroiliac joint disorders and the use of iFuse. We also work closely with medical specialty societies to raise the awareness of and teach the appropriate diagnosis of sacroiliac joint dysfunction and the associated treatment options.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market and sell our implants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direct sales organization in the United States covered sixteen sales regions as of December 31, 2021.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associate representatives who cover cases. As of December 31, 2021, our U.S. sales force consisted of 85 territory sales managers and 65 clinical specialists directly employed by us, and 59 third-party distributors. As of December 31, 2021, we had 40 employees working in our European operations, and have established operations in Italy (2010), Germany (2014), the United Kingdom (2015) and France (2019). As of December 31, 2021, our international sales force consisted of 20 sales representatives directly employed by us and 32 exclusive third-party distributors, which together had sales in 36 countries through December 31, 2021.</w:t>
      </w:r>
    </w:p>
    <w:p>
      <w:pPr>
        <w:spacing w:after="0" w:line="19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We have built a valuable sales team and have made it a top priority to support and retain our sales force through the COVID-19 pandemic. We limited new sales force hiring in the second and third quarter of 2020 due to uncertainty from the COVID-19 pandemic and focused on sales force productivity during this period, but resumed hiring of salespeople in the fourth quarter of 2020 and throughout 2021. Due to the COVID-19 pandemic, we focused on protecting key investments in our field force while curtailing most other areas of sales and marketing spend during the second and third quarters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As revenue growth returned to the levels that we were experiencing prior to the pandemic, we increased our sales and marketing expense accordingly in the third and fourth quarters of 2020 and into 2021.</w:t>
      </w:r>
    </w:p>
    <w:p>
      <w:pPr>
        <w:spacing w:after="0" w:line="16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intend to continue to grow our specialized sales force to foster relationships with surgeons and support revenue growth. Our territory sales managers are senior representatives who educate surgeons on the sacroiliac joint as a primary cause of lower back pain. The territory sales manager identifies new surgeons who are interested in learning more about the sacroiliac joint and the iFuse procedure and/or the Bedrock technique. They work closely with our medical affairs team to train surgeons on the anatomy, diagnosis, and surgical technique. Once trained, the sales representative works with the surgeon to incorporate into their practices the diagnosis of sacroiliac joint pain and the iFuse procedure to treat patients suffering from sacroiliac joint pain. Our clinical support specialists assist the territory sales managers to identify surgeons interested in training. The clinical support specialists also regularly cover cases, bringing our implants and instrument trays into the operating room for use by surgeons.</w:t>
      </w:r>
    </w:p>
    <w:p>
      <w:pPr>
        <w:spacing w:after="0" w:line="17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Over 30 million American adults are estimated to have chronic lower back pain. It is often difficult to identify the source of the pain and traditional methods of spine surgery do not have high success rates. We believe it is essential to raise awareness among lower back pain sufferers that their symptoms may be the result of sacroiliac joint disorders and that minimally invasive surgical treatments are available. We have implemented targeted marketing, education and direct outreach programs. We continually update our social media initiatives and post content to educate and engage patients who may be candidates for our procedures. We plan to make additional investments to further increase patient awareness, primarily through digital and broadcast marketing, including TV and radio ads, paid search, display advertising, social media and public relations.</w:t>
      </w:r>
    </w:p>
    <w:p>
      <w:pPr>
        <w:spacing w:after="0" w:line="1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We are committed to developing enhancements to iFuse to meet our customers’ changing needs and improve the surgery’s effectiveness. Our development team, in consultation with surgeons, has a pipeline of products in various stages to provide solutions that respond to the needs of our surgeon customers and their patients. We plan to seek regulatory clearances for additional indications as required.</w:t>
      </w:r>
    </w:p>
    <w:p>
      <w:pPr>
        <w:spacing w:after="0" w:line="192"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We continued our research and development activities during the COVID-19 pandemic. During 2020, timing of enrollment for clinical trials was impacted by reduced access to hospitals and clinical sites caused by the COVID-19 pandemic, but we believe enrollment is back on schedule. We anticipate that research and development expenses will continue to increase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ind w:firstLine="405"/>
        <w:spacing w:after="0" w:line="251" w:lineRule="auto"/>
        <w:rPr>
          <w:sz w:val="20"/>
          <w:szCs w:val="20"/>
          <w:color w:val="auto"/>
        </w:rPr>
      </w:pPr>
      <w:r>
        <w:rPr>
          <w:rFonts w:ascii="Arial" w:cs="Arial" w:eastAsia="Arial" w:hAnsi="Arial"/>
          <w:sz w:val="16"/>
          <w:szCs w:val="16"/>
          <w:color w:val="auto"/>
        </w:rPr>
        <w:t>We believe that we were the first company to develop, manufacture, and market a minimally invasive implant cleared by the FDA expressly for sacroiliac joint fusion other than a modified screw. Over the past several years, other companies have subsequently recognized the opportunity and have entered the minimally invasive sacroiliac joint fusion market.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Other competitors have entered the market with allograft bone implants intended for sacroiliac fusion and marketed as human tissue products. Many of these competitors are smaller companies and target interventional pain and other physicians not trained as orthopedic and neurological surgeons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 use of these products. We also expect there to be a continued push for non-surgical alternatives.</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United States, we believe that our primary competitors currently are Globus Medical, Inc. and Medtronic plc. Our primary competitors in Europe are Globus Medical and SIGNUS Medizintechnik GmbH. However, these competitors sell screw-based products, which we believe to be weaker and less able to resist rotation than our triangular iFuse implants. We also compete against non-hardware products, such as allograft bone implants. These allograft products comprise human cells or tissues and are generally regulated by the FDA differently from implantable medical devices made of metallic or other non-tissue based materials, unless these competitors' allograft products fail to meet the FDA's criteria for regulation as a human cell or tissue product.</w:t>
      </w:r>
    </w:p>
    <w:p>
      <w:pPr>
        <w:spacing w:after="0" w:line="19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Our triangular titanium implant is differentiated from other screw-based technologies on the market. Our triangular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published papers. We have received exclusive reimbursement coverage in the United States by certain payors based upon our differentiated product and quality of our evidence. We believe these factors provide competitive advantages to us in the market. The following are the primary competitive factors on which companies compete in our industry:</w:t>
      </w:r>
    </w:p>
    <w:p>
      <w:pPr>
        <w:spacing w:after="0" w:line="204"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December 31, 2021, we had been issued 44 issued U.S. patents and had 33 pending U.S. patents applications, and we owned 15 issued foreign patents and had nine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September 2035.</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both"/>
        <w:ind w:firstLine="405"/>
        <w:spacing w:after="0" w:line="277" w:lineRule="auto"/>
        <w:rPr>
          <w:sz w:val="20"/>
          <w:szCs w:val="20"/>
          <w:color w:val="auto"/>
        </w:rPr>
      </w:pPr>
      <w:r>
        <w:rPr>
          <w:rFonts w:ascii="Arial" w:cs="Arial" w:eastAsia="Arial" w:hAnsi="Arial"/>
          <w:sz w:val="18"/>
          <w:szCs w:val="18"/>
          <w:color w:val="auto"/>
        </w:rPr>
        <w:t>As of December 31, 2021, we have 15 registered trademarks in the United States and have filed for 12 more. We have sought protection for at least two of these trademarks in 60 countries including the 27 European member countries of the Madrid Protocol.</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FDA governs the following activities that we perform or that are performed on our behalf, to ensure that medical products distributed domestically or exported internationally are safe and effective for their intended uses:</w:t>
      </w:r>
    </w:p>
    <w:p>
      <w:pPr>
        <w:spacing w:after="0" w:line="202"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design, research, development, and manufacture;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marketing, promotion, advertising, sales, distribution, export, and import;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252"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28"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510(k) Clearance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By regulation, the FDA has 90 days from acceptance of the 510(k) submission for review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w:t>
      </w:r>
    </w:p>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Human Cell and Tissue Based Products</w:t>
      </w:r>
    </w:p>
    <w:p>
      <w:pPr>
        <w:spacing w:after="0" w:line="212"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6"/>
          <w:szCs w:val="16"/>
          <w:color w:val="auto"/>
        </w:rPr>
        <w:t>Our iFuse Bone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AATB has issued operating standards for tissue banking. Accreditation is voluntary, but compliance with these standards is a requirement to become an AATB-accredited tissue establishment. In addition, some states have their own tissue banking regulations. We are licensed or have permits for tissue banking in California, Florida, New York, Maryland, and other states that require specific licensing or registration.</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252"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indications;</w:t>
      </w:r>
    </w:p>
    <w:p>
      <w:pPr>
        <w:spacing w:after="0" w:line="128"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ind w:left="820" w:hanging="326"/>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292"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Materials - “Off-Label” Promotion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European Economic Area (“EEA”) our devices are currently required to comply with the Medical Device Regulation (Regulations 2017/745) in the EU Member States, Iceland, Lichtenstein and Norway. The Medical Device Regulation is, among other things, intended to establish a uniform, transparent, predictable and sustainable regulatory framework across the EEA for medical devices and ensure a high level of safety and health while supporting innovation. The Medical Device Regulation, among other things:</w:t>
      </w:r>
    </w:p>
    <w:p>
      <w:pPr>
        <w:spacing w:after="0" w:line="1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strengthens the rules on placing medical devices on the market and reinforce surveillance once they are available;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improves the traceability of medical devices throughout the supply chain to the end-user or patient through a unique identification number;</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sets up a central database to provide patients, healthcare professionals and the public with comprehensive information on products available in the European Union;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strengthens the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Medical Device Regulation substantially augments those aspects of the Medical Device Directive governing clinical investigations of medical devices.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exist to compensate clinical investigation participants who are harmed in that jurisdiction due to their participation.</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Further, the advertising and promotion of our products in the EEA is currently subject to the provisions of Directive 2006/114/EC concerning misleading and comparative advertising, Directive 2005/29/EC on unfair commercial practices, and the Medical Device Regulation,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augment immobilization and stabilization of the sacroiliac joint in skeletally mature patients undergoing sacropelvic fixation as part of a lumbar or thoracolumbar fusion; and acute, non-acute, and non-traumatic fractures involving the sacroiliac joint. In the future, we plan to pursue additional 510(k) clearances for new products and changes to the current indication for iFuse.</w:t>
      </w:r>
    </w:p>
    <w:p>
      <w:pPr>
        <w:spacing w:after="0" w:line="1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2021, we received 510(k) clearance to market our iFuse-TORQ from the FDA. In the United States, iFuse-TORQ is intended for fusion of the sacroiliac joint for sacroiliac joint dysfunction including sacroiliac joint disruption and degenerative sacroilitis; and for fracture fixation of small and large bones of the pelvis.</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2010, we obtained a CE Certificate of Conformity and affixed a CE mark to our iFuse Implant System to allow commercialization of our triangular iFuse implants in the EEA. In the EEA and Switzerland, iFuse is intended for sacroiliac joint fusion, including use in high and low energy fractures of the pelvic ring.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w:t>
      </w:r>
    </w:p>
    <w:p>
      <w:pPr>
        <w:spacing w:after="0" w:line="174"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As of May 26, 2021, the European Union no longer applies the Mutual Recognition Agreement between the EEA and Switzerland. Accordingly, manufacturers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w:t>
      </w:r>
    </w:p>
    <w:p>
      <w:pPr>
        <w:spacing w:after="0" w:line="202" w:lineRule="exact"/>
        <w:rPr>
          <w:sz w:val="20"/>
          <w:szCs w:val="20"/>
          <w:color w:val="auto"/>
        </w:rPr>
      </w:pPr>
    </w:p>
    <w:p>
      <w:pPr>
        <w:jc w:val="both"/>
        <w:ind w:right="20" w:firstLine="405"/>
        <w:spacing w:after="0" w:line="307" w:lineRule="auto"/>
        <w:rPr>
          <w:sz w:val="20"/>
          <w:szCs w:val="20"/>
          <w:color w:val="auto"/>
        </w:rPr>
      </w:pPr>
      <w:r>
        <w:rPr>
          <w:rFonts w:ascii="Arial" w:cs="Arial" w:eastAsia="Arial" w:hAnsi="Arial"/>
          <w:sz w:val="16"/>
          <w:szCs w:val="16"/>
          <w:color w:val="auto"/>
        </w:rPr>
        <w:t>Since July 2013, we have obtained approval for iFuse in regions beyond the United States and the EEA, including Australia, Canada, Hong Kong, Israel, Malaysia, New Zealand, Saudi Arabia, Singapore and Taiwan. We are currently collecting information to determine our regulatory strategy in Japan.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Healthcare Fraud and Abuse</w:t>
      </w:r>
    </w:p>
    <w:p>
      <w:pPr>
        <w:spacing w:after="0" w:line="22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176" w:lineRule="exact"/>
        <w:rPr>
          <w:sz w:val="20"/>
          <w:szCs w:val="20"/>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19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and to share in any monetary recovery. There are also criminal penalties for making or presenting a false or fictitious or fraudulent claim to the federal government;</w:t>
      </w:r>
    </w:p>
    <w:p>
      <w:pPr>
        <w:spacing w:after="0" w:line="194"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2" w:lineRule="exact"/>
        <w:rPr>
          <w:rFonts w:ascii="Arial" w:cs="Arial" w:eastAsia="Arial" w:hAnsi="Arial"/>
          <w:sz w:val="17"/>
          <w:szCs w:val="17"/>
          <w:color w:val="auto"/>
        </w:rPr>
      </w:pPr>
    </w:p>
    <w:p>
      <w:pPr>
        <w:jc w:val="both"/>
        <w:ind w:left="660" w:hanging="328"/>
        <w:spacing w:after="0" w:line="22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Payment Sunshine Act, implemented by the Centers for Medicare &amp; Medicaid Services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9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or our employees are found to have violated any of the above laws we may be subject to significant administrative, civil and criminal penalties, including imprisonment, exclusion from participation in federal health care programs, such as Medicare and Medicaid,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ind w:firstLine="405"/>
        <w:spacing w:after="0" w:line="263" w:lineRule="auto"/>
        <w:rPr>
          <w:sz w:val="20"/>
          <w:szCs w:val="20"/>
          <w:color w:val="auto"/>
        </w:rPr>
      </w:pPr>
      <w:r>
        <w:rPr>
          <w:rFonts w:ascii="Arial" w:cs="Arial" w:eastAsia="Arial" w:hAnsi="Arial"/>
          <w:sz w:val="18"/>
          <w:szCs w:val="18"/>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4"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(“ARRA”) (collectively, “HIPAA”), in the United States.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spacing w:after="0" w:line="16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w:t>
      </w:r>
    </w:p>
    <w:p>
      <w:pPr>
        <w:spacing w:after="0" w:line="1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European Union (“EU”), we are subject to laws relating to our collection, control, processing and other use of personal data (i.e. data relating to an identifiable living individual). We process personal data in relation to our operations.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The data privacy regime in the EU includes the EU General Data Protection Regulation, or the GDPR, effective on May 25, 2018 and the E-Privacy Directive 2002/58/EC and the national laws implementing it.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9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both"/>
        <w:ind w:firstLine="405"/>
        <w:spacing w:after="0" w:line="293" w:lineRule="auto"/>
        <w:rPr>
          <w:sz w:val="20"/>
          <w:szCs w:val="20"/>
          <w:color w:val="auto"/>
        </w:rPr>
      </w:pPr>
      <w:r>
        <w:rPr>
          <w:rFonts w:ascii="Arial" w:cs="Arial" w:eastAsia="Arial" w:hAnsi="Arial"/>
          <w:sz w:val="16"/>
          <w:szCs w:val="16"/>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use third-party manufacturers to produce our implants and instruments. Our primary supplier for implants is rms Company (“RMS”) for iFuse-3D. To mitigate supply risk, we use a rolling twelve month forecast and take into consideration production lead times to maintain adequate levels of inventory for both our iFuse-3D and iFuse. Most of our instruments have secondary manufacturing suppliers and we continually work with additional manufacturers as our secondary suppliers. Substantially all of our products, including all of our implants, are manufactured in the United States.</w:t>
      </w:r>
    </w:p>
    <w:p>
      <w:pPr>
        <w:spacing w:after="0" w:line="15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entered into a non-exclusive Manufacturing, Quality and Supply Agreement with RMS in January 2017, which was amended in July 2020, and amended and restated in June 2021. Pursuant to this agreement, RMS manufactures certain of our implants in accordance with our specifications, including both purchased and sterilized iFuse-3D implants, as well as uncoated machined implants which are subsequently coated to become our finished first generation iFuse implants. While the agreement provides that we are required to purchase the amounts forecasted in a blanket purchase order, we are not required to purchase product in excess of such forecasted amounts. The prices we pay for products are fixed under the agreement provided that if order volumes deviate from forecasted amounts beyond certain thresholds, we or RMS may request to negotiate further price changes. The agreement automatically renews for successive one-year periods; provided, however, the agreement may be terminated early by either party, as specified in the agreement. RMS is currently our only supplier of iFuse-3D implants.</w:t>
      </w:r>
    </w:p>
    <w:p>
      <w:pPr>
        <w:spacing w:after="0" w:line="17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including those issued by DEKRA Certification, B.V., our notified body. DEKRA has issued the following international certifications: Quality Management System ISO13485:2016 for our locations in Santa Clara, California, and Gallarate Italy; Full Quality Assurance Certification for the design and manufacture of iFuse; and a Design Examination certificate for iFuse.</w:t>
      </w:r>
    </w:p>
    <w:p>
      <w:pPr>
        <w:spacing w:after="0" w:line="19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4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6"/>
          <w:szCs w:val="16"/>
          <w:color w:val="auto"/>
        </w:rPr>
        <w:t>Maintaining a sufficient number of skilled employees in each respective department is a key focus of our human capital efforts. 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w:t>
      </w:r>
    </w:p>
    <w:p>
      <w:pPr>
        <w:spacing w:after="0"/>
        <w:rPr>
          <w:sz w:val="20"/>
          <w:szCs w:val="20"/>
          <w:color w:val="auto"/>
        </w:rPr>
      </w:pPr>
      <w:r>
        <w:rPr>
          <w:rFonts w:ascii="Arial" w:cs="Arial" w:eastAsia="Arial" w:hAnsi="Arial"/>
          <w:sz w:val="18"/>
          <w:szCs w:val="18"/>
          <w:color w:val="auto"/>
        </w:rPr>
        <w:t>which they live and work. In response 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18"/>
          <w:szCs w:val="18"/>
          <w:color w:val="auto"/>
        </w:rPr>
        <w:t>intensifying competition in the labor markets in which we compete and a general increase in employee turnover experienced by many companies in the last twelve months, we have begun to more actively track and manage voluntary and involuntary employee turnover.</w:t>
      </w:r>
    </w:p>
    <w:p>
      <w:pPr>
        <w:spacing w:after="0" w:line="210"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As of December 31, 2021, we had 352 employees, including sales and marketing, product development, general administrative and accounting, both domestically and internationally. As of December 31, 2021, we had a direct field sales organization of 150 in the United States and 20 in Europe. During 2021, our turnover rate was less than 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In order to realize our mission and vision, we are committed to actively fostering workforce diversity and an environment of cultural inclusion throughout the company. In 2020, we adopted a Diversity and Inclusion Plan, overseen by our Nominating and Corporate Governance Committee. Our program goal is to increase gender and ethnic diversity in our workforce and leadership over three years, while continuing to provide equal employment opportunities to all candidates and employees without regard to any protected status. Accordingly, we track gender diversity among our global and U.S. workforce, the percentage of employees above director level who are female, the representation of women and underrepresented communities on our Board of Directors and the diversity of our U.S. workforce.</w:t>
      </w:r>
    </w:p>
    <w:p>
      <w:pPr>
        <w:spacing w:after="0" w:line="21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aim to maintain a mix of backgrounds, skills and experiences in our board composition to understand and reflect the needs of our diverse stakeholders. Currently, four of our nine board members are women and two of our board members self-identify as Asian American.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intend to continue to do. We provide our employees and their families with access to a variety of innovative, flexible, and convenient health and wellness programs. These benefits are intended to provide protection and security, so employees can have peace of mind concerning events that may require time away from work or that may impact their financial well-being. Additionally, we offer programs to help support employee physical and mental health by providing tools and resources to help them improve or maintain their health status, encourage engagement in healthy behaviors, and offer choices where possible so they are customized to meet their needs and the needs of their families.</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light of the COVID-19 pandemic, the prioritization of employee health, safety, and wellness took on particular significance in 2020 and 2021. We implemented significant changes that we determined were in the best interest of our employees, as well as the communities in which we operate, in compliance with government regulations. We have implemented health and safety measures that include maximizing personal workspaces, providing personal protective equipment and holding on-site vaccinations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provide compensation and benefits programs to help meet the needs of our employees. In addition to base compensation, these programs, which vary by country, include annual bonuses, restricted stock unit awards, an Employee Stock Purchase Plan, 401(k), healthcare and insurance benefits, health savings and flexible spending accounts, paid time off, family leave, and flexible work schedules, among many others. As a response to the COVID-19 pandemic, we supported employees with standard merit increases, paid full-time wages to hourly employees when they were not able to access our facilities, and guaranteed certain commissions to our salespeople. We did not furlough or terminate any of our employees due to economic concerns arising from COVID-19 in 2020 or 2021.</w:t>
      </w:r>
    </w:p>
    <w:p>
      <w:pPr>
        <w:spacing w:after="0" w:line="2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Ensuring fair and equitable pay is integral to our commitment to our employees. Our executive team and Board of Directors strongly support this commitment. In 2020, we conducted our first pay equity review with the assistance of an independent consulting firm. The consultant reviewed our employee compensation to determine whether any statistically significant pay differences existed between women and men and between minorities and non-minorities performing similar job functions. The review provided information to help us understand whether our compensation structure was appropriate and to identify what improvements can be made. In areas where pay disparities were identified, we conducted further evaluation to determine where adjustments were appropriate.</w:t>
      </w:r>
    </w:p>
    <w:p>
      <w:pPr>
        <w:spacing w:after="0" w:line="2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part of our Diversity and Inclusion Program, we implemented an applicant tracking system in 2021. In addition to automating our recruiting and onboarding processes, the applicant tracking system also helps us determine whether there is a mix of new hire candidates in the system from different genders and ethnicities for open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7" w:name="page28"/>
    <w:bookmarkEnd w:id="27"/>
    <w:p>
      <w:pPr>
        <w:jc w:val="both"/>
        <w:ind w:firstLine="405"/>
        <w:spacing w:after="0" w:line="277" w:lineRule="auto"/>
        <w:rPr>
          <w:sz w:val="20"/>
          <w:szCs w:val="20"/>
          <w:color w:val="auto"/>
        </w:rPr>
      </w:pPr>
      <w:r>
        <w:rPr>
          <w:rFonts w:ascii="Arial" w:cs="Arial" w:eastAsia="Arial" w:hAnsi="Arial"/>
          <w:sz w:val="18"/>
          <w:szCs w:val="18"/>
          <w:color w:val="auto"/>
        </w:rPr>
        <w:t>We value our employees and the passion, commitment, and professional depth they provide. To enhance employee retention and job satisfaction, we offer ongoing learning and leadership training opportunities that support growth.</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human resources and sales enablement teams transitioned much of our leadership training from in-person sessions to remote learning due to COVID-19. Our scaled learning platforms of on-demand and virtual classroom learning eliminates travel and allows employees to access development at their convenience.</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robust annual performance review processes for reviewing employees’ performance and pay. To support our managers, we train them on conducting effective performance reviews and making compensation recommendations, which take into consideration market pay data and performance, as well as experience in an employee’s respective role.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Programs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employees engage in a variety of activities to support their local communities. We acknowledge that community involvement is important to our employees and we support their interests in the communities in which they live. Prior to COVID-19, we hosted events at our corporate campus, including food, clothing, and toy drives. During 2020 and 2021, we organized employee cash donations to food banks to support the neediest individuals in San Francisco Bay Area communities.</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encourage you to review our ESG Shareholder Letter in the Governance Documents of the Corporate Governance section of our Investor website for more detailed information regarding our human capital programs and initiatives. Nothing on our website, including our ESG Shareholder Letter, shall be deemed part of or incorporated by reference into this Annual Report.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Prior to December 31, 2021, we were an emerging growth company, as defined in the Jumpstart Our Business Startups Act (JOBS Act). As a result of our public float (the market value of our common shares held by non-affiliates) exceeding $700 million as of June 30, 2021, we became a large accelerated filer as of December 31, 2021 and therefore no longer qualified as an “emerging growth company" as defined in the JOBS Act, and have ceased to be a “smaller reporting company” as defined in the Exchange Act. However, we are not required to reflect the change in our smaller reporting company status and comply with the associated increased disclosure obligations until our quarterly report for the three-month period ended March 31, 2022. Additionally, we are no longer able to use the extended transition period for complying with new or revised accounting standards available to emerging growth companies and therefore we are required to adopt new or revised accounting standards as of the effective dates for public companies. All new accounting pronouncements recently adopted as discussed in Note 2 - Summary of Significant Accounting Policies, in the consolidated financial statements included in Part II, Item 8 of this Annual Report on Form 10-K were adopted in the fourth quarter of 2021 with an effective date of January 1, 2021. However, we are not required to reflect the change in our smaller reporting company status and comply with the associated increased disclosure obligations until our quarterly report for the three-month period ended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SI-BONE was founded in 2008 by the main inventor of iFuse, orthopedist Mark A. Reiley, M.D., our then President and Chief Executive Officer, Jeffrey W. Dunn, and orthopedic surgeon Leonard Rudolf, M.D. Dr. Reiley previously invented balloon kyphoplasty and founded Kyphon Inc., which was sold to Medtronic plc in 2007. Dr. Reiley also invented the INBONE total ankle replacement system, which was sold to Wright Medical Technology, Inc. in 2008.</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 xml:space="preserve">We were incorporated in March 2008 in Delaware. Our principal executive offices are located at 471 El Camino Real, Suite 101, Santa Clara, California 95050 and our telephone number is (408) 207-0700. Our website address is </w:t>
      </w:r>
      <w:r>
        <w:rPr>
          <w:rFonts w:ascii="Arial" w:cs="Arial" w:eastAsia="Arial" w:hAnsi="Arial"/>
          <w:sz w:val="18"/>
          <w:szCs w:val="18"/>
          <w:u w:val="single" w:color="auto"/>
          <w:color w:val="auto"/>
        </w:rPr>
        <w:t>www.si-bone.com</w:t>
      </w:r>
      <w:r>
        <w:rPr>
          <w:rFonts w:ascii="Arial" w:cs="Arial" w:eastAsia="Arial" w:hAnsi="Arial"/>
          <w:sz w:val="18"/>
          <w:szCs w:val="18"/>
          <w:color w:val="auto"/>
        </w:rPr>
        <w:t>. We completed our initial public offering in October 2018, and our common stock is listed on the Nasdaq Global Market under the symbol “SIBN.”</w:t>
      </w:r>
    </w:p>
    <w:p>
      <w:pPr>
        <w:spacing w:after="0" w:line="183" w:lineRule="exact"/>
        <w:rPr>
          <w:sz w:val="20"/>
          <w:szCs w:val="20"/>
          <w:color w:val="auto"/>
        </w:rPr>
      </w:pPr>
    </w:p>
    <w:p>
      <w:pPr>
        <w:jc w:val="both"/>
        <w:ind w:firstLine="405"/>
        <w:spacing w:after="0" w:line="329"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We have incurred net losses since our inception in 2008. For the years ended December 31, 2021 and 2020, we had net losses of $56.6 million and $43.7 million, respectively. As of December 31, 2021, we had an accumulated deficit of $295.8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67"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Our expected future capital requirements may depend on many factors including expanding our surgeon base, the expansion of our sales force, investment in implants and instruments, and the timing and extent of spending on the development of our technology to increase our product offerings.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COVID-19 pandemic could also negatively affect hospital admission rates and the decision by patients to undergo elective surgery, which could decrease demand for procedures using our implants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ind w:firstLine="445"/>
        <w:spacing w:after="0" w:line="252" w:lineRule="auto"/>
        <w:rPr>
          <w:sz w:val="20"/>
          <w:szCs w:val="20"/>
          <w:color w:val="auto"/>
        </w:rPr>
      </w:pPr>
      <w:r>
        <w:rPr>
          <w:rFonts w:ascii="Arial" w:cs="Arial" w:eastAsia="Arial" w:hAnsi="Arial"/>
          <w:sz w:val="17"/>
          <w:szCs w:val="17"/>
          <w:color w:val="auto"/>
        </w:rPr>
        <w:t>To date, COVID-19 has had, and we expect will continue to have, an adverse impact on our operations as a result of preventive and precautionary measures that we, other businesses, health systems and governments are taking. Due to these measures, we have experienced and expect to continue to experience significant and unpredictable reductions in the demand for our products, negative impact on hospital admission rates and delay in the decision by patients to undergo elective surgery, each of which has decreased and may continue to impact the demand for procedures using our implants. There are numerous uncertainties associated with the COVID-19 pandemic,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such as the delta and omicron variants,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pandemic. However, these uncertainties may result in delays or modifications to these plans and initiatives.</w:t>
      </w:r>
    </w:p>
    <w:p>
      <w:pPr>
        <w:spacing w:after="0" w:line="186"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71"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existence and further duration of the COVID-19 pandemic may also further exacerbate certain of the risks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Prolonged inflation and supply chain disruptions could result in delayed product launches, lost revenue, higher costs and decreased profit margins.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82"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reduce their current levels of payment, or if reimbursement levels are insufficient to support use of our products by healthcare facilities or to compensate surgeons for their time spent diagnosing patients and performing procedures using our products.</w:t>
      </w:r>
    </w:p>
    <w:p>
      <w:pPr>
        <w:spacing w:after="0" w:line="163"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While all Medicare Administrative Contractors are regularly reimbursing for minimally invasive sacroiliac joint fusion, some private payors still have policies that treat the procedure as experimental or investigational and do not regularly reimburse for the procedure. Future action by the Centers for Medicare &amp; Medicaid Services (“CMS”) or third-party payors may further reduce the availability of payments to physicians, outpatient surgery centers, and/or hospitals for procedures using our products.</w:t>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jc w:val="both"/>
        <w:ind w:firstLine="445"/>
        <w:spacing w:after="0"/>
        <w:rPr>
          <w:sz w:val="20"/>
          <w:szCs w:val="20"/>
          <w:color w:val="auto"/>
        </w:rPr>
      </w:pPr>
      <w:r>
        <w:rPr>
          <w:rFonts w:ascii="Arial" w:cs="Arial" w:eastAsia="Arial" w:hAnsi="Arial"/>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6"/>
          <w:szCs w:val="16"/>
          <w:color w:val="auto"/>
        </w:rPr>
        <w:t>Effective January 1, 2022, the Medicare physician fee reimbursement for minimally invasive fusion with our iFuse implants, described as CPT Code 27279, is $860.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78"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6"/>
          <w:szCs w:val="16"/>
          <w:color w:val="auto"/>
        </w:rPr>
        <w:t>The American Medical Association (AMA) develops and maintains Current Procedural Terminology (CPT) codes that are used by third-party payors to determine the amount of reimbursement that a healthcare provider and facility will receive for a particular service. CPT codes are divided into three</w:t>
      </w:r>
    </w:p>
    <w:p>
      <w:pPr>
        <w:jc w:val="both"/>
        <w:spacing w:after="0" w:line="255" w:lineRule="auto"/>
        <w:rPr>
          <w:sz w:val="20"/>
          <w:szCs w:val="20"/>
          <w:color w:val="auto"/>
        </w:rPr>
      </w:pPr>
      <w:r>
        <w:rPr>
          <w:rFonts w:ascii="Arial" w:cs="Arial" w:eastAsia="Arial" w:hAnsi="Arial"/>
          <w:sz w:val="17"/>
          <w:szCs w:val="17"/>
          <w:color w:val="auto"/>
        </w:rPr>
        <w:t>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iFuse implants, is a Category I CPT code. As the number of products and surgical procedures to address sacroiliac joint dysfunction has expanded and diversified, we are aware that certain medical societies have requested that the AMA create a Category III CPT code representing some of these unproven technologies. If either the current or future procedures performed with our products are determined to be best described by a Category III CPT code, or if the levels of reimbursement for, and consistency of coverage associated with, procedures performed with our medical devices, either under the existing Category I CPT Code or under any newly created Category III CPT Code, could decrease which could make our devices less attractive to healthcare professionals using our products.</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 Medicare reductions from May 1, 2020 through April 2022, and reduced the Medicare reductions to 1% from April 1 to June 30, 2022.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177"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89" w:lineRule="exact"/>
        <w:rPr>
          <w:sz w:val="20"/>
          <w:szCs w:val="20"/>
          <w:color w:val="auto"/>
        </w:rPr>
      </w:pPr>
    </w:p>
    <w:p>
      <w:pPr>
        <w:ind w:right="700"/>
        <w:spacing w:after="0" w:line="362" w:lineRule="auto"/>
        <w:rPr>
          <w:sz w:val="20"/>
          <w:szCs w:val="20"/>
          <w:color w:val="auto"/>
        </w:rPr>
      </w:pPr>
      <w:r>
        <w:rPr>
          <w:rFonts w:ascii="Arial" w:cs="Arial" w:eastAsia="Arial" w:hAnsi="Arial"/>
          <w:sz w:val="15"/>
          <w:szCs w:val="15"/>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jc w:val="both"/>
        <w:ind w:firstLine="445"/>
        <w:spacing w:after="0" w:line="255" w:lineRule="auto"/>
        <w:rPr>
          <w:sz w:val="20"/>
          <w:szCs w:val="20"/>
          <w:color w:val="auto"/>
        </w:rPr>
      </w:pPr>
      <w:r>
        <w:rPr>
          <w:rFonts w:ascii="Arial" w:cs="Arial" w:eastAsia="Arial" w:hAnsi="Arial"/>
          <w:sz w:val="16"/>
          <w:szCs w:val="16"/>
          <w:color w:val="auto"/>
        </w:rPr>
        <w:t>As of December 31, 2021, 36 of the largest 65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triangular iFuse implants. Payors could also abandon their decisions to cover triangular implants exclusively for other reasons. If healthcare payors covering a significant number of covered lives reverse their policies of covering minimally invasive sacroiliac joint fusion exclusively when performed with triangular titanium implants, sales of our triangular iFuse implants could decline or fail to grow, which could adversely affect our business, results of operations and financial condition.</w:t>
      </w:r>
    </w:p>
    <w:p>
      <w:pPr>
        <w:spacing w:after="0" w:line="19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7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23" w:lineRule="exact"/>
        <w:rPr>
          <w:sz w:val="20"/>
          <w:szCs w:val="20"/>
          <w:color w:val="auto"/>
        </w:rPr>
      </w:pPr>
    </w:p>
    <w:p>
      <w:pPr>
        <w:ind w:left="1020" w:hanging="121"/>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35" w:lineRule="exact"/>
        <w:rPr>
          <w:rFonts w:ascii="Arial" w:cs="Arial" w:eastAsia="Arial" w:hAnsi="Arial"/>
          <w:sz w:val="18"/>
          <w:szCs w:val="18"/>
          <w:color w:val="auto"/>
        </w:rPr>
      </w:pPr>
    </w:p>
    <w:p>
      <w:pPr>
        <w:ind w:left="1020" w:hanging="121"/>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7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82"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18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We anticipate that this trend will nevertheless continue as a cost control measure with the healthcare system.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In addition, ASC are generally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as a result of the COVID-19 pandemic could adversely impact the average selling prices of our products and our revenues could suffer as a result.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8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The number of competitors that we are aware of marketing sacroiliac joint fusion products in the United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6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United States, we believe that our primary competitors marketing implantable devices currently are Medtronic plc and Globus Medical, Inc. In addition, a number of smaller companies selling allograft implants to a variety of physicians have collectively become a larger presence in our market.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8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0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Substantially all of our revenue comes from the sale of iFuse, iFuse-3D and iFuse-TORQ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47"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6"/>
          <w:szCs w:val="16"/>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w:t>
      </w:r>
    </w:p>
    <w:p>
      <w:pPr>
        <w:jc w:val="both"/>
        <w:spacing w:after="0" w:line="290" w:lineRule="auto"/>
        <w:rPr>
          <w:sz w:val="20"/>
          <w:szCs w:val="20"/>
          <w:color w:val="auto"/>
        </w:rPr>
      </w:pPr>
      <w:r>
        <w:rPr>
          <w:rFonts w:ascii="Arial" w:cs="Arial" w:eastAsia="Arial" w:hAnsi="Arial"/>
          <w:sz w:val="17"/>
          <w:szCs w:val="17"/>
          <w:color w:val="auto"/>
        </w:rPr>
        <w:t>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2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December 31, 2021, our U.S. sales force consisted of 85 territory sales managers and 65 clinical support specialists directly employed by us and 59 third-party distributors. As of December 31, 2021, our international sales force consisted of 20 sales representatives directly employed by us and 32 exclusive third-party distributors, which together have had sales in 37 countries through December 31, 2021. Our operating results are directly dependent upon the sales and marketing efforts of both our direct sales force and of our third-party distributors.</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167"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1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is significant, and some of the labor markets we compete in have experienced tightening in the past year. In addition, rates of employee turnover have increased among our employees, consistent with the rates experienced by other companies in these industries. If these conditions persist, we could experience further turnover among our employees which could become difficult and more costly to manage, adversely impacting our results of operation. Sustained pressure in these labor markets could also cause prevailing wages to rise, which could adversely impact our business and results of operation and financial condition.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8"/>
          <w:szCs w:val="18"/>
          <w:b w:val="1"/>
          <w:bCs w:val="1"/>
          <w:i w:val="1"/>
          <w:iCs w:val="1"/>
          <w:color w:val="auto"/>
        </w:rPr>
        <w:t>If use of our products results in adverse events, this may require them to be taken off the market, require them to include safety warnings or otherwise limit their sales.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12" w:lineRule="exact"/>
        <w:rPr>
          <w:sz w:val="20"/>
          <w:szCs w:val="20"/>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57" w:lineRule="exact"/>
        <w:rPr>
          <w:rFonts w:ascii="Arial" w:cs="Arial" w:eastAsia="Arial" w:hAnsi="Arial"/>
          <w:sz w:val="18"/>
          <w:szCs w:val="18"/>
          <w:color w:val="auto"/>
        </w:rPr>
      </w:pPr>
    </w:p>
    <w:p>
      <w:pPr>
        <w:ind w:left="900" w:right="20" w:hanging="406"/>
        <w:spacing w:after="0" w:line="261" w:lineRule="auto"/>
        <w:tabs>
          <w:tab w:leader="none" w:pos="8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57" w:lineRule="exact"/>
        <w:rPr>
          <w:rFonts w:ascii="Arial" w:cs="Arial" w:eastAsia="Arial" w:hAnsi="Arial"/>
          <w:sz w:val="18"/>
          <w:szCs w:val="18"/>
          <w:color w:val="auto"/>
        </w:rPr>
      </w:pPr>
    </w:p>
    <w:p>
      <w:pPr>
        <w:ind w:left="900" w:hanging="406"/>
        <w:spacing w:after="0" w:line="261" w:lineRule="auto"/>
        <w:tabs>
          <w:tab w:leader="none" w:pos="7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71"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28"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chain disruptions, including those caused by material and labor supply shortages in the wake of COVID-19;</w:t>
      </w:r>
    </w:p>
    <w:p>
      <w:pPr>
        <w:spacing w:after="0" w:line="157" w:lineRule="exact"/>
        <w:rPr>
          <w:rFonts w:ascii="Arial" w:cs="Arial" w:eastAsia="Arial" w:hAnsi="Arial"/>
          <w:sz w:val="18"/>
          <w:szCs w:val="18"/>
          <w:color w:val="auto"/>
        </w:rPr>
      </w:pPr>
    </w:p>
    <w:p>
      <w:pPr>
        <w:ind w:left="900" w:hanging="406"/>
        <w:spacing w:after="0" w:line="261" w:lineRule="auto"/>
        <w:tabs>
          <w:tab w:leader="none" w:pos="7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left="900" w:right="340" w:hanging="406"/>
        <w:spacing w:after="0" w:line="261" w:lineRule="auto"/>
        <w:tabs>
          <w:tab w:leader="none" w:pos="7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7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iFuse-3D implants and Orchid for iFuse implants.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96" w:lineRule="exact"/>
        <w:rPr>
          <w:sz w:val="20"/>
          <w:szCs w:val="20"/>
          <w:color w:val="auto"/>
        </w:rPr>
      </w:pPr>
    </w:p>
    <w:p>
      <w:pPr>
        <w:ind w:left="900" w:right="20" w:hanging="406"/>
        <w:spacing w:after="0" w:line="261"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16" w:lineRule="exact"/>
        <w:rPr>
          <w:rFonts w:ascii="Arial" w:cs="Arial" w:eastAsia="Arial" w:hAnsi="Arial"/>
          <w:sz w:val="18"/>
          <w:szCs w:val="18"/>
          <w:color w:val="auto"/>
        </w:rPr>
      </w:pPr>
    </w:p>
    <w:p>
      <w:pPr>
        <w:ind w:left="900" w:hanging="406"/>
        <w:spacing w:after="0" w:line="291" w:lineRule="auto"/>
        <w:tabs>
          <w:tab w:leader="none" w:pos="8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92" w:lineRule="exact"/>
        <w:rPr>
          <w:rFonts w:ascii="Arial" w:cs="Arial" w:eastAsia="Arial" w:hAnsi="Arial"/>
          <w:sz w:val="17"/>
          <w:szCs w:val="17"/>
          <w:color w:val="auto"/>
        </w:rPr>
      </w:pPr>
    </w:p>
    <w:p>
      <w:pPr>
        <w:ind w:left="900" w:hanging="406"/>
        <w:spacing w:after="0" w:line="261"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16" w:lineRule="exact"/>
        <w:rPr>
          <w:rFonts w:ascii="Arial" w:cs="Arial" w:eastAsia="Arial" w:hAnsi="Arial"/>
          <w:sz w:val="18"/>
          <w:szCs w:val="18"/>
          <w:color w:val="auto"/>
        </w:rPr>
      </w:pPr>
    </w:p>
    <w:p>
      <w:pPr>
        <w:ind w:left="900" w:hanging="406"/>
        <w:spacing w:after="0" w:line="261" w:lineRule="auto"/>
        <w:tabs>
          <w:tab w:leader="none" w:pos="6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116" w:lineRule="exact"/>
        <w:rPr>
          <w:rFonts w:ascii="Arial" w:cs="Arial" w:eastAsia="Arial" w:hAnsi="Arial"/>
          <w:sz w:val="18"/>
          <w:szCs w:val="18"/>
          <w:color w:val="auto"/>
        </w:rPr>
      </w:pPr>
    </w:p>
    <w:p>
      <w:pPr>
        <w:ind w:left="900" w:hanging="406"/>
        <w:spacing w:after="0" w:line="261" w:lineRule="auto"/>
        <w:tabs>
          <w:tab w:leader="none" w:pos="6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16" w:lineRule="exact"/>
        <w:rPr>
          <w:rFonts w:ascii="Arial" w:cs="Arial" w:eastAsia="Arial" w:hAnsi="Arial"/>
          <w:sz w:val="18"/>
          <w:szCs w:val="18"/>
          <w:color w:val="auto"/>
        </w:rPr>
      </w:pPr>
    </w:p>
    <w:p>
      <w:pPr>
        <w:ind w:left="900" w:hanging="406"/>
        <w:spacing w:after="0" w:line="291" w:lineRule="auto"/>
        <w:tabs>
          <w:tab w:leader="none" w:pos="8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92" w:lineRule="exact"/>
        <w:rPr>
          <w:rFonts w:ascii="Arial" w:cs="Arial" w:eastAsia="Arial" w:hAnsi="Arial"/>
          <w:sz w:val="17"/>
          <w:szCs w:val="17"/>
          <w:color w:val="auto"/>
        </w:rPr>
      </w:pPr>
    </w:p>
    <w:p>
      <w:pPr>
        <w:ind w:left="600" w:hanging="106"/>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80" w:lineRule="exact"/>
        <w:rPr>
          <w:rFonts w:ascii="Arial" w:cs="Arial" w:eastAsia="Arial" w:hAnsi="Arial"/>
          <w:sz w:val="16"/>
          <w:szCs w:val="16"/>
          <w:color w:val="auto"/>
        </w:rPr>
      </w:pPr>
    </w:p>
    <w:p>
      <w:pPr>
        <w:ind w:left="900" w:right="20" w:hanging="406"/>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16"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80" w:lineRule="exact"/>
        <w:rPr>
          <w:rFonts w:ascii="Arial" w:cs="Arial" w:eastAsia="Arial" w:hAnsi="Arial"/>
          <w:sz w:val="16"/>
          <w:szCs w:val="16"/>
          <w:color w:val="auto"/>
        </w:rPr>
      </w:pPr>
    </w:p>
    <w:p>
      <w:pPr>
        <w:ind w:left="900" w:hanging="406"/>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16" w:lineRule="exact"/>
        <w:rPr>
          <w:rFonts w:ascii="Arial" w:cs="Arial" w:eastAsia="Arial" w:hAnsi="Arial"/>
          <w:sz w:val="18"/>
          <w:szCs w:val="18"/>
          <w:color w:val="auto"/>
        </w:rPr>
      </w:pPr>
    </w:p>
    <w:p>
      <w:pPr>
        <w:ind w:left="900" w:hanging="406"/>
        <w:spacing w:after="0" w:line="261"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jc w:val="both"/>
        <w:ind w:firstLine="445"/>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6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5"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6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28"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jc w:val="both"/>
        <w:ind w:firstLine="445"/>
        <w:spacing w:after="0" w:line="324"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20"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57" w:lineRule="exact"/>
        <w:rPr>
          <w:rFonts w:ascii="Arial" w:cs="Arial" w:eastAsia="Arial" w:hAnsi="Arial"/>
          <w:sz w:val="18"/>
          <w:szCs w:val="18"/>
          <w:color w:val="auto"/>
        </w:rPr>
      </w:pPr>
    </w:p>
    <w:p>
      <w:pPr>
        <w:ind w:left="900" w:hanging="406"/>
        <w:spacing w:after="0" w:line="261"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1"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63"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jc w:val="both"/>
        <w:ind w:firstLine="445"/>
        <w:spacing w:after="0" w:line="252"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12"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inability of the local healthcare system to absorb prices for our product that would enable our business to become profitable in those markets;</w:t>
      </w:r>
    </w:p>
    <w:p>
      <w:pPr>
        <w:spacing w:after="0" w:line="180" w:lineRule="exact"/>
        <w:rPr>
          <w:rFonts w:ascii="Arial" w:cs="Arial" w:eastAsia="Arial" w:hAnsi="Arial"/>
          <w:sz w:val="16"/>
          <w:szCs w:val="16"/>
          <w:color w:val="auto"/>
        </w:rPr>
      </w:pPr>
    </w:p>
    <w:p>
      <w:pPr>
        <w:ind w:left="900" w:hanging="406"/>
        <w:spacing w:after="0" w:line="261" w:lineRule="auto"/>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numbers of patients requiring procedures that use our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1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jc w:val="both"/>
        <w:ind w:firstLine="445"/>
        <w:spacing w:after="0" w:line="248"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71"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12"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5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77" w:lineRule="exact"/>
        <w:rPr>
          <w:sz w:val="20"/>
          <w:szCs w:val="20"/>
          <w:color w:val="auto"/>
        </w:rPr>
      </w:pPr>
    </w:p>
    <w:p>
      <w:pPr>
        <w:jc w:val="both"/>
        <w:ind w:firstLine="445"/>
        <w:spacing w:after="0" w:line="225" w:lineRule="auto"/>
        <w:rPr>
          <w:sz w:val="20"/>
          <w:szCs w:val="20"/>
          <w:color w:val="auto"/>
        </w:rPr>
      </w:pPr>
      <w:r>
        <w:rPr>
          <w:rFonts w:ascii="Arial" w:cs="Arial" w:eastAsia="Arial" w:hAnsi="Arial"/>
          <w:sz w:val="18"/>
          <w:szCs w:val="18"/>
          <w:color w:val="auto"/>
        </w:rPr>
        <w:t>Like other public companies, we have in the past, and could be in the future,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jc w:val="both"/>
        <w:ind w:firstLine="445"/>
        <w:spacing w:after="0" w:line="253"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2"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15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jc w:val="both"/>
        <w:ind w:firstLine="445"/>
        <w:spacing w:after="0" w:line="255"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On August 12, 2021, we entered into a Loan and Security Agreement with Silicon Valley Bank (“SVB”), pursuant to which we borrowed $35.0 million pursuant to a term loan (the “SVB Term Loan”). The Loan and Security Agreement with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18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SVB Term Loan is secured by substantially all our assets other than our intellectual property. The Loan and Security Agreement with SVB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189"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covenants in the SVB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Loan and Security Agreement with SVB to become immediately due and payable.</w:t>
      </w:r>
    </w:p>
    <w:p>
      <w:pPr>
        <w:spacing w:after="0" w:line="155"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Effective as of December 31, 2021, we became a large accelerated filer and are no longer an emerging growth company, which will impose additional costs on us.</w:t>
      </w:r>
    </w:p>
    <w:p>
      <w:pPr>
        <w:spacing w:after="0" w:line="171"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As a result of our public float as of June 30, 2021, we became a large accelerated filer as of December 31, 2021. We therefore no longer qualified as an “emerging growth company,” as defined in the JOBS Act. Additionally, due to our public float as of June 30, 2021, we no longer qualified as a “smaller reporting company” as defined in the Exchange Act. However, we are not required to reflect the change in our smaller reporting company status, and comply with the associated increased disclosure obligations, until our quarterly report for the three-month period ending March 31, 2022.</w:t>
      </w:r>
    </w:p>
    <w:p>
      <w:pPr>
        <w:spacing w:after="0" w:line="155"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large accelerated filer, we are subject to certain disclosure and compliance requirements that apply to other public companies but did not previously apply to us due to our status as an emerging growth company, such as the necessity of our independent registered public accounting firm providing an attestation on our internal control over financial reporting.</w:t>
      </w: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jc w:val="both"/>
        <w:ind w:firstLine="445"/>
        <w:spacing w:after="0" w:line="241"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may cause management and other personnel to devote more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47"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57" w:lineRule="exact"/>
        <w:rPr>
          <w:rFonts w:ascii="Arial" w:cs="Arial" w:eastAsia="Arial" w:hAnsi="Arial"/>
          <w:sz w:val="18"/>
          <w:szCs w:val="18"/>
          <w:color w:val="auto"/>
        </w:rPr>
      </w:pPr>
    </w:p>
    <w:p>
      <w:pPr>
        <w:ind w:left="900" w:hanging="406"/>
        <w:spacing w:after="0" w:line="261" w:lineRule="auto"/>
        <w:tabs>
          <w:tab w:leader="none" w:pos="8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2"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5" w:name="page46"/>
    <w:bookmarkEnd w:id="45"/>
    <w:p>
      <w:pPr>
        <w:jc w:val="both"/>
        <w:ind w:firstLine="445"/>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and changes the classification for certain of our products. Penalties for regulatory non-compliance could be severe, including fines and revocation or suspension of a company’s business license, mandatory price reductions and criminal sanctions.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69" w:lineRule="exact"/>
        <w:rPr>
          <w:rFonts w:ascii="Arial" w:cs="Arial" w:eastAsia="Arial" w:hAnsi="Arial"/>
          <w:sz w:val="17"/>
          <w:szCs w:val="17"/>
          <w:color w:val="auto"/>
        </w:rPr>
      </w:pPr>
    </w:p>
    <w:p>
      <w:pPr>
        <w:ind w:left="900" w:hanging="406"/>
        <w:spacing w:after="0" w:line="261" w:lineRule="auto"/>
        <w:tabs>
          <w:tab w:leader="none" w:pos="7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15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18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10, 2021.</w:t>
      </w:r>
    </w:p>
    <w:p>
      <w:pPr>
        <w:spacing w:after="0" w:line="174"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155"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8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jc w:val="both"/>
        <w:ind w:right="20"/>
        <w:spacing w:after="0" w:line="261" w:lineRule="auto"/>
        <w:rPr>
          <w:sz w:val="20"/>
          <w:szCs w:val="20"/>
          <w:color w:val="auto"/>
        </w:rPr>
      </w:pPr>
      <w:r>
        <w:rPr>
          <w:rFonts w:ascii="Arial" w:cs="Arial" w:eastAsia="Arial" w:hAnsi="Arial"/>
          <w:sz w:val="18"/>
          <w:szCs w:val="18"/>
          <w:color w:val="auto"/>
        </w:rPr>
        <w:t>applicable laws and we were unable to comply with such laws, which could subject us to, among other things, monetary penalties for non-compliance, the cost of which could be substantial.</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80"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5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w:t>
      </w:r>
    </w:p>
    <w:p>
      <w:pPr>
        <w:spacing w:after="0" w:line="15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$750 per 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While the CDPA and CPA emulate the GDPR and the CCPA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7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Depending on the nature of the information compromised, we may also have obligations to notify users, law enforcement, government authorities, payment companies, consumer reporting agencies, or the media about the incident and may be required to expend additional resources in connection with investigating and remediating such an incident, and otherwise complying with applicable privacy and data security laws.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6"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7"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80" w:lineRule="exact"/>
        <w:rPr>
          <w:rFonts w:ascii="Arial" w:cs="Arial" w:eastAsia="Arial" w:hAnsi="Arial"/>
          <w:sz w:val="16"/>
          <w:szCs w:val="16"/>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80"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w:t>
      </w:r>
    </w:p>
    <w:p>
      <w:pPr>
        <w:spacing w:after="0" w:line="3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jc w:val="both"/>
        <w:spacing w:after="0" w:line="241" w:lineRule="auto"/>
        <w:rPr>
          <w:sz w:val="20"/>
          <w:szCs w:val="20"/>
          <w:color w:val="auto"/>
        </w:rPr>
      </w:pPr>
      <w:r>
        <w:rPr>
          <w:rFonts w:ascii="Arial" w:cs="Arial" w:eastAsia="Arial" w:hAnsi="Arial"/>
          <w:sz w:val="18"/>
          <w:szCs w:val="18"/>
          <w:color w:val="auto"/>
        </w:rPr>
        <w:t>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18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8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8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jc w:val="both"/>
        <w:spacing w:after="0" w:line="324"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8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59"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8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4"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jc w:val="both"/>
        <w:spacing w:after="0" w:line="239" w:lineRule="auto"/>
        <w:rPr>
          <w:sz w:val="20"/>
          <w:szCs w:val="20"/>
          <w:color w:val="auto"/>
        </w:rPr>
      </w:pPr>
      <w:r>
        <w:rPr>
          <w:rFonts w:ascii="Arial" w:cs="Arial" w:eastAsia="Arial" w:hAnsi="Arial"/>
          <w:sz w:val="18"/>
          <w:szCs w:val="18"/>
          <w:color w:val="auto"/>
        </w:rPr>
        <w:t>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8"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occurrence of adverse events.</w:t>
      </w:r>
    </w:p>
    <w:p>
      <w:pPr>
        <w:spacing w:after="0" w:line="212"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jc w:val="both"/>
        <w:spacing w:after="0" w:line="324"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in Europe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89"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82"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57" w:lineRule="exact"/>
        <w:rPr>
          <w:rFonts w:ascii="Arial" w:cs="Arial" w:eastAsia="Arial" w:hAnsi="Arial"/>
          <w:sz w:val="18"/>
          <w:szCs w:val="18"/>
          <w:color w:val="auto"/>
        </w:rPr>
      </w:pPr>
    </w:p>
    <w:p>
      <w:pPr>
        <w:ind w:left="900" w:hanging="406"/>
        <w:spacing w:after="0" w:line="261" w:lineRule="auto"/>
        <w:tabs>
          <w:tab w:leader="none" w:pos="8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authorized representatives held legally responsible and liable for defective products placed on the EU market;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57" w:lineRule="exact"/>
        <w:rPr>
          <w:rFonts w:ascii="Arial" w:cs="Arial" w:eastAsia="Arial" w:hAnsi="Arial"/>
          <w:sz w:val="18"/>
          <w:szCs w:val="18"/>
          <w:color w:val="auto"/>
        </w:rPr>
      </w:pPr>
    </w:p>
    <w:p>
      <w:pPr>
        <w:jc w:val="both"/>
        <w:ind w:left="900" w:hanging="406"/>
        <w:spacing w:after="0" w:line="248" w:lineRule="auto"/>
        <w:tabs>
          <w:tab w:leader="none" w:pos="8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7"/>
          <w:szCs w:val="17"/>
          <w:color w:val="auto"/>
        </w:rPr>
        <w:t>Transition from the regulation of our products under the Medical Device Directive, and implementing legislation in each EU Member State, to regulation under the Medical Devices Regulation has 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15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w:t>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jc w:val="both"/>
        <w:spacing w:after="0" w:line="241" w:lineRule="auto"/>
        <w:rPr>
          <w:sz w:val="20"/>
          <w:szCs w:val="20"/>
          <w:color w:val="auto"/>
        </w:rPr>
      </w:pPr>
      <w:r>
        <w:rPr>
          <w:rFonts w:ascii="Arial" w:cs="Arial" w:eastAsia="Arial" w:hAnsi="Arial"/>
          <w:sz w:val="18"/>
          <w:szCs w:val="18"/>
          <w:color w:val="auto"/>
        </w:rPr>
        <w:t>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2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or could be subject to additional regulations and requirements.</w:t>
      </w:r>
    </w:p>
    <w:p>
      <w:pPr>
        <w:spacing w:after="0" w:line="2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8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8"/>
          <w:szCs w:val="18"/>
          <w:color w:val="auto"/>
        </w:rPr>
        <w:t>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 disclosure agreements and other methods, to protect our proprietary technologies and know-how. As of December 31, 2021, we owned 44 issued U.S. patents and had 33 pending U.S. patent applications, and we owned 15 issued foreign patents and had nine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September 2035.</w:t>
      </w:r>
    </w:p>
    <w:p>
      <w:pPr>
        <w:spacing w:after="0" w:line="178" w:lineRule="exact"/>
        <w:rPr>
          <w:sz w:val="20"/>
          <w:szCs w:val="20"/>
          <w:color w:val="auto"/>
        </w:rPr>
      </w:pPr>
    </w:p>
    <w:p>
      <w:pPr>
        <w:jc w:val="both"/>
        <w:ind w:firstLine="192"/>
        <w:spacing w:after="0" w:line="277" w:lineRule="auto"/>
        <w:rPr>
          <w:sz w:val="20"/>
          <w:szCs w:val="20"/>
          <w:color w:val="auto"/>
        </w:rPr>
      </w:pPr>
      <w:r>
        <w:rPr>
          <w:rFonts w:ascii="Arial" w:cs="Arial" w:eastAsia="Arial" w:hAnsi="Arial"/>
          <w:sz w:val="18"/>
          <w:szCs w:val="18"/>
          <w:color w:val="auto"/>
        </w:rPr>
        <w:t>As of December 31, 2021, we have 15 registered trademarks in the U.S. and have filed for 12 more. We have sought protection for at least two of these trademarks in 60 countries including the 27 European member countries of the Madrid Protocol.</w:t>
      </w:r>
    </w:p>
    <w:p>
      <w:pPr>
        <w:spacing w:after="0" w:line="17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jc w:val="both"/>
        <w:ind w:firstLine="445"/>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jc w:val="both"/>
        <w:ind w:firstLine="445"/>
        <w:spacing w:after="0"/>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82" w:lineRule="exact"/>
        <w:rPr>
          <w:sz w:val="20"/>
          <w:szCs w:val="20"/>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57" w:lineRule="exact"/>
        <w:rPr>
          <w:rFonts w:ascii="Arial" w:cs="Arial" w:eastAsia="Arial" w:hAnsi="Arial"/>
          <w:sz w:val="18"/>
          <w:szCs w:val="18"/>
          <w:color w:val="auto"/>
        </w:rPr>
      </w:pPr>
    </w:p>
    <w:p>
      <w:pPr>
        <w:ind w:left="900" w:hanging="406"/>
        <w:spacing w:after="0" w:line="261" w:lineRule="auto"/>
        <w:tabs>
          <w:tab w:leader="none" w:pos="8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57" w:lineRule="exact"/>
        <w:rPr>
          <w:rFonts w:ascii="Arial" w:cs="Arial" w:eastAsia="Arial" w:hAnsi="Arial"/>
          <w:sz w:val="18"/>
          <w:szCs w:val="18"/>
          <w:color w:val="auto"/>
        </w:rPr>
      </w:pPr>
    </w:p>
    <w:p>
      <w:pPr>
        <w:ind w:left="900" w:hanging="406"/>
        <w:spacing w:after="0" w:line="261" w:lineRule="auto"/>
        <w:tabs>
          <w:tab w:leader="none" w:pos="7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1" w:lineRule="exact"/>
        <w:rPr>
          <w:sz w:val="20"/>
          <w:szCs w:val="20"/>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ectPr>
          <w:pgSz w:w="11900" w:h="16838" w:orient="portrait"/>
          <w:cols w:equalWidth="0" w:num="1">
            <w:col w:w="11240"/>
          </w:cols>
          <w:pgMar w:left="320" w:top="989" w:right="339" w:bottom="1440" w:gutter="0" w:footer="0" w:header="0"/>
        </w:sectPr>
      </w:pP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8" w:name="page59"/>
    <w:bookmarkEnd w:id="58"/>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57" w:lineRule="exact"/>
        <w:rPr>
          <w:rFonts w:ascii="Arial" w:cs="Arial" w:eastAsia="Arial" w:hAnsi="Arial"/>
          <w:sz w:val="18"/>
          <w:szCs w:val="18"/>
          <w:color w:val="auto"/>
        </w:rPr>
      </w:pPr>
    </w:p>
    <w:p>
      <w:pPr>
        <w:ind w:left="900" w:right="20" w:hanging="406"/>
        <w:spacing w:after="0" w:line="261"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16"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3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2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of December 31, 2021, we had net operating loss (“NOL”) carryforwards of $255.5 million and $203.2 million available to reduce future taxable income, if any, for U.S. federal income tax and state income tax purposes, respectively. If not utilized, our federal and state NOL carryforwards begin to expire in 2029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by legislation enacted in 2020, unused U.S. federal NOLs generated in tax years beginning after December 31, 2017</w:t>
      </w:r>
      <w:r>
        <w:rPr>
          <w:rFonts w:ascii="Arial" w:cs="Arial" w:eastAsia="Arial" w:hAnsi="Arial"/>
          <w:sz w:val="19"/>
          <w:szCs w:val="19"/>
          <w:color w:val="auto"/>
        </w:rPr>
        <w:t>,</w:t>
      </w:r>
      <w:r>
        <w:rPr>
          <w:rFonts w:ascii="Arial" w:cs="Arial" w:eastAsia="Arial" w:hAnsi="Arial"/>
          <w:sz w:val="16"/>
          <w:szCs w:val="16"/>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 The equity shift between December 31, 2020 to December 31, 2021 was not material, considering the changes in the outstanding number of shares during the period. We will continually assess the need to update our Section 382 ownership change analysis, as we may experience ownership changes in the future that could materially limit our ability to use our NOL carryforwards, which may harm our future operating results by effectively increasing our future tax obligations.</w:t>
      </w:r>
    </w:p>
    <w:p>
      <w:pPr>
        <w:spacing w:after="0" w:line="17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w:t>
      </w:r>
    </w:p>
    <w:p>
      <w:pPr>
        <w:spacing w:after="0" w:line="201" w:lineRule="exact"/>
        <w:rPr>
          <w:sz w:val="20"/>
          <w:szCs w:val="20"/>
          <w:color w:val="auto"/>
        </w:rPr>
      </w:pPr>
    </w:p>
    <w:p>
      <w:pPr>
        <w:ind w:right="220" w:firstLine="445"/>
        <w:spacing w:after="0" w:line="231" w:lineRule="auto"/>
        <w:rPr>
          <w:sz w:val="20"/>
          <w:szCs w:val="20"/>
          <w:color w:val="auto"/>
        </w:rPr>
      </w:pPr>
      <w:r>
        <w:rPr>
          <w:rFonts w:ascii="Arial" w:cs="Arial" w:eastAsia="Arial" w:hAnsi="Arial"/>
          <w:sz w:val="18"/>
          <w:szCs w:val="18"/>
          <w:color w:val="auto"/>
        </w:rPr>
        <w:t>The California Senate Bill 113 (SB 113) was signed into law by Governor Newsom on February 9, 2022. The legislation contains important California tax law changes, including reinstatement of business tax credits and net NOL deductions limited by AB 85 mentioned above. The new tax law should be accounted for under ASC 740 in the period of enactment (2022) but is not expected to have a material impact on our tax provision due to our taxable loss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4" w:lineRule="exact"/>
        <w:rPr>
          <w:sz w:val="20"/>
          <w:szCs w:val="20"/>
          <w:color w:val="auto"/>
        </w:rPr>
      </w:pPr>
    </w:p>
    <w:p>
      <w:pPr>
        <w:ind w:left="900" w:right="20" w:hanging="406"/>
        <w:spacing w:after="0" w:line="261" w:lineRule="auto"/>
        <w:tabs>
          <w:tab w:leader="none" w:pos="8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00" w:hanging="406"/>
        <w:spacing w:after="0" w:line="291" w:lineRule="auto"/>
        <w:tabs>
          <w:tab w:leader="none" w:pos="8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92" w:lineRule="exact"/>
        <w:rPr>
          <w:rFonts w:ascii="Arial" w:cs="Arial" w:eastAsia="Arial" w:hAnsi="Arial"/>
          <w:sz w:val="17"/>
          <w:szCs w:val="17"/>
          <w:color w:val="auto"/>
        </w:rPr>
      </w:pPr>
    </w:p>
    <w:p>
      <w:pPr>
        <w:ind w:left="900" w:right="20" w:hanging="406"/>
        <w:spacing w:after="0" w:line="291" w:lineRule="auto"/>
        <w:tabs>
          <w:tab w:leader="none" w:pos="8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2" w:lineRule="exact"/>
        <w:rPr>
          <w:rFonts w:ascii="Arial" w:cs="Arial" w:eastAsia="Arial" w:hAnsi="Arial"/>
          <w:sz w:val="17"/>
          <w:szCs w:val="17"/>
          <w:color w:val="auto"/>
        </w:rPr>
      </w:pPr>
    </w:p>
    <w:p>
      <w:pPr>
        <w:ind w:left="900" w:hanging="406"/>
        <w:spacing w:after="0" w:line="261" w:lineRule="auto"/>
        <w:tabs>
          <w:tab w:leader="none" w:pos="8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900" w:right="20" w:hanging="406"/>
        <w:spacing w:after="0" w:line="248" w:lineRule="auto"/>
        <w:tabs>
          <w:tab w:leader="none" w:pos="7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27" w:lineRule="exact"/>
        <w:rPr>
          <w:rFonts w:ascii="Arial" w:cs="Arial" w:eastAsia="Arial" w:hAnsi="Arial"/>
          <w:sz w:val="18"/>
          <w:szCs w:val="18"/>
          <w:color w:val="auto"/>
        </w:rPr>
      </w:pPr>
    </w:p>
    <w:p>
      <w:pPr>
        <w:ind w:left="900" w:hanging="406"/>
        <w:spacing w:after="0" w:line="243" w:lineRule="auto"/>
        <w:tabs>
          <w:tab w:leader="none" w:pos="7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ind w:left="900" w:hanging="406"/>
        <w:spacing w:after="0" w:line="248" w:lineRule="auto"/>
        <w:tabs>
          <w:tab w:leader="none" w:pos="7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leased headquarters in Santa Clara, California, comprises approximately 21,848 square feet, and the lease for this space expires in May 2025. Our headquarters houses our research, product development, marketing, finance, education, and administration functions. We believe our facilities are adequate and suitable for our current needs but in the future we may need additional space. We also lease research and development and warehouse space in another building in Santa Clara, California under a lease that will expire in October 2026, and office spaces in Gallarate, Italy (lease expires in August 2027), Mannheim, Germany (lease can be terminated on six months notice), and Knaresborough, United Kingdom (lease expires in December 2025) to accommodate our European sales and marketing team.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As of February 22, 2022, we had 154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29" w:lineRule="exact"/>
        <w:rPr>
          <w:sz w:val="20"/>
          <w:szCs w:val="20"/>
          <w:color w:val="auto"/>
        </w:rPr>
      </w:pPr>
    </w:p>
    <w:p>
      <w:pPr>
        <w:jc w:val="both"/>
        <w:ind w:right="20"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our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December 31, 2021, approximately $85.4 million of the net proceeds had been used for general corporate purposes including cash used in operations and capital expenditures.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51"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of this Annual Report on Form 10-K, our actual results could differ materially from the results described in, or implied, by these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are a medical device company dedicated to solving musculoskeletal disorders of the sacropelvic anatomy. We have pioneered a proprietary minimally invasive surgical implant system, which we call iFuse, to addresss sacroiliac joint dysfunction and degeneration, adult deformity, pelvic ring traumatic fractures. Since we introduced iFuse in 2009, as of December 31, 2021, approximately 65,000 procedures have been performed by over 2,600 surgeons, in the U.S. and 36 other countries.</w:t>
      </w:r>
    </w:p>
    <w:p>
      <w:pPr>
        <w:spacing w:after="0" w:line="1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Our iFuse Implant System includes a series of patented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first-generation iFuse implant has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We hold issued patents on implants with cross-sections of many non-round shapes, including the triangular shape of our first-generation iFuse implant. We also hold issued patents for the method of placing those implants across the sacroiliac joint, as well as other parts of the spine and pelvis.</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our second-generation implant,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iFuse for this indication and surgical technique in Europe in December 2019. In March 2020, we received FDA 510(k) clearance for an expanded indication for our triangular iFuse implants to support our trauma program.</w:t>
      </w:r>
    </w:p>
    <w:p>
      <w:pPr>
        <w:spacing w:after="0" w:line="12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February 2021, we received clearance from the FDA for iFuse-TORQ, a 3D-printed portfolio of threaded implants designed to meet the needs of pelvic trauma and minimally invasive sacroiliac joint fusion applications. iFuse-TORQ is targeted to address an unmet clinical need for low energy pelvic ring fractures and chronic sacroiliac joint pain after high energy pelvic ring trauma. iFuse-TORQ also provides an opportunity for us to capture competitive screw business for minimally invasive sacroiliac joint fusions.</w:t>
      </w:r>
    </w:p>
    <w:p>
      <w:pPr>
        <w:spacing w:after="0" w:line="13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expenses, from our first follow-on public offering of our common stock. In October 2020, we received a total of $71.6 million of net proceeds from our second follow-on offering of our common stock.</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93"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Access to many hospitals and other customer sites continues to be impacted by prevalence of COVID-19, which negatively impacts our ability to promote the use of our products with physicians. Additionally, many hospitals and ambulatory surgery centers have in the past suspended and may continue to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2020 and 2021 as evidenced by case deferrals attributed to COVID-19.</w:t>
      </w:r>
    </w:p>
    <w:p>
      <w:pPr>
        <w:spacing w:after="0" w:line="10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We have taken a variety of steps to address the impact of the COVID-19 pandemic, while attempting to minimize business disruption. Essential staff in operations and limited support functions worked from our Santa Clara headquarters throughout the pandemic, following appropriate hygiene and social distancing protocols. To reduce risk to our employees and families from potential exposure to COVID-19, other staff in our Santa Clara headquarters worked from home. We also restricted non-essential travel to protect the health and safety of our employees and customers. Starting June 15, 2021, we began the return to work for many of our headquarter-based personnel based upon new guidelines from the State of California. In December 2021, amid the rising cases related to the Omicron variant, we again required non-essential staff to work remotely.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11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While we have not experienced material disruptions to our supply chain to date, certain of our third-party suppliers have faced delays, product shortages and rising costs resulting from disruptions in the global supply chain, primarily related to our instruments.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existence and further duration of the COVID-19 pandemic may also further exacerbate certain risks as described in “Item 1A - Risk Factors.”</w:t>
      </w:r>
    </w:p>
    <w:p>
      <w:pPr>
        <w:spacing w:after="0" w:line="18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12"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expand the market and deliver revenue growth. We limited new sales force hiring in the second and third quarter of 2020 due to uncertainty from the COVID-19 pandemic and focused on sales force productivity during this period, but resumed hiring of salespeople in the fourth quarter of 2020 and into 2021.</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2021, our U.S. sales force consisted of 85 territory sales managers and 65 clinical support specialists directly employed by us and 59 third-party distributors, compared to 64 territory sales managers and 58 clinical support specialists directly employed by us and 41 third-party distributors as of December 31, 2020. As of December 31, 2021, our international sales force consisted of 20 sales representatives directly employed by us and 32 exclusive third-party distributors, compared to 20 sales representatives directly employed by us and 31 exclusive third-party distributors as of December 31, 2020.</w:t>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left="42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2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medical affairs team works closely with our sales team to increase surgeon activity and training. Surgeon activity includes both the number of surgeons performing iFuse procedures as well as the number of procedures performed per surgeon. As of December 31, 2021 and 2020, in the U.S. more than 1,800 surgeon and 1,600 surgeons, respectively, have been trained on iFuse and have treated at least one patient. Outside the U.S., as of December 31, 2021 and 2020, more than 700 surgeons and 600 surgeons, respectively, have been trained on iFuse and have treated at least one patient. We will continue to pursue the remainder of the approximately 7,500 target surgeons in the U.S., as well as international surgeons for training in the future.</w:t>
      </w:r>
    </w:p>
    <w:p>
      <w:pPr>
        <w:spacing w:after="0" w:line="16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COVID-19 pandemic has challenged our traditional method of hands-on cadaveric and dry-lab training. Therefore, in addition to utilizing a virtual education series for surgeons and mid-level practitioners for training activities, we began using the SI-BONE SImulator - a portable, radiation-free, haptics and computer-based simulator for training purposes. Starting in July 2020 we began deploying the SImulators to cover all US regions and European subsidiaries and had 24 SImulators in our offices and the field as of the date of this report.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Launch new products</w:t>
      </w:r>
    </w:p>
    <w:p>
      <w:pPr>
        <w:spacing w:after="0" w:line="22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triangular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in November 2019 and we launched the promotion of this technique in select European markets in December 2019.</w:t>
      </w:r>
    </w:p>
    <w:p>
      <w:pPr>
        <w:spacing w:after="0" w:line="16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addition, we received FDA clearance for our new trauma product, iFuse-TORQ, in the first quarter of 2021. iFuse-TORQ is a highly differentiated 3D-printed threaded implant for pelvic trauma and minimally invasive sacroiliac joint fusion applications. Relative to competitive trauma products, iFuse-TORQ is roughly two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Engage key opinion leader</w:t>
      </w:r>
      <w:r>
        <w:rPr>
          <w:rFonts w:ascii="Arial" w:cs="Arial" w:eastAsia="Arial" w:hAnsi="Arial"/>
          <w:sz w:val="18"/>
          <w:szCs w:val="18"/>
          <w:color w:val="auto"/>
        </w:rPr>
        <w:t>s</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over 160 academic programs in the U.S., resulting in the training of over 850 surgical residents and fellows since August 1, 2018.</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broad coverage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made significant progress in the number of covered lives for minimally invasive sacroiliac fusion in the U.S.</w:t>
      </w:r>
    </w:p>
    <w:p>
      <w:pPr>
        <w:spacing w:after="0" w:line="225"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December 31, 2021, substantially all U.S. payors reimburse for sacroiliac joint fusion. As of December 31, 2021, over 35 U.S. payors have issued positive coverage policies exclusive to our patented design of triangular titanium implants for sacroiliac joint fusion because of the clinical evidence.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5" w:name="page66"/>
    <w:bookmarkEnd w:id="65"/>
    <w:p>
      <w:pPr>
        <w:jc w:val="both"/>
        <w:ind w:firstLine="405"/>
        <w:spacing w:after="0" w:line="253" w:lineRule="auto"/>
        <w:rPr>
          <w:sz w:val="20"/>
          <w:szCs w:val="20"/>
          <w:color w:val="auto"/>
        </w:rPr>
      </w:pPr>
      <w:r>
        <w:rPr>
          <w:rFonts w:ascii="Arial" w:cs="Arial" w:eastAsia="Arial" w:hAnsi="Arial"/>
          <w:sz w:val="18"/>
          <w:szCs w:val="18"/>
          <w:color w:val="auto"/>
        </w:rPr>
        <w:t>Effective July 3, 2021, Centene established positive coverage for minimally invasive SI joint fusion. Centene is a major intermediary for both government-sponsored and privately insured health care programs and covers more than 25 million members. Anthem adopted coverage guidelines that are exclusive to triangular titanium implants for minimally invasive SI joint fusion which begin taking effect on July 30, 2021. Anthem is the second largest private payor in the U.S. with over 40 million members. Effective October 1, 2021, UnitedHealthcare has changed its minimally invasive SI joint fusion policy from covering all devices to covering exclusively our triangular titanium implants. UnitedHealthcare is the largest commercial payor in the U.S. with over 45 million members. With this updated policy, UnitedHealthcare joins more than 35 other health plans that collectively cover approximately 160 million insured, requiring the use of titanium triangular implants for minimally invasive SI joint fusion. We believe that the full impact of each coverage decision grows over time as surgeons gain confidence that they will receive reimbursement for the majority of their diagnosed patients. With recent payor decisions, over 300 million people in the U.S. now have access to minimally invasive SI joint fusion, representing nearly universal coverage of the procedure.</w:t>
      </w: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generate most of our revenue from sales of iFuse triangular titanium implants. Our revenue from sales of implants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seasonality, and the impact of COVID-19.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9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1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utilize third-party manufacturers for production of our implants and instrument sets. Cost of goods sold consists primarily of costs of the components of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During the second quarter of 2020, we took steps to reduce variable expenses that were ineffective and slowed down hiring due to the impact to our revenue from COVID-19. We returned to more normalized spending levels in the fourth quarter of 2020 and throughout 2021. We intend to make investments to execute our strategic plans and operational initiatives. We anticipate operating expenses will continue to increase to support our growth.</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General and administrative expenses primarily consist of salaries, stock-based compensation expense, and other costs for finance, accounting, legal, insurance, compliance, and administrative matters.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Interest expense is primarily related to borrowings, amortization of debt issuance costs, accretion of final fees on the Solar and SVB Term Loan and the loss on extinguishment on the Pharmakon and Solar Term loan.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manage and operate as one reportable segment. The table below summarizes our results of operations for the periods presented (percentages are amounts as a percentage of revenue), which we derived from the accompanying consolidated financial statements:</w:t>
      </w:r>
    </w:p>
    <w:p>
      <w:pPr>
        <w:spacing w:after="0" w:line="25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 ended December 31, 2021</w:t>
            </w:r>
          </w:p>
        </w:tc>
        <w:tc>
          <w:tcPr>
            <w:tcW w:w="200" w:type="dxa"/>
            <w:vAlign w:val="bottom"/>
          </w:tcPr>
          <w:p>
            <w:pPr>
              <w:spacing w:after="0"/>
              <w:rPr>
                <w:sz w:val="18"/>
                <w:szCs w:val="18"/>
                <w:color w:val="auto"/>
              </w:rPr>
            </w:pPr>
          </w:p>
        </w:tc>
        <w:tc>
          <w:tcPr>
            <w:tcW w:w="2520" w:type="dxa"/>
            <w:vAlign w:val="bottom"/>
            <w:gridSpan w:val="3"/>
          </w:tcPr>
          <w:p>
            <w:pPr>
              <w:jc w:val="right"/>
              <w:ind w:right="211"/>
              <w:spacing w:after="0"/>
              <w:rPr>
                <w:sz w:val="20"/>
                <w:szCs w:val="20"/>
                <w:color w:val="auto"/>
              </w:rPr>
            </w:pPr>
            <w:r>
              <w:rPr>
                <w:rFonts w:ascii="Arial" w:cs="Arial" w:eastAsia="Arial" w:hAnsi="Arial"/>
                <w:sz w:val="16"/>
                <w:szCs w:val="16"/>
                <w:b w:val="1"/>
                <w:bCs w:val="1"/>
                <w:color w:val="auto"/>
                <w:w w:val="93"/>
              </w:rPr>
              <w:t>Year ended December 31, 2020</w:t>
            </w:r>
          </w:p>
        </w:tc>
      </w:tr>
      <w:tr>
        <w:trPr>
          <w:trHeight w:val="210"/>
        </w:trPr>
        <w:tc>
          <w:tcPr>
            <w:tcW w:w="4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w:t>
            </w:r>
          </w:p>
        </w:tc>
      </w:tr>
      <w:tr>
        <w:trPr>
          <w:trHeight w:val="207"/>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tcPr>
          <w:p>
            <w:pPr>
              <w:ind w:left="100"/>
              <w:spacing w:after="0"/>
              <w:rPr>
                <w:sz w:val="20"/>
                <w:szCs w:val="20"/>
                <w:color w:val="auto"/>
              </w:rPr>
            </w:pPr>
            <w:r>
              <w:rPr>
                <w:rFonts w:ascii="Arial" w:cs="Arial" w:eastAsia="Arial" w:hAnsi="Arial"/>
                <w:sz w:val="16"/>
                <w:szCs w:val="16"/>
                <w:b w:val="1"/>
                <w:bCs w:val="1"/>
                <w:color w:val="auto"/>
                <w:w w:val="92"/>
              </w:rPr>
              <w:t>(in thousands, except for percentages)</w:t>
            </w:r>
          </w:p>
        </w:tc>
        <w:tc>
          <w:tcPr>
            <w:tcW w:w="1360" w:type="dxa"/>
            <w:vAlign w:val="bottom"/>
          </w:tcPr>
          <w:p>
            <w:pPr>
              <w:spacing w:after="0"/>
              <w:rPr>
                <w:sz w:val="17"/>
                <w:szCs w:val="17"/>
                <w:color w:val="auto"/>
              </w:rPr>
            </w:pPr>
          </w:p>
        </w:tc>
      </w:tr>
      <w:tr>
        <w:trPr>
          <w:trHeight w:val="235"/>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79,724</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12,441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25,069</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131,394</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(5,365)</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(56,572)</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The table below summarizes our revenue by geography: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right"/>
              <w:ind w:right="214"/>
              <w:spacing w:after="0"/>
              <w:rPr>
                <w:sz w:val="20"/>
                <w:szCs w:val="20"/>
                <w:color w:val="auto"/>
              </w:rPr>
            </w:pPr>
            <w:r>
              <w:rPr>
                <w:rFonts w:ascii="Arial" w:cs="Arial" w:eastAsia="Arial" w:hAnsi="Arial"/>
                <w:sz w:val="16"/>
                <w:szCs w:val="16"/>
                <w:b w:val="1"/>
                <w:bCs w:val="1"/>
                <w:color w:val="auto"/>
                <w:w w:val="93"/>
              </w:rPr>
              <w:t>Year ended December 31, 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2020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7"/>
          </w:tcPr>
          <w:p>
            <w:pPr>
              <w:ind w:left="20"/>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Borders>
              <w:right w:val="single" w:sz="8" w:color="CCEEFF"/>
            </w:tcBorders>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4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CCEEFF"/>
            </w:tcBorders>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Comparison of the years ended December 31, 2021 and 2020</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8"/>
              </w:rPr>
              <w:t>Revenue, Cost of Goods Sold, Gross Profit, and Gross Margin</w:t>
            </w: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43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 Change</w:t>
            </w:r>
          </w:p>
        </w:tc>
        <w:tc>
          <w:tcPr>
            <w:tcW w:w="16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(in thousands except for percentages)</w:t>
            </w:r>
          </w:p>
        </w:tc>
        <w:tc>
          <w:tcPr>
            <w:tcW w:w="1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90,152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73,387</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10,428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79,724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64,485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88 %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88 %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5200" w:type="dxa"/>
            <w:vAlign w:val="bottom"/>
            <w:gridSpan w:val="2"/>
          </w:tcPr>
          <w:p>
            <w:pPr>
              <w:ind w:left="46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jc w:val="both"/>
        <w:ind w:firstLine="44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revenue for the year ended December 31, 2021 compared to the year ended December 31, 2020 comprised a $14.6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U.S. revenue and an increase of $2.1 million in our international revenue. The increase in revenue is due to the increase in domestic and international case volumes, higher number of sales personnel as we continue to invest in our sales organization and increased active surgeons, which benefited from the use of our SImulator to train both new surgeons and re-engage inactive surgeons. This increase was partially offset by lower average selling prices in the U.S. Fiscal year 2021 continued to be impacted by deferral of elective surgeries due to COVID-19, but the impact was lower compared to the deferral of elective cases in fiscal year 2020.</w:t>
      </w:r>
    </w:p>
    <w:p>
      <w:pPr>
        <w:spacing w:after="0" w:line="19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increased $15.2 million for the year ended December 31, 2021 compared to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driven by higher revenue. Gross margin remained consistent at 88% for the year ended December 31, 2021 compared to the prior year mainly due to higher employee related costs of $0.8 million to support the growth of the business, partially offset by $0.8 million decrease in inventory write-downs due to the write-down of iFuse related inventory in 2020 resulting from the faster than anticipated adoption of iFuse-3D.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4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(in thousands, except for percentages)</w:t>
            </w:r>
          </w:p>
        </w:tc>
        <w:tc>
          <w:tcPr>
            <w:tcW w:w="1240" w:type="dxa"/>
            <w:vAlign w:val="bottom"/>
          </w:tcPr>
          <w:p>
            <w:pPr>
              <w:spacing w:after="0"/>
              <w:rPr>
                <w:sz w:val="18"/>
                <w:szCs w:val="18"/>
                <w:color w:val="auto"/>
              </w:rPr>
            </w:pPr>
          </w:p>
        </w:tc>
      </w:tr>
      <w:tr>
        <w:trPr>
          <w:trHeight w:val="232"/>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year ended December 31, 2021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was due to (a) increases in employee related costs, commissions and stock-based compensation of $11.2 million driven by increased headcount and higher revenues, (b) higher consulting fees of $1.1 million associated with more surgeon training programs and (c) as COVID-19 pandemic restrictions eased, we experienced higher levels of travel, marketing, training activities, facilities and other related costs resulting in an increase of $7.8 million.</w:t>
      </w:r>
    </w:p>
    <w:p>
      <w:pPr>
        <w:spacing w:after="0" w:line="18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year ended December 31,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was due to an increase of $1.6 million in employee related costs and stock-based compensation driven by increased headcount and an increase of $1.4 million due to consulting, clinical study and research and development activities driven by investments in our product roadmap and progress of our SILVIA clinical trial.</w:t>
      </w:r>
    </w:p>
    <w:p>
      <w:pPr>
        <w:spacing w:after="0" w:line="18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increase in general and administrative expenses for the year ended December 31, 2021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2020 was due to an increase of $3.4 million in employee related costs and stock-based compensation driven by increased headcount, and an increase of $1.9 million in consulting, accounting and audit fees primarily associated with SOX compliance requirements.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(in thousands, except for percentages)</w:t>
            </w:r>
          </w:p>
        </w:tc>
        <w:tc>
          <w:tcPr>
            <w:tcW w:w="1240" w:type="dxa"/>
            <w:vAlign w:val="bottom"/>
          </w:tcPr>
          <w:p>
            <w:pPr>
              <w:spacing w:after="0"/>
              <w:rPr>
                <w:sz w:val="18"/>
                <w:szCs w:val="18"/>
                <w:color w:val="auto"/>
              </w:rPr>
            </w:pPr>
          </w:p>
        </w:tc>
      </w:tr>
      <w:tr>
        <w:trPr>
          <w:trHeight w:val="232"/>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0"/>
              </w:rPr>
              <w:t>(911)</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49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93"/>
              </w:rPr>
              <w:t>736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93"/>
              </w:rPr>
              <w:t>403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980" w:type="dxa"/>
            <w:vAlign w:val="bottom"/>
          </w:tcPr>
          <w:p>
            <w:pPr>
              <w:ind w:left="60"/>
              <w:spacing w:after="0"/>
              <w:rPr>
                <w:sz w:val="20"/>
                <w:szCs w:val="20"/>
                <w:color w:val="auto"/>
              </w:rPr>
            </w:pPr>
            <w:r>
              <w:rPr>
                <w:rFonts w:ascii="Arial" w:cs="Arial" w:eastAsia="Arial" w:hAnsi="Arial"/>
                <w:sz w:val="18"/>
                <w:szCs w:val="18"/>
                <w:color w:val="auto"/>
              </w:rPr>
              <w:t>Total interest and other income (expense),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3"/>
              </w:rPr>
              <w:t>228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decrease in interest income for the year ended December 31, 2021 as compared to the year ended December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lower interest earned on our investments in marketable securities, primarily as a result of lower interest rates.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ind w:firstLine="445"/>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year ended December 31, 2021 as compared to the year ended December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$1.0 million of lower interest associated with the SVB Term Loan and Solar Term Loan in 2021 compared to the Pharmakon and Solar Term Loans in 2020, offset in part by the loss on extinguishment of the Solar Term Loan of $1.8 million in 2021 compared to the loss on extinguishment of the Pharmakon Term Loan of $1.5 million in 2020.</w:t>
      </w:r>
    </w:p>
    <w:p>
      <w:pPr>
        <w:spacing w:after="0" w:line="18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increased for the year ended December 31, 2021 as compared to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foreign currency fluctuations.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2021, we had cash and marketable securities of $147.0 million compared to $196.4 million as of December 31, 2020. We have financed our operations through our public offerings and debt financing arrangements. As of December 31, 2021 and 2020 we had $35.0 million and $39.5 million outstanding debt, respectively.</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2021, we had an accumulated deficit of $295.8 million. During the years ended December 31, 2021 and 2020, we incurred a net loss of $56.6 million and $43.7 million, respectively, and expect to incur additional losses in the future. We have not achieved positive cash flow from operations to date.</w:t>
      </w:r>
    </w:p>
    <w:p>
      <w:pPr>
        <w:spacing w:after="0" w:line="18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Based upon our current operating plan, we believe that our existing cash and marketable securities will enable us to fund our operating expenses and capital expenditure requirements over the next 12 months and beyond.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debt as of December 31, 2021 is related to a term loan pursuant to the Loan and Security Agreement dated</w:t>
      </w: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August 12, 2021, entered into by us with Silicon Valley Bank (“SVB”). Pursuant the Loan and Security Agreement with SVB, SVB provided a term loan with an aggregate principal amount of $35.0 million to us. Prior to Loan and Security Agreement with SVB, our outstanding debt was related to a $40.0</w:t>
      </w:r>
    </w:p>
    <w:p>
      <w:pPr>
        <w:jc w:val="both"/>
        <w:spacing w:after="0" w:line="266" w:lineRule="auto"/>
        <w:rPr>
          <w:sz w:val="20"/>
          <w:szCs w:val="20"/>
          <w:color w:val="auto"/>
        </w:rPr>
      </w:pPr>
      <w:r>
        <w:rPr>
          <w:rFonts w:ascii="Arial" w:cs="Arial" w:eastAsia="Arial" w:hAnsi="Arial"/>
          <w:sz w:val="16"/>
          <w:szCs w:val="16"/>
          <w:color w:val="auto"/>
        </w:rPr>
        <w:t>million term loan (the “Solar Term Loan”) with Solar Capital Partners (“Solar”) entered into in May 2020. In accordance with the Loan and Security Agreement with SVB, we paid in full and terminated the Loan and Security Agreement with Solar, which we accounted for as debt extinguishment in accordance with the accounting standards. As of December 31, 2021 and 2020, there was no amount available that could be borrowed under the applicable credit facility. We paid in full the principal outstanding and final fee totaling of $41 million and terminated the Solar Term Loan in August 2021.</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6"/>
          <w:szCs w:val="16"/>
          <w:color w:val="auto"/>
        </w:rPr>
        <w:t>The SVB Term Loan matures (the “Maturity Date”) on either (a) August 1, 2025 or (b) August 1, 2026 dependent on our achievement of a certain financial performance milestone as of December 31, 2022, as set forth in the Loan Agreement. Interest on the SVB Term Loan will be payable monthly at an annual rate set at the greater of (a) 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was fully earned by SVB on the effective date of the Loan and Security Agreement with SVB. With respect to the SVB Term Loan, this final payment shall be due and payable on the earliest of (i) the maturity date, (ii) the full repayment of the loan, (iii) permitted prepayment and mandatory prepayment upon an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acceleration as specified in the agreement or (iv) the termination of the agreement. The final payment was included within the long-term borrowings and is accreted to interest expense using straight-line method over the life of the term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1" w:name="page72"/>
    <w:bookmarkEnd w:id="71"/>
    <w:p>
      <w:pPr>
        <w:jc w:val="both"/>
        <w:ind w:firstLine="405"/>
        <w:spacing w:after="0" w:line="274" w:lineRule="auto"/>
        <w:rPr>
          <w:sz w:val="20"/>
          <w:szCs w:val="20"/>
          <w:color w:val="auto"/>
        </w:rPr>
      </w:pPr>
      <w:r>
        <w:rPr>
          <w:rFonts w:ascii="Arial" w:cs="Arial" w:eastAsia="Arial" w:hAnsi="Arial"/>
          <w:sz w:val="16"/>
          <w:szCs w:val="16"/>
          <w:color w:val="auto"/>
        </w:rPr>
        <w:t>The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 As of December 31, 2021,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periods.</w:t>
      </w:r>
    </w:p>
    <w:p>
      <w:pPr>
        <w:spacing w:after="0" w:line="1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material cash requirements include various contractual and other obligations consisting of long-term debt obligations with SVB, operating lease obligations and purchase obligations with some of our suppliers. Expected timing of those payments are as follows:</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Less than 1 year</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3"/>
                <w:szCs w:val="13"/>
                <w:color w:val="auto"/>
              </w:rPr>
            </w:pPr>
          </w:p>
        </w:tc>
        <w:tc>
          <w:tcPr>
            <w:tcW w:w="1040" w:type="dxa"/>
            <w:vAlign w:val="bottom"/>
          </w:tcPr>
          <w:p>
            <w:pPr>
              <w:ind w:left="40"/>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xml:space="preserve">Principal obligations and final fee on long-term debt </w:t>
            </w:r>
            <w:r>
              <w:rPr>
                <w:rFonts w:ascii="Arial" w:cs="Arial" w:eastAsia="Arial" w:hAnsi="Arial"/>
                <w:sz w:val="14"/>
                <w:szCs w:val="14"/>
                <w:color w:val="auto"/>
                <w:w w:val="93"/>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188595</wp:posOffset>
            </wp:positionV>
            <wp:extent cx="1731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93" w:lineRule="exact"/>
        <w:rPr>
          <w:sz w:val="20"/>
          <w:szCs w:val="20"/>
          <w:color w:val="auto"/>
        </w:rPr>
      </w:pPr>
    </w:p>
    <w:p>
      <w:pPr>
        <w:ind w:left="480" w:hanging="310"/>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SVB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SVB Term Loan estimated using an interest rate of 5.75% as of December 31, 2021.</w:t>
      </w: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compared to $59.2 million of contractual obligations as of December 31,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66"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5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207"/>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7"/>
          </w:tcPr>
          <w:p>
            <w:pPr>
              <w:jc w:val="right"/>
              <w:ind w:right="632"/>
              <w:spacing w:after="0"/>
              <w:rPr>
                <w:sz w:val="20"/>
                <w:szCs w:val="20"/>
                <w:color w:val="auto"/>
              </w:rPr>
            </w:pPr>
            <w:r>
              <w:rPr>
                <w:rFonts w:ascii="Arial" w:cs="Arial" w:eastAsia="Arial" w:hAnsi="Arial"/>
                <w:sz w:val="16"/>
                <w:szCs w:val="16"/>
                <w:b w:val="1"/>
                <w:bCs w:val="1"/>
                <w:color w:val="auto"/>
              </w:rPr>
              <w:t>(in thousands, except for percentages)</w:t>
            </w:r>
          </w:p>
        </w:tc>
      </w:tr>
      <w:tr>
        <w:trPr>
          <w:trHeight w:val="235"/>
        </w:trPr>
        <w:tc>
          <w:tcPr>
            <w:tcW w:w="5080" w:type="dxa"/>
            <w:vAlign w:val="bottom"/>
          </w:tcPr>
          <w:p>
            <w:pPr>
              <w:ind w:left="60"/>
              <w:spacing w:after="0"/>
              <w:rPr>
                <w:sz w:val="20"/>
                <w:szCs w:val="20"/>
                <w:color w:val="auto"/>
              </w:rPr>
            </w:pPr>
            <w:r>
              <w:rPr>
                <w:rFonts w:ascii="Arial" w:cs="Arial" w:eastAsia="Arial" w:hAnsi="Arial"/>
                <w:sz w:val="18"/>
                <w:szCs w:val="18"/>
                <w:b w:val="1"/>
                <w:bCs w:val="1"/>
                <w:color w:val="auto"/>
              </w:rPr>
              <w:t>Net cash provided by (used in):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r>
      <w:tr>
        <w:trPr>
          <w:trHeight w:val="230"/>
        </w:trPr>
        <w:tc>
          <w:tcPr>
            <w:tcW w:w="508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114,496</w:t>
            </w:r>
          </w:p>
        </w:tc>
      </w:tr>
      <w:tr>
        <w:trPr>
          <w:trHeight w:val="229"/>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(138,112)</w:t>
            </w:r>
          </w:p>
        </w:tc>
      </w:tr>
      <w:tr>
        <w:trPr>
          <w:trHeight w:val="230"/>
        </w:trPr>
        <w:tc>
          <w:tcPr>
            <w:tcW w:w="5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w w:val="98"/>
              </w:rPr>
              <w:t>Effects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48"/>
        </w:trPr>
        <w:tc>
          <w:tcPr>
            <w:tcW w:w="5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2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6"/>
          <w:szCs w:val="16"/>
          <w:color w:val="auto"/>
        </w:rPr>
        <w:t>Net cash used in operating activities for the year ended December 31, 2021 of $39.5 million resulted from cash outflows due to net loss of $56.6 million, adjusted for $22.8 million of non-cash items and cash outflows from changes in operating assets and liabilities of $5.7 million. Net cash used in operation activities for the year ended December 31, 2020 of $30.7 million resulted from cash outflows due to net loss of $43.7 million, adjusted for $15.6 million of non-cash items and cash outflows from changes in operating assets and liabilities of $2.5 million. The increase in net loss, net of non-cash items for the year ended December 31, 2021 compared to the year ended December 31, 2020 was mainly due to the higher operating expenses from the growth of the business. Net cash outflows from changes in operating assets and liabilities for year ended December 31, 2021 were primarily due to higher inventory build-up related to our iFuse-TORQ implants and timing of accounts receivable collections due to the increase in revenue in the fourth quarter of 2021, an increase in prepaid expenses due to higher prepaid insurance related to annual insurance premiums, and a decrease in accounts payable due to the timing of vendor payments, partially offset by an increase in accrued liabilities and other due to timing of other third-party payments and higher compensation and benefits accruals. Net cash outflows from changes in operating assets and liabilities for the year ended December 31, 2020 were primarily due to timing of prepayments of certain expenses, higher accounts receivable due to the timing of collections, higher inventory due to the timing of inventory build-up, higher accounts payable due to timing of vendor payments, and a decrease in accrued liabilities and other due to timing of payments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Net cash provided by investing activities in the year ended December 31, 2021 was $51.6 million compared to net cash used in investing activities of $62.9 million in the year ended December 31, 2020. Net cash provided by investing activities for the year ended December 31, 2021 consisted of maturities of our marketable securities, net of purchases of $58.0 million, partially offset by purchases of property and equipment of $6.4 million related to individual components in instrument to support increased case volumes and the launch of iFuse-TORQ, as well as capitalized costs related to the new lease in Santa Clara. Net cash used in investing activities for the year ended December 31, 2020 consisted of maturities of our marketable securities, net of purchases of $60.4 million, partially offset by purchases of property and equipment of $2.6 million for individual components in instrument sets.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used in financing activities in the year ended December 31, 2021 was $1.7 million and includes the paydown of our debt by $5.0 million and $1.6 million of other payments associated with refinancing of our debt, partially offset by proceeds from the issuance of common stock under our stock-based incentive compensation plans of $4.9 million. This compares to the cash provided by financing activities in the year ended December 31, 2020 of $136.4 million which consisted of proceeds, net of underwriting discounts, commissions and offering costs of $134.6 million from our follow-on public offerings in January and October 2020 and proceeds from the issuance of common stock under our stock-based incentive compensation plans of $3.4 million, partially offset by payments associated with refinancing of our debt of $1.6 million.</w:t>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Arial" w:cs="Arial" w:eastAsia="Arial" w:hAnsi="Arial"/>
          <w:sz w:val="17"/>
          <w:szCs w:val="17"/>
          <w:i w:val="1"/>
          <w:iCs w:val="1"/>
          <w:color w:val="auto"/>
        </w:rPr>
        <w:t>-</w:t>
      </w:r>
      <w:r>
        <w:rPr>
          <w:rFonts w:ascii="Arial" w:cs="Arial" w:eastAsia="Arial" w:hAnsi="Arial"/>
          <w:sz w:val="17"/>
          <w:szCs w:val="17"/>
          <w:color w:val="auto"/>
        </w:rPr>
        <w:t xml:space="preserve"> Summary of Significant Account Policies” in the accompanying Notes to Consolidated Financial Statements in Item 8 of this Form 10-K.</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adopted ASC Topic 606, Revenue from Contracts with Customers (“ASC 606”) effective January 1, 2019. The adoption of ASC 606 did not have a material effect on our revenue recognition. We derive our revenue from the sale of our products to medical groups and hospitals through our direct sales force and distributors throughout the U.S. and Europe. 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6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distributors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reduction to revenue, calculated based on the terms agreed to with the customer. Historically, there had been no significant price discounts.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distributors,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paid to our sales representatives commensurate for each surgery performed. The period of benefit is concurrent when we recognize our revenue, as such, we also recognize sales commission as expense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177"/>
        <w:spacing w:after="0" w:line="263" w:lineRule="auto"/>
        <w:rPr>
          <w:sz w:val="20"/>
          <w:szCs w:val="20"/>
          <w:color w:val="auto"/>
        </w:rPr>
      </w:pPr>
      <w:r>
        <w:rPr>
          <w:rFonts w:ascii="Arial" w:cs="Arial" w:eastAsia="Arial" w:hAnsi="Arial"/>
          <w:sz w:val="18"/>
          <w:szCs w:val="18"/>
          <w:color w:val="auto"/>
        </w:rPr>
        <w:t>While we became a large accelerated filer as of December 31, 2021, we are not required to reflect the change in our smaller reporting company status and comply with the associated increased disclosure obligations until our quarterly report for the three-month period ending March 31, 2022. As a result, we are not required to provide the information otherwise required by this Item.</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07" w:right="5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04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99"/>
              </w:rPr>
              <w:t>SI-BONE,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40" w:type="dxa"/>
            <w:vAlign w:val="bottom"/>
            <w:gridSpan w:val="6"/>
          </w:tcPr>
          <w:p>
            <w:pPr>
              <w:jc w:val="center"/>
              <w:ind w:right="1820"/>
              <w:spacing w:after="0"/>
              <w:rPr>
                <w:sz w:val="20"/>
                <w:szCs w:val="20"/>
                <w:color w:val="auto"/>
              </w:rPr>
            </w:pPr>
            <w:r>
              <w:rPr>
                <w:rFonts w:ascii="Arial" w:cs="Arial" w:eastAsia="Arial" w:hAnsi="Arial"/>
                <w:sz w:val="18"/>
                <w:szCs w:val="18"/>
                <w:b w:val="1"/>
                <w:bCs w:val="1"/>
                <w:color w:val="auto"/>
              </w:rPr>
              <w:t>INDEX TO CONSOLIDATED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982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840" w:type="dxa"/>
            <w:vAlign w:val="bottom"/>
            <w:gridSpan w:val="3"/>
          </w:tcPr>
          <w:p>
            <w:pPr>
              <w:jc w:val="right"/>
              <w:ind w:right="56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gridSpan w:val="5"/>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Consolidated Balance Sheets</w:t>
              </w:r>
            </w:hyperlink>
          </w:p>
        </w:tc>
        <w:tc>
          <w:tcPr>
            <w:tcW w:w="5620" w:type="dxa"/>
            <w:vAlign w:val="bottom"/>
            <w:gridSpan w:val="3"/>
          </w:tcPr>
          <w:p>
            <w:pPr>
              <w:spacing w:after="0"/>
              <w:rPr>
                <w:sz w:val="18"/>
                <w:szCs w:val="18"/>
                <w:color w:val="auto"/>
              </w:rPr>
            </w:pPr>
          </w:p>
        </w:tc>
        <w:tc>
          <w:tcPr>
            <w:tcW w:w="840" w:type="dxa"/>
            <w:vAlign w:val="bottom"/>
            <w:gridSpan w:val="3"/>
          </w:tcPr>
          <w:p>
            <w:pPr>
              <w:jc w:val="right"/>
              <w:ind w:right="560"/>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680" w:type="dxa"/>
            <w:vAlign w:val="bottom"/>
            <w:gridSpan w:val="7"/>
          </w:tcPr>
          <w:p>
            <w:pP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Consolidated Statements of Operations and Comprehensive Loss</w:t>
              </w:r>
            </w:hyperlink>
          </w:p>
        </w:tc>
        <w:tc>
          <w:tcPr>
            <w:tcW w:w="5140" w:type="dxa"/>
            <w:vAlign w:val="bottom"/>
          </w:tcPr>
          <w:p>
            <w:pPr>
              <w:spacing w:after="0"/>
              <w:rPr>
                <w:sz w:val="18"/>
                <w:szCs w:val="18"/>
                <w:color w:val="auto"/>
              </w:rPr>
            </w:pPr>
          </w:p>
        </w:tc>
        <w:tc>
          <w:tcPr>
            <w:tcW w:w="840" w:type="dxa"/>
            <w:vAlign w:val="bottom"/>
            <w:gridSpan w:val="3"/>
          </w:tcPr>
          <w:p>
            <w:pPr>
              <w:jc w:val="right"/>
              <w:ind w:right="560"/>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80" w:type="dxa"/>
            <w:vAlign w:val="bottom"/>
            <w:gridSpan w:val="7"/>
          </w:tcPr>
          <w:p>
            <w:pPr>
              <w:spacing w:after="0"/>
              <w:rPr>
                <w:rFonts w:ascii="Arial" w:cs="Arial" w:eastAsia="Arial" w:hAnsi="Arial"/>
                <w:sz w:val="18"/>
                <w:szCs w:val="18"/>
                <w:color w:val="0000FF"/>
                <w:w w:val="96"/>
              </w:rPr>
            </w:pPr>
            <w:hyperlink w:anchor="page80">
              <w:r>
                <w:rPr>
                  <w:rFonts w:ascii="Arial" w:cs="Arial" w:eastAsia="Arial" w:hAnsi="Arial"/>
                  <w:sz w:val="18"/>
                  <w:szCs w:val="18"/>
                  <w:color w:val="0000FF"/>
                  <w:w w:val="96"/>
                </w:rPr>
                <w:t>Consolidated Statements of Changes in Stockholders' Equity</w:t>
              </w:r>
            </w:hyperlink>
          </w:p>
        </w:tc>
        <w:tc>
          <w:tcPr>
            <w:tcW w:w="5140" w:type="dxa"/>
            <w:vAlign w:val="bottom"/>
          </w:tcPr>
          <w:p>
            <w:pPr>
              <w:spacing w:after="0"/>
              <w:rPr>
                <w:sz w:val="18"/>
                <w:szCs w:val="18"/>
                <w:color w:val="auto"/>
              </w:rPr>
            </w:pPr>
          </w:p>
        </w:tc>
        <w:tc>
          <w:tcPr>
            <w:tcW w:w="840" w:type="dxa"/>
            <w:vAlign w:val="bottom"/>
            <w:gridSpan w:val="3"/>
          </w:tcPr>
          <w:p>
            <w:pPr>
              <w:jc w:val="right"/>
              <w:ind w:right="560"/>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gridSpan w:val="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Consolidated Statements of Cash Flows</w:t>
              </w:r>
            </w:hyperlink>
          </w:p>
        </w:tc>
        <w:tc>
          <w:tcPr>
            <w:tcW w:w="5460" w:type="dxa"/>
            <w:vAlign w:val="bottom"/>
            <w:gridSpan w:val="2"/>
          </w:tcPr>
          <w:p>
            <w:pPr>
              <w:spacing w:after="0"/>
              <w:rPr>
                <w:sz w:val="18"/>
                <w:szCs w:val="18"/>
                <w:color w:val="auto"/>
              </w:rPr>
            </w:pPr>
          </w:p>
        </w:tc>
        <w:tc>
          <w:tcPr>
            <w:tcW w:w="840" w:type="dxa"/>
            <w:vAlign w:val="bottom"/>
            <w:gridSpan w:val="3"/>
          </w:tcPr>
          <w:p>
            <w:pPr>
              <w:jc w:val="right"/>
              <w:ind w:right="56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9820" w:type="dxa"/>
            <w:vAlign w:val="bottom"/>
            <w:gridSpan w:val="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Notes to Consolidated Financial Statements</w:t>
              </w:r>
            </w:hyperlink>
          </w:p>
        </w:tc>
        <w:tc>
          <w:tcPr>
            <w:tcW w:w="840" w:type="dxa"/>
            <w:vAlign w:val="bottom"/>
            <w:gridSpan w:val="3"/>
          </w:tcPr>
          <w:p>
            <w:pPr>
              <w:jc w:val="right"/>
              <w:ind w:right="56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140" w:type="dxa"/>
            <w:vAlign w:val="bottom"/>
            <w:gridSpan w:val="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Supplementary Data</w:t>
              </w:r>
            </w:hyperlink>
          </w:p>
        </w:tc>
        <w:tc>
          <w:tcPr>
            <w:tcW w:w="6680" w:type="dxa"/>
            <w:vAlign w:val="bottom"/>
            <w:gridSpan w:val="4"/>
          </w:tcPr>
          <w:p>
            <w:pPr>
              <w:spacing w:after="0"/>
              <w:rPr>
                <w:sz w:val="18"/>
                <w:szCs w:val="18"/>
                <w:color w:val="auto"/>
              </w:rPr>
            </w:pPr>
          </w:p>
        </w:tc>
        <w:tc>
          <w:tcPr>
            <w:tcW w:w="840" w:type="dxa"/>
            <w:vAlign w:val="bottom"/>
            <w:gridSpan w:val="3"/>
          </w:tcPr>
          <w:p>
            <w:pPr>
              <w:jc w:val="right"/>
              <w:ind w:right="560"/>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105</w:t>
              </w:r>
            </w:hyperlink>
          </w:p>
        </w:tc>
      </w:tr>
      <w:tr>
        <w:trPr>
          <w:trHeight w:val="520"/>
        </w:trPr>
        <w:tc>
          <w:tcPr>
            <w:tcW w:w="580" w:type="dxa"/>
            <w:vAlign w:val="bottom"/>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8360" w:type="dxa"/>
            <w:vAlign w:val="bottom"/>
            <w:gridSpan w:val="7"/>
          </w:tcPr>
          <w:p>
            <w:pPr>
              <w:jc w:val="center"/>
              <w:ind w:right="1180"/>
              <w:spacing w:after="0"/>
              <w:rPr>
                <w:sz w:val="20"/>
                <w:szCs w:val="20"/>
                <w:color w:val="auto"/>
              </w:rPr>
            </w:pPr>
            <w:r>
              <w:rPr>
                <w:rFonts w:ascii="Arial" w:cs="Arial" w:eastAsia="Arial" w:hAnsi="Arial"/>
                <w:sz w:val="18"/>
                <w:szCs w:val="18"/>
                <w:color w:val="auto"/>
                <w:w w:val="89"/>
              </w:rPr>
              <w:t>75</w:t>
            </w: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r>
      <w:tr>
        <w:trPr>
          <w:trHeight w:val="358"/>
        </w:trPr>
        <w:tc>
          <w:tcPr>
            <w:tcW w:w="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SI-BONE,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SI-BONE, Inc. and its subsidiaries (the “Company”) as of December 31, 2021 and 2020, and the related consolidated statements of operations and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U.S. Implantation Product Sales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2 to the consolidated financial statements, product sales where the Company’s sales representative delivers the product at the point of implantation at the hospital or medical facilities represent the majority of the Company's consolidated revenue. The Company’s consolidated revenue was $90.2 million for the year ended December 31, 2021, of which, $82.7 million is related to the U.S. Management recognizes the revenue from these sales upon completion of the procedure and authorization by the customer, net of rebates and price discounts. This represents the majority of the Company’s consolidated revenue.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U.S. implantation product sales is a critical audit matter is the high degree of auditor effort in performing procedures related to the Company’s revenue recognition.</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product sales upon completion of the procedure and authorization by the customer. These procedures also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proof of implantation, and subsequent cash receipts, where applicable, for confirmations not returned, and (iv) testing the completeness and accuracy of data provided by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142,851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credit losses of $264 and $263,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23"/>
        </w:trPr>
        <w:tc>
          <w:tcPr>
            <w:tcW w:w="774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218,241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39,455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0" w:type="dxa"/>
            <w:vAlign w:val="bottom"/>
          </w:tcPr>
          <w:p>
            <w:pPr>
              <w:spacing w:after="0"/>
              <w:rPr>
                <w:sz w:val="1"/>
                <w:szCs w:val="1"/>
                <w:color w:val="auto"/>
              </w:rPr>
            </w:pPr>
          </w:p>
        </w:tc>
      </w:tr>
      <w:tr>
        <w:trPr>
          <w:trHeight w:val="250"/>
        </w:trPr>
        <w:tc>
          <w:tcPr>
            <w:tcW w:w="7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w w:val="97"/>
              </w:rPr>
              <w:t>Preferred stock, $0.0001 par value; 5,000,000 shares authorized; no shares issued and outstanding</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stock, $0.0001 par value; 100,000,000 shares authorized; 33,674,085 and 32,583,220 shares</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respectively</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429,914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408,113</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(239,277)</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169,363</w:t>
            </w: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769" w:right="7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7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26"/>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73,387</w:t>
            </w:r>
          </w:p>
        </w:tc>
      </w:tr>
      <w:tr>
        <w:trPr>
          <w:trHeight w:val="229"/>
        </w:trPr>
        <w:tc>
          <w:tcPr>
            <w:tcW w:w="7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r>
      <w:tr>
        <w:trPr>
          <w:trHeight w:val="223"/>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64,485</w:t>
            </w:r>
          </w:p>
        </w:tc>
      </w:tr>
      <w:tr>
        <w:trPr>
          <w:trHeight w:val="209"/>
        </w:trPr>
        <w:tc>
          <w:tcPr>
            <w:tcW w:w="782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r>
      <w:tr>
        <w:trPr>
          <w:trHeight w:val="229"/>
        </w:trPr>
        <w:tc>
          <w:tcPr>
            <w:tcW w:w="782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9,459</w:t>
            </w: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r>
      <w:tr>
        <w:trPr>
          <w:trHeight w:val="223"/>
        </w:trPr>
        <w:tc>
          <w:tcPr>
            <w:tcW w:w="7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r>
      <w:tr>
        <w:trPr>
          <w:trHeight w:val="223"/>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w:t>
            </w:r>
          </w:p>
        </w:tc>
      </w:tr>
      <w:tr>
        <w:trPr>
          <w:trHeight w:val="229"/>
        </w:trPr>
        <w:tc>
          <w:tcPr>
            <w:tcW w:w="782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782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(6,101)</w:t>
            </w: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820" w:type="dxa"/>
            <w:vAlign w:val="bottom"/>
          </w:tcPr>
          <w:p>
            <w:pPr>
              <w:ind w:left="6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(43,697)</w:t>
            </w:r>
          </w:p>
        </w:tc>
      </w:tr>
      <w:tr>
        <w:trPr>
          <w:trHeight w:val="229"/>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Unrealized loss of marketable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782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82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7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820" w:type="dxa"/>
            <w:vAlign w:val="bottom"/>
          </w:tcPr>
          <w:p>
            <w:pPr>
              <w:ind w:left="60"/>
              <w:spacing w:after="0"/>
              <w:rPr>
                <w:sz w:val="20"/>
                <w:szCs w:val="20"/>
                <w:color w:val="auto"/>
              </w:rPr>
            </w:pPr>
            <w:r>
              <w:rPr>
                <w:rFonts w:ascii="Arial" w:cs="Arial" w:eastAsia="Arial" w:hAnsi="Arial"/>
                <w:sz w:val="18"/>
                <w:szCs w:val="18"/>
                <w:color w:val="auto"/>
                <w:w w:val="97"/>
              </w:rPr>
              <w:t>Weighted-average number of common shares used to compute basic and diluted net loss per share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33,145,930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29,059,171</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720" w:top="769" w:right="7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900" w:type="dxa"/>
            <w:vAlign w:val="bottom"/>
            <w:gridSpan w:val="4"/>
            <w:vMerge w:val="restart"/>
          </w:tcPr>
          <w:p>
            <w:pPr>
              <w:jc w:val="right"/>
              <w:ind w:right="33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6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20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07"/>
        </w:trPr>
        <w:tc>
          <w:tcPr>
            <w:tcW w:w="48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7"/>
                <w:szCs w:val="17"/>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25,163,803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258,121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(195,580)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63,008</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from public offerings, net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6,613,560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134,616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134,616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underwriting discounts, commissions and offering costs</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upon exercise of stock options,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323,701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related to employee stock purchase</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137,377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plan</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(43,697)</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32,583,220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408,113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(239,277)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169,363</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common stock upon exercise of stock options, net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369,375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related to employee stock 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4"/>
              </w:rPr>
              <w:t>Issuance of common stock upon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574,195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33,674,085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429,914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(295,849)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134,420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70"/>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(56,572)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(43,697)</w:t>
            </w:r>
          </w:p>
        </w:tc>
      </w:tr>
      <w:tr>
        <w:trPr>
          <w:trHeight w:val="19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11,927</w:t>
            </w:r>
          </w:p>
        </w:tc>
      </w:tr>
      <w:tr>
        <w:trPr>
          <w:trHeight w:val="192"/>
        </w:trPr>
        <w:tc>
          <w:tcPr>
            <w:tcW w:w="7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r>
      <w:tr>
        <w:trPr>
          <w:trHeight w:val="186"/>
        </w:trPr>
        <w:tc>
          <w:tcPr>
            <w:tcW w:w="7780" w:type="dxa"/>
            <w:vAlign w:val="bottom"/>
          </w:tcPr>
          <w:p>
            <w:pPr>
              <w:ind w:left="480"/>
              <w:spacing w:after="0"/>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192"/>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Accretion of discount on marketable securities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6"/>
        </w:trPr>
        <w:tc>
          <w:tcPr>
            <w:tcW w:w="7780" w:type="dxa"/>
            <w:vAlign w:val="bottom"/>
          </w:tcPr>
          <w:p>
            <w:pPr>
              <w:ind w:left="480"/>
              <w:spacing w:after="0"/>
              <w:rPr>
                <w:sz w:val="20"/>
                <w:szCs w:val="20"/>
                <w:color w:val="auto"/>
              </w:rPr>
            </w:pPr>
            <w:r>
              <w:rPr>
                <w:rFonts w:ascii="Arial" w:cs="Arial" w:eastAsia="Arial" w:hAnsi="Arial"/>
                <w:sz w:val="14"/>
                <w:szCs w:val="14"/>
                <w:color w:val="auto"/>
              </w:rPr>
              <w:t>Realized gain on marketable securities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6"/>
        </w:trPr>
        <w:tc>
          <w:tcPr>
            <w:tcW w:w="7780" w:type="dxa"/>
            <w:vAlign w:val="bottom"/>
          </w:tcPr>
          <w:p>
            <w:pPr>
              <w:ind w:left="48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1,534</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Loss on sale and disposal of property and equipment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835</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liabilities and other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179"/>
        </w:trPr>
        <w:tc>
          <w:tcPr>
            <w:tcW w:w="778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(39,533)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(30,662)</w:t>
            </w:r>
          </w:p>
        </w:tc>
      </w:tr>
      <w:tr>
        <w:trPr>
          <w:trHeight w:val="17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Maturities of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159,990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104,716</w:t>
            </w:r>
          </w:p>
        </w:tc>
      </w:tr>
      <w:tr>
        <w:trPr>
          <w:trHeight w:val="192"/>
        </w:trPr>
        <w:tc>
          <w:tcPr>
            <w:tcW w:w="7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Sales of marketable securities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14,095</w:t>
            </w: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(179,166)</w:t>
            </w:r>
          </w:p>
        </w:tc>
      </w:tr>
      <w:tr>
        <w:trPr>
          <w:trHeight w:val="19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r>
      <w:tr>
        <w:trPr>
          <w:trHeight w:val="179"/>
        </w:trPr>
        <w:tc>
          <w:tcPr>
            <w:tcW w:w="7780" w:type="dxa"/>
            <w:vAlign w:val="bottom"/>
            <w:tcBorders>
              <w:bottom w:val="single" w:sz="8" w:color="CCEEFF"/>
            </w:tcBorders>
          </w:tcPr>
          <w:p>
            <w:pPr>
              <w:ind w:left="940"/>
              <w:spacing w:after="0"/>
              <w:rPr>
                <w:sz w:val="20"/>
                <w:szCs w:val="20"/>
                <w:color w:val="auto"/>
              </w:rPr>
            </w:pPr>
            <w:r>
              <w:rPr>
                <w:rFonts w:ascii="Arial" w:cs="Arial" w:eastAsia="Arial" w:hAnsi="Arial"/>
                <w:sz w:val="14"/>
                <w:szCs w:val="14"/>
                <w:color w:val="auto"/>
              </w:rPr>
              <w:t>Net cash (used in) provided by investing activities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51,580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(62,916)</w:t>
            </w:r>
          </w:p>
        </w:tc>
      </w:tr>
      <w:tr>
        <w:trPr>
          <w:trHeight w:val="17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Proceeds from follow-on public offering, net of underwriting discounts, commissions and offering costs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134,616</w:t>
            </w: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debt financing</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45,297</w:t>
            </w: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Repayments of debt financing</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(45,297)</w:t>
            </w: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Payments of prepayment penalty and lender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(843)</w:t>
            </w: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common stock options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r>
      <w:tr>
        <w:trPr>
          <w:trHeight w:val="18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w:t>
            </w:r>
          </w:p>
        </w:tc>
      </w:tr>
      <w:tr>
        <w:trPr>
          <w:trHeight w:val="186"/>
        </w:trPr>
        <w:tc>
          <w:tcPr>
            <w:tcW w:w="7780" w:type="dxa"/>
            <w:vAlign w:val="bottom"/>
            <w:shd w:val="clear" w:color="auto" w:fill="CCEEFF"/>
          </w:tcPr>
          <w:p>
            <w:pPr>
              <w:ind w:left="94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136,401</w:t>
            </w:r>
          </w:p>
        </w:tc>
      </w:tr>
      <w:tr>
        <w:trPr>
          <w:trHeight w:val="17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r>
      <w:tr>
        <w:trPr>
          <w:trHeight w:val="186"/>
        </w:trPr>
        <w:tc>
          <w:tcPr>
            <w:tcW w:w="7780" w:type="dxa"/>
            <w:vAlign w:val="bottom"/>
            <w:shd w:val="clear" w:color="auto" w:fill="CCEEFF"/>
          </w:tcPr>
          <w:p>
            <w:pPr>
              <w:ind w:left="9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43,146</w:t>
            </w:r>
          </w:p>
        </w:tc>
      </w:tr>
      <w:tr>
        <w:trPr>
          <w:trHeight w:val="188"/>
        </w:trPr>
        <w:tc>
          <w:tcPr>
            <w:tcW w:w="7780" w:type="dxa"/>
            <w:vAlign w:val="bottom"/>
          </w:tcPr>
          <w:p>
            <w:pPr>
              <w:ind w:left="220"/>
              <w:spacing w:after="0"/>
              <w:rPr>
                <w:sz w:val="20"/>
                <w:szCs w:val="20"/>
                <w:color w:val="auto"/>
              </w:rPr>
            </w:pPr>
            <w:r>
              <w:rPr>
                <w:rFonts w:ascii="Arial" w:cs="Arial" w:eastAsia="Arial" w:hAnsi="Arial"/>
                <w:sz w:val="14"/>
                <w:szCs w:val="14"/>
                <w:b w:val="1"/>
                <w:bCs w:val="1"/>
                <w:color w:val="auto"/>
              </w:rPr>
              <w:t>Cash and cash equivalents at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0"/>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Beginning of year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53,581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10,435</w:t>
            </w:r>
          </w:p>
        </w:tc>
      </w:tr>
      <w:tr>
        <w:trPr>
          <w:trHeight w:val="179"/>
        </w:trPr>
        <w:tc>
          <w:tcPr>
            <w:tcW w:w="7780" w:type="dxa"/>
            <w:vAlign w:val="bottom"/>
          </w:tcPr>
          <w:p>
            <w:pPr>
              <w:ind w:left="220"/>
              <w:spacing w:after="0"/>
              <w:rPr>
                <w:sz w:val="20"/>
                <w:szCs w:val="20"/>
                <w:color w:val="auto"/>
              </w:rPr>
            </w:pPr>
            <w:r>
              <w:rPr>
                <w:rFonts w:ascii="Arial" w:cs="Arial" w:eastAsia="Arial" w:hAnsi="Arial"/>
                <w:sz w:val="14"/>
                <w:szCs w:val="14"/>
                <w:color w:val="auto"/>
              </w:rPr>
              <w:t>End of year</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63,419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9"/>
        </w:trPr>
        <w:tc>
          <w:tcPr>
            <w:tcW w:w="77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3,230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4,276</w:t>
            </w:r>
          </w:p>
        </w:tc>
      </w:tr>
      <w:tr>
        <w:trPr>
          <w:trHeight w:val="19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Supplemental disclosure of non-cash information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780" w:type="dxa"/>
            <w:vAlign w:val="bottom"/>
          </w:tcPr>
          <w:p>
            <w:pPr>
              <w:ind w:left="220"/>
              <w:spacing w:after="0"/>
              <w:rPr>
                <w:sz w:val="20"/>
                <w:szCs w:val="20"/>
                <w:color w:val="auto"/>
              </w:rPr>
            </w:pPr>
            <w:r>
              <w:rPr>
                <w:rFonts w:ascii="Arial" w:cs="Arial" w:eastAsia="Arial" w:hAnsi="Arial"/>
                <w:sz w:val="14"/>
                <w:szCs w:val="14"/>
                <w:color w:val="auto"/>
              </w:rPr>
              <w:t>Vesting of early exercised stock options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9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Unpaid purchases of property and equipment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985" w:right="7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w:t>
      </w:r>
    </w:p>
    <w:p>
      <w:pPr>
        <w:spacing w:after="0" w:line="18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the first quarter of 2020, the Company received $63.0 million of net proceeds from its first follow-on public offering of 4,300,000 shares of the Company's common stock, of which 2,490,053 shares were offered and sold by the Company, and the exercise of underwriter's option to purchase from the Company an additional 645,000 shares of the Company's common stock, at a public offering price of $21.50 per share. The total public offering costs incurred in connection with the follow-on offering were allocated based on the gross proceeds received by the Company and the selling stockholders on a pro-rated basis. Public offering cost of $0.4 million allocated to selling of shares by the Company was charged against the gross proceeds received from the follow-on offering. Public offering costs of $0.2 million allocated to selling of shares by the selling stockholders was recognized as transaction costs within general and administrative expenses on the consolidated statements of operations in the year ended December 31, 2020.</w:t>
      </w:r>
    </w:p>
    <w:p>
      <w:pPr>
        <w:spacing w:after="0" w:line="1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October 2020, the Company received $71.6 million of net proceeds from its second follow-on public offering of shares of the Company's common stock, of which 3,000,000 shares were offered and sold by the Company, and the exercise of underwriter's option to purchase from the Company an additional 478,507 shares of the Company's common stock, at a public offering price of $22.00 per share. In addition to the shares sold by the Company in this second follow-on offering,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mutations of the virus, despite advances in vaccines, and the Company anticipates these disruptions will continue. While the Company has not experienced material disruptions to its supply chain to date, certain of its third-party suppliers have faced delays, product shortages and rising costs resulting from disruptions in the global supply chain, primarily related to the instruments.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including those discussed in the section entitled "Risk Factors" in this report. As of the date of issuance of these consolidated financial statements, the extent to which the COVID-19 pandemic may materially impact the Company's financial condition, liquidity, or results of operations remains uncertain.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primarily includes the fair value of stock options. Estimates are based on historical experience, where applicable and other assumptions believed to be reasonable by the management. Actual results could differ from those estimates.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60"/>
        <w:spacing w:after="0" w:line="257" w:lineRule="auto"/>
        <w:rPr>
          <w:sz w:val="20"/>
          <w:szCs w:val="20"/>
          <w:color w:val="auto"/>
        </w:rPr>
      </w:pPr>
      <w:r>
        <w:rPr>
          <w:rFonts w:ascii="Arial" w:cs="Arial" w:eastAsia="Arial" w:hAnsi="Arial"/>
          <w:sz w:val="18"/>
          <w:szCs w:val="18"/>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r>
      <w:tr>
        <w:trPr>
          <w:trHeight w:val="210"/>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marketable securities. The Company’s cash and marketable securities are deposited with financial institutions in the U.S. and in Europe. The majority of the Company’s cash and marketable securities are deposited with a single financial institution in the U.S. Deposits in this institution exceed the amount of insurance provided on such deposits. The Company has not experienced any net losses on its deposits of cash and marketable securities.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U.S., and no customer accounts for more than 10% of total revenue or gross accounts receivable in any period presented.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Company's marketable securities primarily consist of investments in money market funds, U.S. treasury securities, corporate bonds and commercial paper. All of the Company's marketable securities are available-for-sale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 For the years ended December 31, 2021 and 2020, the allowance for credit losses activity was not significant.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 in the allowance for credit losses was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Year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55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10"/>
        </w:trPr>
        <w:tc>
          <w:tcPr>
            <w:tcW w:w="55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Borders>
              <w:bottom w:val="single" w:sz="8" w:color="auto"/>
            </w:tcBorders>
          </w:tcPr>
          <w:p>
            <w:pPr>
              <w:spacing w:after="0"/>
              <w:rPr>
                <w:sz w:val="18"/>
                <w:szCs w:val="18"/>
                <w:color w:val="auto"/>
              </w:rPr>
            </w:pPr>
          </w:p>
        </w:tc>
      </w:tr>
      <w:tr>
        <w:trPr>
          <w:trHeight w:val="226"/>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Balance at beginning of year</w:t>
            </w:r>
          </w:p>
        </w:tc>
        <w:tc>
          <w:tcPr>
            <w:tcW w:w="160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6"/>
              </w:rPr>
              <w:t>238</w:t>
            </w:r>
          </w:p>
        </w:tc>
      </w:tr>
      <w:tr>
        <w:trPr>
          <w:trHeight w:val="230"/>
        </w:trPr>
        <w:tc>
          <w:tcPr>
            <w:tcW w:w="5540" w:type="dxa"/>
            <w:vAlign w:val="bottom"/>
          </w:tcPr>
          <w:p>
            <w:pPr>
              <w:ind w:left="680"/>
              <w:spacing w:after="0"/>
              <w:rPr>
                <w:sz w:val="20"/>
                <w:szCs w:val="20"/>
                <w:color w:val="auto"/>
              </w:rPr>
            </w:pPr>
            <w:r>
              <w:rPr>
                <w:rFonts w:ascii="Arial" w:cs="Arial" w:eastAsia="Arial" w:hAnsi="Arial"/>
                <w:sz w:val="18"/>
                <w:szCs w:val="18"/>
                <w:color w:val="auto"/>
              </w:rPr>
              <w:t>Provision</w:t>
            </w:r>
          </w:p>
        </w:tc>
        <w:tc>
          <w:tcPr>
            <w:tcW w:w="1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jc w:val="center"/>
              <w:ind w:left="632"/>
              <w:spacing w:after="0"/>
              <w:rPr>
                <w:sz w:val="20"/>
                <w:szCs w:val="20"/>
                <w:color w:val="auto"/>
              </w:rPr>
            </w:pPr>
            <w:r>
              <w:rPr>
                <w:rFonts w:ascii="Arial" w:cs="Arial" w:eastAsia="Arial" w:hAnsi="Arial"/>
                <w:sz w:val="18"/>
                <w:szCs w:val="18"/>
                <w:color w:val="auto"/>
                <w:w w:val="86"/>
              </w:rPr>
              <w:t>234</w:t>
            </w:r>
          </w:p>
        </w:tc>
      </w:tr>
      <w:tr>
        <w:trPr>
          <w:trHeight w:val="229"/>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Write-offs</w:t>
            </w:r>
          </w:p>
        </w:tc>
        <w:tc>
          <w:tcPr>
            <w:tcW w:w="1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90"/>
              </w:rPr>
              <w:t>(209)</w:t>
            </w:r>
          </w:p>
        </w:tc>
      </w:tr>
      <w:tr>
        <w:trPr>
          <w:trHeight w:val="223"/>
        </w:trPr>
        <w:tc>
          <w:tcPr>
            <w:tcW w:w="5540" w:type="dxa"/>
            <w:vAlign w:val="bottom"/>
          </w:tcPr>
          <w:p>
            <w:pPr>
              <w:ind w:left="460"/>
              <w:spacing w:after="0"/>
              <w:rPr>
                <w:sz w:val="20"/>
                <w:szCs w:val="20"/>
                <w:color w:val="auto"/>
              </w:rPr>
            </w:pPr>
            <w:r>
              <w:rPr>
                <w:rFonts w:ascii="Arial" w:cs="Arial" w:eastAsia="Arial" w:hAnsi="Arial"/>
                <w:sz w:val="18"/>
                <w:szCs w:val="18"/>
                <w:color w:val="auto"/>
              </w:rPr>
              <w:t>Balance at end of year</w:t>
            </w:r>
          </w:p>
        </w:tc>
        <w:tc>
          <w:tcPr>
            <w:tcW w:w="160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86"/>
              </w:rPr>
              <w:t>263</w:t>
            </w:r>
          </w:p>
        </w:tc>
      </w:tr>
      <w:tr>
        <w:trPr>
          <w:trHeight w:val="21"/>
        </w:trPr>
        <w:tc>
          <w:tcPr>
            <w:tcW w:w="5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29"/>
        </w:trPr>
        <w:tc>
          <w:tcPr>
            <w:tcW w:w="5180" w:type="dxa"/>
            <w:vAlign w:val="bottom"/>
          </w:tcPr>
          <w:p>
            <w:pPr>
              <w:ind w:left="60"/>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2960" w:type="dxa"/>
            <w:vAlign w:val="bottom"/>
            <w:shd w:val="clear" w:color="auto" w:fill="CCEEFF"/>
          </w:tcPr>
          <w:p>
            <w:pPr>
              <w:spacing w:after="0"/>
              <w:rPr>
                <w:sz w:val="19"/>
                <w:szCs w:val="19"/>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bl>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Through December 31, 2021 and 2020, the Company has not experienced impairment losses on its long-lived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Under Accounting Standards Update ("ASU") 2016-02, Leases Topic 842 ("Topic 842"), 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elected certain practical expedients under Topic 842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lease payments in a similar economic environment. The Company uses its headquarters in the U.S. ("parent entity")’s incremental borrowing rates as the treasury operations are managed centrally by the parent entity.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U.S. and Europe.</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adopted the revenue standard in accordance with ASC Topic 606, Revenue from Contracts with Customers (“ASC 606”) effective for the fiscal year ended December 31, 2019. Revenue is recognized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3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Shipping and handling costs are treated as fulfillment costs, which are expensed as incurred and are included in cost of goods sold.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to Obtain Customer Contracts</w:t>
      </w:r>
    </w:p>
    <w:p>
      <w:pPr>
        <w:spacing w:after="0" w:line="22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 as expense when incurred.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2021 and 2020.</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primarily include: (1) employee-related expenses, including salaries, benefits, travel and non-cash stock-based compensation expense; (2) external research and development expenses; and (3) other expenses, which include direct and allocated expenses for facilities and other costs.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advertising is expensed as incurred and is included under sales and marketing expense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$1.2 million and $0.3 million for the year ended December 31, 2021 and 2020, respectively.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Contingency</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7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130" w:lineRule="exact"/>
        <w:rPr>
          <w:sz w:val="20"/>
          <w:szCs w:val="20"/>
          <w:color w:val="auto"/>
        </w:rPr>
      </w:pPr>
    </w:p>
    <w:p>
      <w:pPr>
        <w:jc w:val="both"/>
        <w:ind w:left="420" w:hanging="331"/>
        <w:spacing w:after="0" w:line="286" w:lineRule="auto"/>
        <w:tabs>
          <w:tab w:leader="none" w:pos="415"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represents the period that the share-based awards are expected to be outstanding. The Company uses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to determine the expected term as permitted by the guidance since the Company has no sufficient historical exercise patterns to estimate the expected life. The simplified method is calculated as the average of the time to vesting and the contractual life of the options.</w:t>
      </w:r>
    </w:p>
    <w:p>
      <w:pPr>
        <w:spacing w:after="0" w:line="111" w:lineRule="exact"/>
        <w:rPr>
          <w:rFonts w:ascii="Arial" w:cs="Arial" w:eastAsia="Arial" w:hAnsi="Arial"/>
          <w:sz w:val="17"/>
          <w:szCs w:val="17"/>
          <w:i w:val="1"/>
          <w:iCs w:val="1"/>
          <w:color w:val="auto"/>
        </w:rPr>
      </w:pPr>
    </w:p>
    <w:p>
      <w:pPr>
        <w:ind w:left="420" w:hanging="331"/>
        <w:spacing w:after="0" w:line="277" w:lineRule="auto"/>
        <w:tabs>
          <w:tab w:leader="none" w:pos="41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The expected volatility is measured using the historical daily changes in the market price of the Company's common stock over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consistent with the expected term.</w:t>
      </w:r>
    </w:p>
    <w:p>
      <w:pPr>
        <w:spacing w:after="0" w:line="116" w:lineRule="exact"/>
        <w:rPr>
          <w:rFonts w:ascii="Arial" w:cs="Arial" w:eastAsia="Arial" w:hAnsi="Arial"/>
          <w:sz w:val="18"/>
          <w:szCs w:val="18"/>
          <w:i w:val="1"/>
          <w:iCs w:val="1"/>
          <w:color w:val="auto"/>
        </w:rPr>
      </w:pPr>
    </w:p>
    <w:p>
      <w:pPr>
        <w:ind w:left="420" w:hanging="331"/>
        <w:spacing w:after="0" w:line="277" w:lineRule="auto"/>
        <w:tabs>
          <w:tab w:leader="none" w:pos="41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is based on the U.S. Treasury zero 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i w:val="1"/>
          <w:iCs w:val="1"/>
          <w:color w:val="auto"/>
        </w:rPr>
      </w:pPr>
    </w:p>
    <w:p>
      <w:pPr>
        <w:ind w:left="420" w:hanging="331"/>
        <w:spacing w:after="0" w:line="277" w:lineRule="auto"/>
        <w:tabs>
          <w:tab w:leader="none" w:pos="41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has not paid any dividends and has no current plans to pay dividends on its common stock. As such,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expected dividend yield of zero.</w:t>
      </w:r>
    </w:p>
    <w:p>
      <w:pPr>
        <w:spacing w:after="0" w:line="170" w:lineRule="exact"/>
        <w:rPr>
          <w:rFonts w:ascii="Arial" w:cs="Arial" w:eastAsia="Arial" w:hAnsi="Arial"/>
          <w:sz w:val="18"/>
          <w:szCs w:val="18"/>
          <w:i w:val="1"/>
          <w:iCs w:val="1"/>
          <w:color w:val="auto"/>
        </w:rPr>
      </w:pPr>
    </w:p>
    <w:p>
      <w:pPr>
        <w:ind w:left="420"/>
        <w:spacing w:after="0"/>
        <w:rPr>
          <w:rFonts w:ascii="Arial" w:cs="Arial" w:eastAsia="Arial" w:hAnsi="Arial"/>
          <w:sz w:val="18"/>
          <w:szCs w:val="18"/>
          <w:i w:val="1"/>
          <w:iCs w:val="1"/>
          <w:color w:val="auto"/>
        </w:rPr>
      </w:pPr>
      <w:r>
        <w:rPr>
          <w:rFonts w:ascii="Arial" w:cs="Arial" w:eastAsia="Arial" w:hAnsi="Arial"/>
          <w:sz w:val="17"/>
          <w:szCs w:val="17"/>
          <w:color w:val="auto"/>
        </w:rPr>
        <w:t>The fair value of the restricted stock unit (“RSU”) grant is based on the market price of the Company’s common stock on the date of grant.</w:t>
      </w:r>
    </w:p>
    <w:p>
      <w:pPr>
        <w:spacing w:after="0" w:line="2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Prior to the Company's initial public offering (“IPO”), the fair value of the shares of the Company's common stock has historically been determined by its Board of Directors since there were no public market information available for the Company's common stock. The estimated fair value of the Company's common stock was determined at each valuation date in accordance with the guidelines outlined in the </w:t>
      </w:r>
      <w:r>
        <w:rPr>
          <w:rFonts w:ascii="Arial" w:cs="Arial" w:eastAsia="Arial" w:hAnsi="Arial"/>
          <w:sz w:val="17"/>
          <w:szCs w:val="17"/>
          <w:i w:val="1"/>
          <w:iCs w:val="1"/>
          <w:color w:val="auto"/>
        </w:rPr>
        <w:t>American Institute of Certified Public</w:t>
      </w:r>
      <w:r>
        <w:rPr>
          <w:rFonts w:ascii="Arial" w:cs="Arial" w:eastAsia="Arial" w:hAnsi="Arial"/>
          <w:sz w:val="17"/>
          <w:szCs w:val="17"/>
          <w:color w:val="auto"/>
        </w:rPr>
        <w:t xml:space="preserve"> </w:t>
      </w:r>
      <w:r>
        <w:rPr>
          <w:rFonts w:ascii="Arial" w:cs="Arial" w:eastAsia="Arial" w:hAnsi="Arial"/>
          <w:sz w:val="17"/>
          <w:szCs w:val="17"/>
          <w:i w:val="1"/>
          <w:iCs w:val="1"/>
          <w:color w:val="auto"/>
        </w:rPr>
        <w:t>Accountants Practice Aid, Valuation of Privately-Held-Company Equity Securities Issued as Compensation</w:t>
      </w:r>
      <w:r>
        <w:rPr>
          <w:rFonts w:ascii="Arial" w:cs="Arial" w:eastAsia="Arial" w:hAnsi="Arial"/>
          <w:sz w:val="17"/>
          <w:szCs w:val="17"/>
          <w:color w:val="auto"/>
        </w:rPr>
        <w:t>. Subsequent to its IPO, the Company uses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closing price for its common stock as reported on the Nasdaq Global Market on the date of grant.</w:t>
      </w:r>
    </w:p>
    <w:p>
      <w:pPr>
        <w:spacing w:after="0" w:line="12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uncertain tax positions when it meets a more-likely-than-not threshold. The Company recognizes potential accrued interest and penalties related to unrecognized tax benefits as income tax expense.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Company calculates basic and diluted net loss per common share attributable to shareholders in conformity with the two-class method required for companies with participating securities. The Company considers all early exercised stock options to be participating securities as the holders are entitled to receive dividends on a pari passu basis in the event that a dividend is paid on common stock. Under the two-class method, the net loss attributable to common stock is not allocated to the early exercised stock options as the holders do not have a contractual obligation to share in losses.</w:t>
      </w:r>
    </w:p>
    <w:p>
      <w:pPr>
        <w:spacing w:after="0" w:line="10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and warrants are considered to be potentially dilutive securities. Because the Company has reported a net loss in all periods presented, common stock options and warrants are anti-dilutive and therefore diluted net loss per common share is the same as basic net loss per common share for those periods.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Comprehensive loss represents all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In July 2018, the FASB issued ASU 2018-10 and ASU 2018-11, which provides clarification on the narrow aspects of the guidance and provide an additional transition method to adopt the new leases standard.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In the fourth quarter of 2021, the Company adopted Topic 842 for leases, using the modified retrospective method, applying Topic 842 to all leases existing at the date of initial application. The Company elected to use the effective date of January 1, 2021 as the date of initial application. Under the modified retrospective method, balances and disclosures prior to January 1, 2021 have not been restated. The Company elected certain practical expedients, which among other things, allowed the Company to carry forward prior conclusions about lease identification and classification. The adoption of ASC 842 had a material impact on the consolidated balance sheet as the standard requires the Company to measure and recognize a right of use asset and lease liability. The Company recognized $3.8 million of operating lease liabilities and approximately $3.5 million of operating lease right-of-use assets on the consolidated balance sheet as of January 1, 2021. The difference between the operating lease right-of-use assets and operating lease liabilities represented the existing deferred rent liability balance as of the adoption date of $0.3 million. The adoption of the standard did not have a material impact on the consolidated statement of operations and comprehensive loss and there was no impact to cash from or used in operating, financing or investing activities on the consolidated statement of cash flows. The adoption of ASC Topic 842 had no income tax impact to the financial statements. The Company accounted for the basis differences arising from ASC Topic 842 adoption in deferred taxes which was offset by a valuation allowance.</w:t>
      </w:r>
    </w:p>
    <w:p>
      <w:pPr>
        <w:spacing w:after="0" w:line="1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In June 2016, the Financial Accounting Standards Board ("FASB") issued ASU No. 2016-13, Financial Instruments-Credit Losses (Topic 326): Measurement of Credit Losses on Financial Instruments (“ASU 2016-13”). FASB issued ASU 2019-05 in May 2019, ASU 2019-08 and ASU 2019-11 in November 2019 for codification improvements of Topic 326.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ASU 2016-13 revises the existing incurred loss impairment model with a forward-looking expected credit loss model which will result in earlier recognition of credit losses for certain financial instruments and financial assets. For trade receivables, the Company is required to estimate lifetime expected credit losses. For available-for-sale debt securities, the Company will recognize an allowance for credit losses rather than a reduction to the carrying value of the asset. ASU 2016-13 is effective for the Company’s fiscal year beginning January 1, 2021 on a modified retrospective basis. The Company adopted this standard effective for the year ended December 31, 2021, and the adoption did not have a material impact on the Company’s consolidated financial statements.</w:t>
      </w:r>
    </w:p>
    <w:p>
      <w:pPr>
        <w:spacing w:after="0" w:line="18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simplifies the accounting for income taxes by eliminating certain exceptions to the guidance in ASC 740 related to the approach for intraperiod tax allocation, the methodology for calculating incomes taxes in an interim period and the recognition of deferred tax liabilities for outside basis differences. ASU 2019-12 is effective in 2021 and interim periods within that year and permits for an early adoption. The Company adopted ASU 2019-12 effective January 1, 2021. The adoption of the guidance did not have a material impact on its financials statements and related disclosures.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Company is currently evaluating the impact of this update on its consolidated financial statements. While the Company does not expect the adoption of ASU 2021-04 to materially impact the Company's consolidated financial statements and related disclosures because it does not currently anticipate modifications to its outstanding equity-classified written call options, the impact on the Company's consolidated financial statements and disclosures will depend on the facts and circumstances of any specific future transactions.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w w:val="90"/>
              </w:rPr>
              <w:t>December 31, 2021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160" w:type="dxa"/>
            <w:vAlign w:val="bottom"/>
          </w:tcPr>
          <w:p>
            <w:pPr>
              <w:spacing w:after="0"/>
              <w:rPr>
                <w:sz w:val="13"/>
                <w:szCs w:val="13"/>
                <w:color w:val="auto"/>
              </w:rPr>
            </w:pPr>
          </w:p>
        </w:tc>
        <w:tc>
          <w:tcPr>
            <w:tcW w:w="122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14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8"/>
          </w:tcPr>
          <w:p>
            <w:pPr>
              <w:jc w:val="center"/>
              <w:ind w:right="60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183"/>
        </w:trPr>
        <w:tc>
          <w:tcPr>
            <w:tcW w:w="5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83,560</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5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w w:val="90"/>
              </w:rPr>
              <w:t>December 31, 2020</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160" w:type="dxa"/>
            <w:vAlign w:val="bottom"/>
          </w:tcPr>
          <w:p>
            <w:pPr>
              <w:spacing w:after="0"/>
              <w:rPr>
                <w:sz w:val="13"/>
                <w:szCs w:val="13"/>
                <w:color w:val="auto"/>
              </w:rPr>
            </w:pPr>
          </w:p>
        </w:tc>
        <w:tc>
          <w:tcPr>
            <w:tcW w:w="122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14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8"/>
          </w:tcPr>
          <w:p>
            <w:pPr>
              <w:jc w:val="center"/>
              <w:ind w:right="60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0" w:type="dxa"/>
            <w:vAlign w:val="bottom"/>
          </w:tcPr>
          <w:p>
            <w:pPr>
              <w:spacing w:after="0"/>
              <w:rPr>
                <w:sz w:val="1"/>
                <w:szCs w:val="1"/>
                <w:color w:val="auto"/>
              </w:rPr>
            </w:pPr>
          </w:p>
        </w:tc>
      </w:tr>
      <w:tr>
        <w:trPr>
          <w:trHeight w:val="358"/>
        </w:trPr>
        <w:tc>
          <w:tcPr>
            <w:tcW w:w="51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74,779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74,776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59,137</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142,856</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142,851</w:t>
            </w:r>
          </w:p>
        </w:tc>
        <w:tc>
          <w:tcPr>
            <w:tcW w:w="0" w:type="dxa"/>
            <w:vAlign w:val="bottom"/>
          </w:tcPr>
          <w:p>
            <w:pPr>
              <w:spacing w:after="0"/>
              <w:rPr>
                <w:sz w:val="1"/>
                <w:szCs w:val="1"/>
                <w:color w:val="auto"/>
              </w:rPr>
            </w:pPr>
          </w:p>
        </w:tc>
      </w:tr>
      <w:tr>
        <w:trPr>
          <w:trHeight w:val="318"/>
        </w:trPr>
        <w:tc>
          <w:tcPr>
            <w:tcW w:w="510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190,204</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2021 and 2020,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 ended December 31, 2021 and 2020.</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elected to present accrued interest receivable separately from short-term and long-term investments on its consolidated balance sheets. Accrued interest receivable was $0.3 million as of December 31, 2021,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twelve months ended December 31, 2021 and 2020.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57,829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31,539</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85,877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55,512</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141,389</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0"/>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10"/>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45,948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45,948</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69,475</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190,199</w:t>
            </w: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right="8960" w:hanging="452"/>
        <w:spacing w:after="0" w:line="522" w:lineRule="auto"/>
        <w:tabs>
          <w:tab w:leader="none" w:pos="19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ind w:left="460" w:right="4800"/>
        <w:spacing w:after="0" w:line="524" w:lineRule="auto"/>
        <w:rPr>
          <w:rFonts w:ascii="Arial" w:cs="Arial" w:eastAsia="Arial" w:hAnsi="Arial"/>
          <w:sz w:val="16"/>
          <w:szCs w:val="16"/>
          <w:b w:val="1"/>
          <w:bCs w:val="1"/>
          <w:color w:val="auto"/>
        </w:rPr>
      </w:pPr>
      <w:r>
        <w:rPr>
          <w:rFonts w:ascii="Arial" w:cs="Arial" w:eastAsia="Arial" w:hAnsi="Arial"/>
          <w:sz w:val="18"/>
          <w:szCs w:val="18"/>
          <w:color w:val="auto"/>
        </w:rPr>
        <w:t xml:space="preserve">As of December 31, 2021 and 2020, inventory consisted entirely of finished goods. </w:t>
      </w: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4"/>
        </w:trPr>
        <w:tc>
          <w:tcPr>
            <w:tcW w:w="4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line="164"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1560" w:type="dxa"/>
            <w:vAlign w:val="bottom"/>
            <w:gridSpan w:val="2"/>
          </w:tcPr>
          <w:p>
            <w:pPr>
              <w:ind w:left="20"/>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3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3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80" w:type="dxa"/>
            <w:vAlign w:val="bottom"/>
            <w:vMerge w:val="restart"/>
          </w:tcPr>
          <w:p>
            <w:pPr>
              <w:jc w:val="right"/>
              <w:ind w:right="237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December 31, 2021, construction in progress pertains to cost of individual components of a custom instrument set used for surgical placement of the Company's products that have not yet been placed into service of $3.3 million and construction costs related to the lease in Santa Clara of $0.4 million. Depreciation expense was $2.1 million and $1.1 million for the years ended December 31, 2021 and 2020,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9"/>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Accrued professional services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7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r>
      <w:tr>
        <w:trPr>
          <w:trHeight w:val="21"/>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Knaresborough, United Kingdom, which expire in August 2027 and December 2025, respectively.</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Effective April 30, 2021, the Company terminated its office lease in Mannheim, Germany, and commenced a new lease that can be terminated at any time with six months written notice to the landlord. Further, the Company also leases vehicles under operating lease arrangements for certain of its personnel in Europe which expire at various times throughout 2022 to 2027.</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August 2021, the Company signed a new lease for 19,534 square feet of research and development and warehouse space in Santa Clara, California. The term of the new lease commenced on November 1, 2021 and will terminate on October 31, 2026, with an option to renew for one additional three year term.</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information related to lease expense and valuation of the lease assets and lease liabilities are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21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(in thousands)</w:t>
            </w:r>
          </w:p>
        </w:tc>
      </w:tr>
      <w:tr>
        <w:trPr>
          <w:trHeight w:val="246"/>
        </w:trPr>
        <w:tc>
          <w:tcPr>
            <w:tcW w:w="7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1,181</w:t>
            </w:r>
          </w:p>
        </w:tc>
      </w:tr>
      <w:tr>
        <w:trPr>
          <w:trHeight w:val="243"/>
        </w:trPr>
        <w:tc>
          <w:tcPr>
            <w:tcW w:w="7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Variable lease expense</w:t>
            </w:r>
          </w:p>
        </w:tc>
        <w:tc>
          <w:tcPr>
            <w:tcW w:w="8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266</w:t>
            </w:r>
          </w:p>
        </w:tc>
      </w:tr>
      <w:tr>
        <w:trPr>
          <w:trHeight w:val="248"/>
        </w:trPr>
        <w:tc>
          <w:tcPr>
            <w:tcW w:w="71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lease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3"/>
        </w:trPr>
        <w:tc>
          <w:tcPr>
            <w:tcW w:w="7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1,225</w:t>
            </w:r>
          </w:p>
        </w:tc>
      </w:tr>
      <w:tr>
        <w:trPr>
          <w:trHeight w:val="230"/>
        </w:trPr>
        <w:tc>
          <w:tcPr>
            <w:tcW w:w="7120" w:type="dxa"/>
            <w:vAlign w:val="bottom"/>
          </w:tcPr>
          <w:p>
            <w:pPr>
              <w:ind w:left="66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2,896</w:t>
            </w:r>
          </w:p>
        </w:tc>
      </w:tr>
      <w:tr>
        <w:trPr>
          <w:trHeight w:val="270"/>
        </w:trPr>
        <w:tc>
          <w:tcPr>
            <w:tcW w:w="7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7120" w:type="dxa"/>
            <w:vAlign w:val="bottom"/>
          </w:tcPr>
          <w:p>
            <w:pPr>
              <w:ind w:left="660"/>
              <w:spacing w:after="0"/>
              <w:rPr>
                <w:sz w:val="20"/>
                <w:szCs w:val="20"/>
                <w:color w:val="auto"/>
              </w:rPr>
            </w:pPr>
            <w:r>
              <w:rPr>
                <w:rFonts w:ascii="Arial" w:cs="Arial" w:eastAsia="Arial" w:hAnsi="Arial"/>
                <w:sz w:val="18"/>
                <w:szCs w:val="18"/>
                <w:color w:val="auto"/>
              </w:rPr>
              <w:t>Weighted average remaining lease term (in years)</w:t>
            </w:r>
          </w:p>
        </w:tc>
        <w:tc>
          <w:tcPr>
            <w:tcW w:w="8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3.98</w:t>
            </w:r>
          </w:p>
        </w:tc>
      </w:tr>
      <w:tr>
        <w:trPr>
          <w:trHeight w:val="243"/>
        </w:trPr>
        <w:tc>
          <w:tcPr>
            <w:tcW w:w="7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Weighted average discount rate</w:t>
            </w:r>
          </w:p>
        </w:tc>
        <w:tc>
          <w:tcPr>
            <w:tcW w:w="8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r>
    </w:tbl>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31, 2021 was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46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552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SI-BONE, INC.</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55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NOTES TO CONSOLIDATED FINANCIAL STATEMENTS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5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0"/>
        </w:trPr>
        <w:tc>
          <w:tcPr>
            <w:tcW w:w="2740" w:type="dxa"/>
            <w:vAlign w:val="bottom"/>
          </w:tcPr>
          <w:p>
            <w:pPr>
              <w:ind w:left="460"/>
              <w:spacing w:after="0"/>
              <w:rPr>
                <w:sz w:val="20"/>
                <w:szCs w:val="20"/>
                <w:color w:val="auto"/>
              </w:rPr>
            </w:pPr>
            <w:r>
              <w:rPr>
                <w:rFonts w:ascii="Arial" w:cs="Arial" w:eastAsia="Arial" w:hAnsi="Arial"/>
                <w:sz w:val="18"/>
                <w:szCs w:val="18"/>
                <w:color w:val="auto"/>
              </w:rPr>
              <w:t>2023</w:t>
            </w: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4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30"/>
        </w:trPr>
        <w:tc>
          <w:tcPr>
            <w:tcW w:w="2740" w:type="dxa"/>
            <w:vAlign w:val="bottom"/>
          </w:tcPr>
          <w:p>
            <w:pPr>
              <w:ind w:left="460"/>
              <w:spacing w:after="0"/>
              <w:rPr>
                <w:sz w:val="20"/>
                <w:szCs w:val="20"/>
                <w:color w:val="auto"/>
              </w:rPr>
            </w:pPr>
            <w:r>
              <w:rPr>
                <w:rFonts w:ascii="Arial" w:cs="Arial" w:eastAsia="Arial" w:hAnsi="Arial"/>
                <w:sz w:val="18"/>
                <w:szCs w:val="18"/>
                <w:color w:val="auto"/>
              </w:rPr>
              <w:t>2025</w:t>
            </w: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2026</w:t>
            </w:r>
          </w:p>
        </w:tc>
        <w:tc>
          <w:tcPr>
            <w:tcW w:w="4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Thereafter</w:t>
            </w:r>
          </w:p>
        </w:tc>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89"/>
              </w:rPr>
              <w:t>Total operating lease payments</w:t>
            </w:r>
          </w:p>
        </w:tc>
        <w:tc>
          <w:tcPr>
            <w:tcW w:w="4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Less: imputed interest</w:t>
            </w:r>
          </w:p>
        </w:tc>
        <w:tc>
          <w:tcPr>
            <w:tcW w:w="4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Borders>
              <w:bottom w:val="single" w:sz="8" w:color="CCEEFF"/>
            </w:tcBorders>
            <w:vMerge w:val="continue"/>
          </w:tcPr>
          <w:p>
            <w:pPr>
              <w:spacing w:after="0"/>
              <w:rPr>
                <w:sz w:val="17"/>
                <w:szCs w:val="17"/>
                <w:color w:val="auto"/>
              </w:rPr>
            </w:pPr>
          </w:p>
        </w:tc>
        <w:tc>
          <w:tcPr>
            <w:tcW w:w="47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Total operating lease liabilities</w:t>
            </w:r>
          </w:p>
        </w:tc>
        <w:tc>
          <w:tcPr>
            <w:tcW w:w="4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2021, the Company had no operating lease liabilities that had not commenced.</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8"/>
          <w:szCs w:val="18"/>
          <w:color w:val="auto"/>
        </w:rPr>
        <w:t>As required, the following disclosure is provided for periods prior to adoption of Topic 842. Minimum lease commitments as of December 31, 2020 that had initial or remaining lease terms in excess of one year were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7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6"/>
                <w:szCs w:val="16"/>
                <w:b w:val="1"/>
                <w:bCs w:val="1"/>
                <w:color w:val="auto"/>
              </w:rPr>
              <w:t>(in thousands)</w:t>
            </w:r>
          </w:p>
        </w:tc>
      </w:tr>
      <w:tr>
        <w:trPr>
          <w:trHeight w:val="229"/>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7520" w:type="dxa"/>
            <w:vAlign w:val="bottom"/>
          </w:tcPr>
          <w:p>
            <w:pPr>
              <w:ind w:left="46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7520" w:type="dxa"/>
            <w:vAlign w:val="bottom"/>
          </w:tcPr>
          <w:p>
            <w:pPr>
              <w:ind w:left="46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75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60" w:right="1180"/>
        <w:spacing w:after="0" w:line="438" w:lineRule="auto"/>
        <w:rPr>
          <w:sz w:val="20"/>
          <w:szCs w:val="20"/>
          <w:color w:val="auto"/>
        </w:rPr>
      </w:pPr>
      <w:r>
        <w:rPr>
          <w:rFonts w:ascii="Arial" w:cs="Arial" w:eastAsia="Arial" w:hAnsi="Arial"/>
          <w:sz w:val="18"/>
          <w:szCs w:val="18"/>
          <w:color w:val="auto"/>
        </w:rPr>
        <w:t xml:space="preserve">Rent expense charged to operations under operating leases totaled approximately $1.2 million for the year ended December 31, 2020. </w:t>
      </w:r>
      <w:r>
        <w:rPr>
          <w:rFonts w:ascii="Arial" w:cs="Arial" w:eastAsia="Arial" w:hAnsi="Arial"/>
          <w:sz w:val="18"/>
          <w:szCs w:val="18"/>
          <w:b w:val="1"/>
          <w:bCs w:val="1"/>
          <w:i w:val="1"/>
          <w:iCs w:val="1"/>
          <w:color w:val="auto"/>
        </w:rPr>
        <w:t>Purchase Commitments and Obligations</w:t>
      </w:r>
    </w:p>
    <w:p>
      <w:pPr>
        <w:spacing w:after="0" w:line="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$1.2 million and $0.3 million as of December 31, 2021 and 2020, respectively.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66" w:lineRule="exact"/>
        <w:rPr>
          <w:sz w:val="20"/>
          <w:szCs w:val="20"/>
          <w:color w:val="auto"/>
        </w:rPr>
      </w:pPr>
    </w:p>
    <w:p>
      <w:pPr>
        <w:ind w:left="500" w:right="9920" w:hanging="492"/>
        <w:spacing w:after="0" w:line="601" w:lineRule="auto"/>
        <w:tabs>
          <w:tab w:leader="none" w:pos="19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as of the periods presented:</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9"/>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outstanding and final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7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Unaccreted value of final fee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7740" w:type="dxa"/>
            <w:vAlign w:val="bottom"/>
          </w:tcPr>
          <w:p>
            <w:pPr>
              <w:ind w:left="60"/>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Classified as: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740" w:type="dxa"/>
            <w:vAlign w:val="bottom"/>
          </w:tcPr>
          <w:p>
            <w:pPr>
              <w:ind w:left="300"/>
              <w:spacing w:after="0"/>
              <w:rPr>
                <w:sz w:val="20"/>
                <w:szCs w:val="20"/>
                <w:color w:val="auto"/>
              </w:rPr>
            </w:pPr>
            <w:r>
              <w:rPr>
                <w:rFonts w:ascii="Arial" w:cs="Arial" w:eastAsia="Arial" w:hAnsi="Arial"/>
                <w:sz w:val="18"/>
                <w:szCs w:val="18"/>
                <w:color w:val="auto"/>
              </w:rPr>
              <w:t>Long-term borrowings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39,455</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In October 2017, the Company entered into a term loan with Biopharma Credit Investments IV Sub LP (“Pharmakon”) in for total loan proceeds of $40.0 million (the “Pharmakon Term Loan”). The Pharmakon Term Loan included an interest-only period for 35 months through September 2020 and then equal quarterly principal payments plus interest through December 2022. The Pharmakon Term Loan carried a fixed interest rate of 11.5% and allowed for early prepayment. The prepayment penalty fee was equal to the remaining interest due if prepaid within the first 30 months, a 2% penalty for months 31-48, and a 1% penalty for months 49-60. The Company paid in full and terminated the Pharmakon Term Loan in May 2020.</w:t>
      </w:r>
    </w:p>
    <w:p>
      <w:pPr>
        <w:spacing w:after="0" w:line="79"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The outstanding debt as of December 31, 2020 is related to a term loan pursuant to the Loan and Security Agreement dated May 29, 2020, entered into by the Company with Solar Capital Partners (“Solar”). Pursuant to the Loan and Security Agreement, Solar provided an aggregate principal amount of $40.0 million term loan (the “Solar Term Loan”).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 In accordance with the Loan and Security Agreement with Solar,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consolidated statement of operations for the year ended December 31, 2020.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Pursuant to the Loan and Security Agreement with Solar, the Company could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Solar Term Loan was secured by substantially all of the Company’s assets.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shall be due and payable on the earliest of (i) the maturity date, (ii) the acceleration of the loan balance or (iii) its full prepayment, refinancing, substitution or replacement. The final fee was included within the long-term borrowings and was accreted to interest expense using straight-line method over the life of the term loan. The Company paid in full and terminated the Solar Term Loan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-707390</wp:posOffset>
            </wp:positionV>
            <wp:extent cx="28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The outstanding debt as of December 31, 2021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three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and nine months ended December 31, 2021.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the Company’s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the Company will be required to make monthly principal amortization payments. The Company may elect to prepay the SVB Term Loan prior to the Maturity Date subject to a prepayment fee equal to 1% if the prepayment occurs prior to the second anniversary of the Effective Date and —%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 the agreement. The final payment is included within the long-term borrowings and is accreted to interest expense using straight-line method over the life of the term loan.</w:t>
      </w:r>
    </w:p>
    <w:p>
      <w:pPr>
        <w:spacing w:after="0" w:line="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effective interest rate related to the SVB Term Loan and Solar Term Loan (excluding the write-down of unamortized debt issuance costs and prepayment penalty related to the Solar Term Loan) was 6.3% and 10.3%, respectively, for the year ended December 31, 2021. The effective interest rate related to the Pharmakon Term Loan and Solar Term Loan were 12.4% and 10.6%, respectively, for the year ended December 31, 2020.</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future principal and final fee payments under the SVB Term Loan as of December 31, 2021:</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32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(in thousands)</w:t>
            </w:r>
          </w:p>
        </w:tc>
      </w:tr>
      <w:tr>
        <w:trPr>
          <w:trHeight w:val="229"/>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jc w:val="right"/>
              <w:ind w:right="709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29"/>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7760" w:type="dxa"/>
            <w:vAlign w:val="bottom"/>
          </w:tcPr>
          <w:p>
            <w:pPr>
              <w:jc w:val="right"/>
              <w:ind w:right="709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10,908</w:t>
            </w:r>
          </w:p>
        </w:tc>
      </w:tr>
      <w:tr>
        <w:trPr>
          <w:trHeight w:val="230"/>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2026</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60"/>
              <w:spacing w:after="0"/>
              <w:rPr>
                <w:sz w:val="20"/>
                <w:szCs w:val="20"/>
                <w:color w:val="auto"/>
              </w:rPr>
            </w:pPr>
            <w:r>
              <w:rPr>
                <w:rFonts w:ascii="Arial" w:cs="Arial" w:eastAsia="Arial" w:hAnsi="Arial"/>
                <w:sz w:val="18"/>
                <w:szCs w:val="18"/>
                <w:color w:val="auto"/>
              </w:rPr>
              <w:t>Total principal and final fee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2021, the Company was in compliance with all debt covenants.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CARES Act</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On March 27, 2020, the U.S. federal government enacted the “Coronavirus Aid, Relief and Economic Security (CARES) Act,” which, among other things, established the Paycheck Protection Program (“PPP”), administered by the Small Business Administration (“SBA”), whereby certain small businesses were eligible for a loan to fund payroll expenses, rent, and related costs. The loan may be forgiven if the funds are used for payroll and other qualified expenses. The Company met the requirements to apply for the PPP loan given that the Company has less than 500 employees and the business was negatively impacted by COVID-19. The Company submitted its application and was approved for the SBA program and received the proceeds from the PPP loan amounting to $5.3 million on April 21, 2020, pursuant to a Promissory Note with Silicon Valley Bank (“SVB”). In light of the subsequent clarifications from the U.S. government on the eligibility criteria, the Company determined it was appropriate to repay the entire amount of the PPP loan. Accordingly, on April 29, 2020, the Company repaid in full the PPP loan and correspondingly terminated the Promissory Note.</w:t>
      </w:r>
    </w:p>
    <w:p>
      <w:pPr>
        <w:spacing w:after="0" w:line="8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CARES Act also allowed employers to defer the deposit and payment of an employer's share of social security taxes through December 31, 2020. As of December 31, 2021, the Company recorded a liability of $0.5 million related to the deferral of the social security taxes that is included in accrued liabilities in the consolidated balance sheet. As of December 31, 2020, the Company recorded a total liability of $1.0 million related to the deferral of the social security taxes of which $0.5 million is included in each accrued liabilities and other and other long-term liabilities in the consolidated balance sheet.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common stock warrants issued and outstanding at December 31, 2021 and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5"/>
              </w:rPr>
              <w:t>Underlying</w:t>
            </w:r>
          </w:p>
        </w:tc>
        <w:tc>
          <w:tcPr>
            <w:tcW w:w="260" w:type="dxa"/>
            <w:vAlign w:val="bottom"/>
          </w:tcPr>
          <w:p>
            <w:pPr>
              <w:spacing w:after="0"/>
              <w:rPr>
                <w:sz w:val="9"/>
                <w:szCs w:val="9"/>
                <w:color w:val="auto"/>
              </w:rPr>
            </w:pPr>
          </w:p>
        </w:tc>
        <w:tc>
          <w:tcPr>
            <w:tcW w:w="144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9"/>
                <w:szCs w:val="9"/>
                <w:color w:val="auto"/>
              </w:rPr>
            </w:pPr>
          </w:p>
        </w:tc>
        <w:tc>
          <w:tcPr>
            <w:tcW w:w="1180" w:type="dxa"/>
            <w:vAlign w:val="bottom"/>
            <w:vMerge w:val="restart"/>
          </w:tcPr>
          <w:p>
            <w:pPr>
              <w:jc w:val="right"/>
              <w:ind w:right="212"/>
              <w:spacing w:after="0" w:line="162" w:lineRule="exact"/>
              <w:rPr>
                <w:sz w:val="20"/>
                <w:szCs w:val="20"/>
                <w:color w:val="auto"/>
              </w:rPr>
            </w:pPr>
            <w:r>
              <w:rPr>
                <w:rFonts w:ascii="Arial" w:cs="Arial" w:eastAsia="Arial" w:hAnsi="Arial"/>
                <w:sz w:val="16"/>
                <w:szCs w:val="16"/>
                <w:b w:val="1"/>
                <w:bCs w:val="1"/>
                <w:color w:val="auto"/>
              </w:rPr>
              <w:t>Fair Value</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Issuance</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Expiration</w:t>
            </w:r>
          </w:p>
        </w:tc>
        <w:tc>
          <w:tcPr>
            <w:tcW w:w="3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2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1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040" w:type="dxa"/>
            <w:vAlign w:val="bottom"/>
            <w:tcBorders>
              <w:top w:val="single" w:sz="8" w:color="auto"/>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3/1/2017</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3/1/2027</w:t>
            </w: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$5.94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7/22/2013</w:t>
            </w:r>
          </w:p>
        </w:tc>
        <w:tc>
          <w:tcPr>
            <w:tcW w:w="1500" w:type="dxa"/>
            <w:vAlign w:val="bottom"/>
            <w:gridSpan w:val="3"/>
          </w:tcPr>
          <w:p>
            <w:pPr>
              <w:jc w:val="center"/>
              <w:ind w:left="152"/>
              <w:spacing w:after="0"/>
              <w:rPr>
                <w:sz w:val="20"/>
                <w:szCs w:val="20"/>
                <w:color w:val="auto"/>
              </w:rPr>
            </w:pPr>
            <w:r>
              <w:rPr>
                <w:rFonts w:ascii="Arial" w:cs="Arial" w:eastAsia="Arial" w:hAnsi="Arial"/>
                <w:sz w:val="18"/>
                <w:szCs w:val="18"/>
                <w:color w:val="auto"/>
                <w:w w:val="92"/>
              </w:rPr>
              <w:t>7/22/2023</w:t>
            </w: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32,983</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$9.10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11/26/2014</w:t>
            </w:r>
          </w:p>
        </w:tc>
        <w:tc>
          <w:tcPr>
            <w:tcW w:w="150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11/26/2024</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10/20/2015</w:t>
            </w:r>
          </w:p>
        </w:tc>
        <w:tc>
          <w:tcPr>
            <w:tcW w:w="150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10/20/2025</w:t>
            </w: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41,650</w:t>
            </w:r>
          </w:p>
        </w:tc>
        <w:tc>
          <w:tcPr>
            <w:tcW w:w="1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11/9/2015</w:t>
            </w:r>
          </w:p>
        </w:tc>
        <w:tc>
          <w:tcPr>
            <w:tcW w:w="150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9"/>
              </w:rPr>
              <w:t>11/9/2025</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1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8"/>
                <w:szCs w:val="18"/>
                <w:color w:val="auto"/>
                <w:w w:val="90"/>
              </w:rPr>
              <w:t>12/22/2016</w:t>
            </w:r>
          </w:p>
        </w:tc>
        <w:tc>
          <w:tcPr>
            <w:tcW w:w="1500" w:type="dxa"/>
            <w:vAlign w:val="bottom"/>
            <w:tcBorders>
              <w:bottom w:val="single" w:sz="8" w:color="CCEEFF"/>
            </w:tcBorders>
            <w:gridSpan w:val="3"/>
          </w:tcPr>
          <w:p>
            <w:pPr>
              <w:jc w:val="center"/>
              <w:ind w:left="152"/>
              <w:spacing w:after="0"/>
              <w:rPr>
                <w:sz w:val="20"/>
                <w:szCs w:val="20"/>
                <w:color w:val="auto"/>
              </w:rPr>
            </w:pPr>
            <w:r>
              <w:rPr>
                <w:rFonts w:ascii="Arial" w:cs="Arial" w:eastAsia="Arial" w:hAnsi="Arial"/>
                <w:sz w:val="18"/>
                <w:szCs w:val="18"/>
                <w:color w:val="auto"/>
                <w:w w:val="90"/>
              </w:rPr>
              <w:t>12/22/2026</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1480" w:type="dxa"/>
            <w:vAlign w:val="bottom"/>
            <w:tcBorders>
              <w:bottom w:val="single" w:sz="8" w:color="CCEEFF"/>
            </w:tcBorders>
            <w:gridSpan w:val="2"/>
          </w:tcPr>
          <w:p>
            <w:pPr>
              <w:jc w:val="center"/>
              <w:ind w:left="170"/>
              <w:spacing w:after="0"/>
              <w:rPr>
                <w:sz w:val="20"/>
                <w:szCs w:val="20"/>
                <w:color w:val="auto"/>
              </w:rPr>
            </w:pPr>
            <w:r>
              <w:rPr>
                <w:rFonts w:ascii="Arial" w:cs="Arial" w:eastAsia="Arial" w:hAnsi="Arial"/>
                <w:sz w:val="18"/>
                <w:szCs w:val="18"/>
                <w:color w:val="auto"/>
                <w:w w:val="90"/>
              </w:rPr>
              <w:t>$10.03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the earlier of the expiration date or the date exercised by the holder.</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21" w:lineRule="exact"/>
        <w:rPr>
          <w:rFonts w:ascii="Arial" w:cs="Arial" w:eastAsia="Arial" w:hAnsi="Arial"/>
          <w:sz w:val="14"/>
          <w:szCs w:val="14"/>
          <w:color w:val="auto"/>
        </w:rPr>
      </w:pPr>
    </w:p>
    <w:p>
      <w:pPr>
        <w:ind w:left="200" w:hanging="192"/>
        <w:spacing w:after="0"/>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Fair value at the date of conversion from redeemable convertible preferred stock to common stock warrants in conjunction with the IPO on October 16,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Company's certificate of incorporate as amended and restated in October 2018, authorizes the Company to issue 100,000,000 shares of common stock and 5,000,000 shares of preferred stock, each having a par value of $0.0001. Common stock issued and outstanding as of December 31, 2021 and 2020 were 33,674,085 shares and 32,583,220 shares, respectively. As of December 31, 2021 and 2020, there was no preferred stock issued and outstanding.</w:t>
      </w:r>
    </w:p>
    <w:p>
      <w:pPr>
        <w:spacing w:after="0" w:line="14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as, when, and if declared by the Board of Directors. There have been no dividends declared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2008 Stock Option Plan and 2018 Equity Incentive Plan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and RSUs to employees, directors and consultants. No new options have been granted under the 2008 SOP since August 2018. Outstanding options under the 2008 SOP continue to be subject to the terms and conditions of that plan.</w:t>
      </w:r>
    </w:p>
    <w:p>
      <w:pPr>
        <w:spacing w:after="0" w:line="18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2021, a total of 3,520,102 shares of common stock are available for future grants under the 2018 EIP. On January 1, 2022, the total number of shares of common stock reserved for issuance under the 2018 EIP automatically increased by 1,683,704 shares.</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Options granted have a term of 10 years, except, options granted to individuals holding more than 10% of the outstanding shares have a term of five years. Options generally vest over a four-year period. Certain stock options are exercisable immediately, but are subject to a right of repurchase by the Company for any unvested shares. RSUs granted under the 2018 EIP generally vest over two to four years based upon continued services and are settled at vesting in shares of the Company's common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 option activity for the years ended December 31, 2021 and 2020:</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4"/>
                <w:szCs w:val="14"/>
                <w:color w:val="auto"/>
              </w:rPr>
            </w:pPr>
          </w:p>
        </w:tc>
        <w:tc>
          <w:tcPr>
            <w:tcW w:w="114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 Life</w:t>
            </w:r>
          </w:p>
        </w:tc>
        <w:tc>
          <w:tcPr>
            <w:tcW w:w="120" w:type="dxa"/>
            <w:vAlign w:val="bottom"/>
          </w:tcPr>
          <w:p>
            <w:pPr>
              <w:spacing w:after="0"/>
              <w:rPr>
                <w:sz w:val="14"/>
                <w:szCs w:val="14"/>
                <w:color w:val="auto"/>
              </w:rPr>
            </w:pPr>
          </w:p>
        </w:tc>
        <w:tc>
          <w:tcPr>
            <w:tcW w:w="114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1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2,718,971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$8.02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26,236</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$17.31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(323,701)</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$4.52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3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$17.07</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2,405,957</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60"/>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(369,375)</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$6.94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(27,069)</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$15.85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2,009,513</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$8.73</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4.90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27,089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and exercisable as of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1,870,352</w:t>
            </w:r>
          </w:p>
        </w:tc>
        <w:tc>
          <w:tcPr>
            <w:tcW w:w="13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and expected to vest as of December 31, 2021</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2,031,988</w:t>
            </w:r>
          </w:p>
        </w:tc>
        <w:tc>
          <w:tcPr>
            <w:tcW w:w="1380" w:type="dxa"/>
            <w:vAlign w:val="bottom"/>
            <w:gridSpan w:val="2"/>
          </w:tcPr>
          <w:p>
            <w:pPr>
              <w:jc w:val="center"/>
              <w:ind w:left="10"/>
              <w:spacing w:after="0" w:line="203" w:lineRule="exact"/>
              <w:rPr>
                <w:sz w:val="20"/>
                <w:szCs w:val="20"/>
                <w:color w:val="auto"/>
              </w:rPr>
            </w:pPr>
            <w:r>
              <w:rPr>
                <w:rFonts w:ascii="Arial" w:cs="Arial" w:eastAsia="Arial" w:hAnsi="Arial"/>
                <w:sz w:val="18"/>
                <w:szCs w:val="18"/>
                <w:color w:val="auto"/>
                <w:w w:val="88"/>
              </w:rPr>
              <w:t>$8.61</w:t>
            </w:r>
          </w:p>
        </w:tc>
        <w:tc>
          <w:tcPr>
            <w:tcW w:w="1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w w:val="85"/>
              </w:rPr>
              <w:t>5.12</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27,633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aggregate intrinsic value of options exercised during the years ended December 31, 2021 and 2020 amounted to $8.1 million and $5.6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2021 represents the difference between the exercise price and the closing price of the Company’s common stock on the last trading day of the year.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Outstanding options and exercisable options information by range of exercise prices as of December 31, 2021 was as follows:</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Options Outstanding</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Options Vested and Exercisable</w:t>
            </w: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Remaining</w:t>
            </w:r>
          </w:p>
        </w:tc>
        <w:tc>
          <w:tcPr>
            <w:tcW w:w="13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Exercise Price</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3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Number of Shares</w:t>
            </w:r>
          </w:p>
        </w:tc>
        <w:tc>
          <w:tcPr>
            <w:tcW w:w="14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Life (Years)</w:t>
            </w: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Exercise Price</w:t>
            </w: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8"/>
              </w:rPr>
              <w:t>$2.11</w:t>
            </w:r>
          </w:p>
        </w:tc>
        <w:tc>
          <w:tcPr>
            <w:tcW w:w="7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$3.69</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405,476</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1"/>
              </w:rPr>
              <w:t>2.45</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405,476</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$3.36</w:t>
            </w:r>
          </w:p>
        </w:tc>
        <w:tc>
          <w:tcPr>
            <w:tcW w:w="0" w:type="dxa"/>
            <w:vAlign w:val="bottom"/>
          </w:tcPr>
          <w:p>
            <w:pPr>
              <w:spacing w:after="0"/>
              <w:rPr>
                <w:sz w:val="1"/>
                <w:szCs w:val="1"/>
                <w:color w:val="auto"/>
              </w:rPr>
            </w:pPr>
          </w:p>
        </w:tc>
      </w:tr>
      <w:tr>
        <w:trPr>
          <w:trHeight w:val="230"/>
        </w:trPr>
        <w:tc>
          <w:tcPr>
            <w:tcW w:w="780" w:type="dxa"/>
            <w:vAlign w:val="bottom"/>
          </w:tcPr>
          <w:p>
            <w:pPr>
              <w:jc w:val="center"/>
              <w:ind w:left="150"/>
              <w:spacing w:after="0"/>
              <w:rPr>
                <w:sz w:val="20"/>
                <w:szCs w:val="20"/>
                <w:color w:val="auto"/>
              </w:rPr>
            </w:pPr>
            <w:r>
              <w:rPr>
                <w:rFonts w:ascii="Arial" w:cs="Arial" w:eastAsia="Arial" w:hAnsi="Arial"/>
                <w:sz w:val="18"/>
                <w:szCs w:val="18"/>
                <w:color w:val="auto"/>
                <w:w w:val="93"/>
              </w:rPr>
              <w:t>$3.70</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$4.41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517,272</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3.98</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517,272</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$4.30</w:t>
            </w: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3"/>
              </w:rPr>
              <w:t>$4.42</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423,154</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5.36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421,812</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$4.67</w:t>
            </w:r>
          </w:p>
        </w:tc>
        <w:tc>
          <w:tcPr>
            <w:tcW w:w="0" w:type="dxa"/>
            <w:vAlign w:val="bottom"/>
          </w:tcPr>
          <w:p>
            <w:pPr>
              <w:spacing w:after="0"/>
              <w:rPr>
                <w:sz w:val="1"/>
                <w:szCs w:val="1"/>
                <w:color w:val="auto"/>
              </w:rPr>
            </w:pPr>
          </w:p>
        </w:tc>
      </w:tr>
      <w:tr>
        <w:trPr>
          <w:trHeight w:val="230"/>
        </w:trPr>
        <w:tc>
          <w:tcPr>
            <w:tcW w:w="780" w:type="dxa"/>
            <w:vAlign w:val="bottom"/>
          </w:tcPr>
          <w:p>
            <w:pPr>
              <w:jc w:val="center"/>
              <w:ind w:left="150"/>
              <w:spacing w:after="0"/>
              <w:rPr>
                <w:sz w:val="20"/>
                <w:szCs w:val="20"/>
                <w:color w:val="auto"/>
              </w:rPr>
            </w:pPr>
            <w:r>
              <w:rPr>
                <w:rFonts w:ascii="Arial" w:cs="Arial" w:eastAsia="Arial" w:hAnsi="Arial"/>
                <w:sz w:val="18"/>
                <w:szCs w:val="18"/>
                <w:color w:val="auto"/>
                <w:w w:val="93"/>
              </w:rPr>
              <w:t>$5.32</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$20.51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254,817</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6.44</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$11.71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235,053</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$11.29</w:t>
            </w: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0"/>
              </w:rPr>
              <w:t>$20.52</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408,794</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7.04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290,739</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$22.00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2,009,513</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4.90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$8.73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1,870,352</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$7.81</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were no stock options granted during the year ended December 31, 2021. The table below summarizes the weighted average grant date fair value per share and the assumptions used to estimate the grant date fair value using the Black-Scholes option-pricing model of the stock options granted during the periods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380" w:type="dxa"/>
            <w:vAlign w:val="bottom"/>
            <w:gridSpan w:val="4"/>
          </w:tcPr>
          <w:p>
            <w:pPr>
              <w:jc w:val="center"/>
              <w:ind w:right="1420"/>
              <w:spacing w:after="0"/>
              <w:rPr>
                <w:sz w:val="20"/>
                <w:szCs w:val="20"/>
                <w:color w:val="auto"/>
              </w:rPr>
            </w:pPr>
            <w:r>
              <w:rPr>
                <w:rFonts w:ascii="Arial" w:cs="Arial" w:eastAsia="Arial" w:hAnsi="Arial"/>
                <w:sz w:val="16"/>
                <w:szCs w:val="16"/>
                <w:b w:val="1"/>
                <w:bCs w:val="1"/>
                <w:color w:val="auto"/>
                <w:w w:val="90"/>
              </w:rPr>
              <w:t>Year ended December 31,</w:t>
            </w:r>
          </w:p>
        </w:tc>
      </w:tr>
      <w:tr>
        <w:trPr>
          <w:trHeight w:val="226"/>
        </w:trPr>
        <w:tc>
          <w:tcPr>
            <w:tcW w:w="144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0" w:type="dxa"/>
            <w:vAlign w:val="bottom"/>
            <w:tcBorders>
              <w:top w:val="single" w:sz="8" w:color="auto"/>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Weighted average grant date fair value per share</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$8.16</w:t>
            </w:r>
          </w:p>
        </w:tc>
        <w:tc>
          <w:tcPr>
            <w:tcW w:w="1000" w:type="dxa"/>
            <w:vAlign w:val="bottom"/>
            <w:shd w:val="clear" w:color="auto" w:fill="CCEEFF"/>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144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Expected term (years)</w:t>
            </w:r>
          </w:p>
        </w:tc>
        <w:tc>
          <w:tcPr>
            <w:tcW w:w="2520" w:type="dxa"/>
            <w:vAlign w:val="bottom"/>
            <w:gridSpan w:val="2"/>
          </w:tcPr>
          <w:p>
            <w:pPr>
              <w:jc w:val="center"/>
              <w:ind w:left="1410"/>
              <w:spacing w:after="0"/>
              <w:rPr>
                <w:sz w:val="20"/>
                <w:szCs w:val="20"/>
                <w:color w:val="auto"/>
              </w:rPr>
            </w:pPr>
            <w:r>
              <w:rPr>
                <w:rFonts w:ascii="Arial" w:cs="Arial" w:eastAsia="Arial" w:hAnsi="Arial"/>
                <w:sz w:val="18"/>
                <w:szCs w:val="18"/>
                <w:color w:val="auto"/>
                <w:w w:val="87"/>
              </w:rPr>
              <w:t>5.5</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20" w:type="dxa"/>
            <w:vAlign w:val="bottom"/>
          </w:tcPr>
          <w:p>
            <w:pPr>
              <w:spacing w:after="0"/>
              <w:rPr>
                <w:sz w:val="19"/>
                <w:szCs w:val="19"/>
                <w:color w:val="auto"/>
              </w:rPr>
            </w:pPr>
          </w:p>
        </w:tc>
      </w:tr>
      <w:tr>
        <w:trPr>
          <w:trHeight w:val="230"/>
        </w:trPr>
        <w:tc>
          <w:tcPr>
            <w:tcW w:w="144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volatility</w:t>
            </w:r>
          </w:p>
        </w:tc>
        <w:tc>
          <w:tcPr>
            <w:tcW w:w="2520" w:type="dxa"/>
            <w:vAlign w:val="bottom"/>
            <w:gridSpan w:val="2"/>
            <w:shd w:val="clear" w:color="auto" w:fill="CCEEFF"/>
          </w:tcPr>
          <w:p>
            <w:pPr>
              <w:jc w:val="center"/>
              <w:ind w:left="1410"/>
              <w:spacing w:after="0"/>
              <w:rPr>
                <w:sz w:val="20"/>
                <w:szCs w:val="20"/>
                <w:color w:val="auto"/>
              </w:rPr>
            </w:pPr>
            <w:r>
              <w:rPr>
                <w:rFonts w:ascii="Arial" w:cs="Arial" w:eastAsia="Arial" w:hAnsi="Arial"/>
                <w:sz w:val="18"/>
                <w:szCs w:val="18"/>
                <w:color w:val="auto"/>
                <w:w w:val="90"/>
              </w:rPr>
              <w:t>46.7%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47.2%</w:t>
            </w:r>
          </w:p>
        </w:tc>
        <w:tc>
          <w:tcPr>
            <w:tcW w:w="1420" w:type="dxa"/>
            <w:vAlign w:val="bottom"/>
          </w:tcPr>
          <w:p>
            <w:pPr>
              <w:spacing w:after="0"/>
              <w:rPr>
                <w:sz w:val="19"/>
                <w:szCs w:val="19"/>
                <w:color w:val="auto"/>
              </w:rPr>
            </w:pPr>
          </w:p>
        </w:tc>
      </w:tr>
      <w:tr>
        <w:trPr>
          <w:trHeight w:val="229"/>
        </w:trPr>
        <w:tc>
          <w:tcPr>
            <w:tcW w:w="144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2520" w:type="dxa"/>
            <w:vAlign w:val="bottom"/>
            <w:gridSpan w:val="2"/>
          </w:tcPr>
          <w:p>
            <w:pPr>
              <w:jc w:val="center"/>
              <w:ind w:left="1410"/>
              <w:spacing w:after="0"/>
              <w:rPr>
                <w:sz w:val="20"/>
                <w:szCs w:val="20"/>
                <w:color w:val="auto"/>
              </w:rPr>
            </w:pPr>
            <w:r>
              <w:rPr>
                <w:rFonts w:ascii="Arial" w:cs="Arial" w:eastAsia="Arial" w:hAnsi="Arial"/>
                <w:sz w:val="18"/>
                <w:szCs w:val="18"/>
                <w:color w:val="auto"/>
                <w:w w:val="92"/>
              </w:rPr>
              <w:t>1.6%</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420" w:type="dxa"/>
            <w:vAlign w:val="bottom"/>
          </w:tcPr>
          <w:p>
            <w:pPr>
              <w:spacing w:after="0"/>
              <w:rPr>
                <w:sz w:val="19"/>
                <w:szCs w:val="19"/>
                <w:color w:val="auto"/>
              </w:rPr>
            </w:pPr>
          </w:p>
        </w:tc>
      </w:tr>
      <w:tr>
        <w:trPr>
          <w:trHeight w:val="230"/>
        </w:trPr>
        <w:tc>
          <w:tcPr>
            <w:tcW w:w="144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0" w:type="dxa"/>
            <w:vAlign w:val="bottom"/>
            <w:shd w:val="clear" w:color="auto" w:fill="CCEEFF"/>
          </w:tcPr>
          <w:p>
            <w:pPr>
              <w:spacing w:after="0"/>
              <w:rPr>
                <w:sz w:val="19"/>
                <w:szCs w:val="19"/>
                <w:color w:val="auto"/>
              </w:rPr>
            </w:pPr>
          </w:p>
        </w:tc>
        <w:tc>
          <w:tcPr>
            <w:tcW w:w="1420" w:type="dxa"/>
            <w:vAlign w:val="bottom"/>
          </w:tcPr>
          <w:p>
            <w:pPr>
              <w:spacing w:after="0"/>
              <w:rPr>
                <w:sz w:val="19"/>
                <w:szCs w:val="19"/>
                <w:color w:val="auto"/>
              </w:rPr>
            </w:pPr>
          </w:p>
        </w:tc>
      </w:tr>
      <w:tr>
        <w:trPr>
          <w:trHeight w:val="486"/>
        </w:trPr>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20" w:type="dxa"/>
            <w:vAlign w:val="bottom"/>
          </w:tcPr>
          <w:p>
            <w:pPr>
              <w:jc w:val="right"/>
              <w:ind w:right="1050"/>
              <w:spacing w:after="0"/>
              <w:rPr>
                <w:sz w:val="20"/>
                <w:szCs w:val="20"/>
                <w:color w:val="auto"/>
              </w:rPr>
            </w:pPr>
            <w:r>
              <w:rPr>
                <w:rFonts w:ascii="Arial" w:cs="Arial" w:eastAsia="Arial" w:hAnsi="Arial"/>
                <w:sz w:val="18"/>
                <w:szCs w:val="18"/>
                <w:color w:val="auto"/>
              </w:rPr>
              <w:t>97</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8"/>
        </w:trPr>
        <w:tc>
          <w:tcPr>
            <w:tcW w:w="14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2021, there was $1.4 million of unrecognized compensation cost related to stock options granted. These costs are expected to be recognized over a period of approximately 1.0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under the Company's 2008 SOP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December 31, 2021, the Company had no shares subject to repurchase. As of December 31, 2020, the Company had a total 5,836 shares of common stock subject to repurchase under the 2008 SOP.</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restricted stock units activity for the years ended December 31, 2021 and 2020:</w:t>
      </w:r>
    </w:p>
    <w:p>
      <w:pPr>
        <w:spacing w:after="0" w:line="33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4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$19.72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1,016,432</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(344,779)</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$19.87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(49,399)</w:t>
            </w:r>
          </w:p>
        </w:tc>
        <w:tc>
          <w:tcPr>
            <w:tcW w:w="13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$19.73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1,165,295</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$20.07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1,187,143</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$28.46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(574,195)</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$21.76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(211,721)</w:t>
            </w:r>
          </w:p>
        </w:tc>
        <w:tc>
          <w:tcPr>
            <w:tcW w:w="13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$24.76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1,566,522</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$25.17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2021, there was a total unrecognized compensation cost of $32.6 million. These costs are expected to be recognized over a period of approximately 2.7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2021, a total of 884,155 shares of common stock are available for future grants under the 2018 EIP. On January 1, 2022, the total number of shares of common stock reserved for issuance under the ESPP Plan increased by 336,741 shares.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the ESPP shares is estimated using the Black-Scholes option pricing model, which is being amortized over the requisite service period. The Company issued 147,295 shares and 137,377 shares under the ESPP during the years ended December 31, 2021 and 2020, respectively, representing approximately $2.3 million and $1.9 million in employee contributions. As of December 31, 2021 and 2020, total accumulated ESPP related employee payroll deductions amounted to $0.3 million and $0.4 million, respectively, which were included within accrued compensation and related expenses in the consolidated balance sheets. For the years ended December 31, 2021 and 2020, the Company recognized $0.8 million and $1.2 million, respectively, of stock-based compensation expense related to ESPP. As of December 31, 2021, the unrecognized compensation cost for the ESPP was $0.3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right="560" w:firstLine="405"/>
        <w:spacing w:after="0" w:line="274" w:lineRule="auto"/>
        <w:rPr>
          <w:sz w:val="20"/>
          <w:szCs w:val="20"/>
          <w:color w:val="auto"/>
        </w:rPr>
      </w:pPr>
      <w:r>
        <w:rPr>
          <w:rFonts w:ascii="Arial" w:cs="Arial" w:eastAsia="Arial" w:hAnsi="Arial"/>
          <w:sz w:val="18"/>
          <w:szCs w:val="18"/>
          <w:color w:val="auto"/>
        </w:rPr>
        <w:t>The Company estimated the fair value of ESPP purchase rights during the offering period using a Black-Scholes option pricing model with the following assumptions:</w:t>
      </w:r>
    </w:p>
    <w:tbl>
      <w:tblPr>
        <w:tblLayout w:type="fixed"/>
        <w:tblInd w:w="44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56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4"/>
          </w:tcPr>
          <w:p>
            <w:pPr>
              <w:jc w:val="center"/>
              <w:ind w:left="653"/>
              <w:spacing w:after="0"/>
              <w:rPr>
                <w:sz w:val="20"/>
                <w:szCs w:val="20"/>
                <w:color w:val="auto"/>
              </w:rPr>
            </w:pPr>
            <w:r>
              <w:rPr>
                <w:rFonts w:ascii="Arial" w:cs="Arial" w:eastAsia="Arial" w:hAnsi="Arial"/>
                <w:sz w:val="16"/>
                <w:szCs w:val="16"/>
                <w:b w:val="1"/>
                <w:bCs w:val="1"/>
                <w:color w:val="auto"/>
                <w:w w:val="89"/>
              </w:rPr>
              <w:t>2020</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26"/>
        </w:trPr>
        <w:tc>
          <w:tcPr>
            <w:tcW w:w="320" w:type="dxa"/>
            <w:vAlign w:val="bottom"/>
          </w:tcPr>
          <w:p>
            <w:pPr>
              <w:spacing w:after="0"/>
              <w:rPr>
                <w:sz w:val="19"/>
                <w:szCs w:val="19"/>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0.5</w:t>
            </w:r>
          </w:p>
        </w:tc>
        <w:tc>
          <w:tcPr>
            <w:tcW w:w="380" w:type="dxa"/>
            <w:vAlign w:val="bottom"/>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7"/>
              </w:rPr>
              <w:t>1.0</w:t>
            </w:r>
          </w:p>
        </w:tc>
        <w:tc>
          <w:tcPr>
            <w:tcW w:w="2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42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53"/>
              <w:spacing w:after="0"/>
              <w:rPr>
                <w:sz w:val="20"/>
                <w:szCs w:val="20"/>
                <w:color w:val="auto"/>
              </w:rPr>
            </w:pPr>
            <w:r>
              <w:rPr>
                <w:rFonts w:ascii="Arial" w:cs="Arial" w:eastAsia="Arial" w:hAnsi="Arial"/>
                <w:sz w:val="18"/>
                <w:szCs w:val="18"/>
                <w:color w:val="auto"/>
                <w:w w:val="90"/>
              </w:rPr>
              <w:t>38.3%</w:t>
            </w:r>
          </w:p>
        </w:tc>
        <w:tc>
          <w:tcPr>
            <w:tcW w:w="38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center"/>
              <w:ind w:right="11"/>
              <w:spacing w:after="0"/>
              <w:rPr>
                <w:sz w:val="20"/>
                <w:szCs w:val="20"/>
                <w:color w:val="auto"/>
              </w:rPr>
            </w:pPr>
            <w:r>
              <w:rPr>
                <w:rFonts w:ascii="Arial" w:cs="Arial" w:eastAsia="Arial" w:hAnsi="Arial"/>
                <w:sz w:val="18"/>
                <w:szCs w:val="18"/>
                <w:color w:val="auto"/>
                <w:w w:val="90"/>
              </w:rPr>
              <w:t>79.4%</w:t>
            </w:r>
          </w:p>
        </w:tc>
        <w:tc>
          <w:tcPr>
            <w:tcW w:w="28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0"/>
              </w:rPr>
              <w:t>0.10%</w:t>
            </w:r>
          </w:p>
        </w:tc>
        <w:tc>
          <w:tcPr>
            <w:tcW w:w="380" w:type="dxa"/>
            <w:vAlign w:val="bottom"/>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0"/>
              </w:rPr>
              <w:t>1.60%</w:t>
            </w:r>
          </w:p>
        </w:tc>
        <w:tc>
          <w:tcPr>
            <w:tcW w:w="28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center"/>
              <w:ind w:left="653"/>
              <w:spacing w:after="0"/>
              <w:rPr>
                <w:sz w:val="20"/>
                <w:szCs w:val="20"/>
                <w:color w:val="auto"/>
              </w:rPr>
            </w:pPr>
            <w:r>
              <w:rPr>
                <w:rFonts w:ascii="Arial" w:cs="Arial" w:eastAsia="Arial" w:hAnsi="Arial"/>
                <w:sz w:val="18"/>
                <w:szCs w:val="18"/>
                <w:color w:val="auto"/>
                <w:w w:val="93"/>
              </w:rPr>
              <w:t>—%</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1"/>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Stock-Based Compensation</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8020" w:type="dxa"/>
            <w:vAlign w:val="bottom"/>
            <w:gridSpan w:val="7"/>
          </w:tcPr>
          <w:p>
            <w:pPr>
              <w:ind w:left="20"/>
              <w:spacing w:after="0"/>
              <w:rPr>
                <w:sz w:val="20"/>
                <w:szCs w:val="20"/>
                <w:color w:val="auto"/>
              </w:rPr>
            </w:pPr>
            <w:r>
              <w:rPr>
                <w:rFonts w:ascii="Arial" w:cs="Arial" w:eastAsia="Arial" w:hAnsi="Arial"/>
                <w:sz w:val="18"/>
                <w:szCs w:val="18"/>
                <w:color w:val="auto"/>
                <w:w w:val="96"/>
              </w:rPr>
              <w:t>The following table sets forth stock-based compensation expense recognized for the periods presented:</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4"/>
        </w:trPr>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6"/>
                <w:szCs w:val="16"/>
                <w:b w:val="1"/>
                <w:bCs w:val="1"/>
                <w:color w:val="auto"/>
                <w:w w:val="97"/>
              </w:rPr>
              <w:t>Year Ended December 31,</w:t>
            </w:r>
          </w:p>
        </w:tc>
      </w:tr>
      <w:tr>
        <w:trPr>
          <w:trHeight w:val="210"/>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6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r>
      <w:tr>
        <w:trPr>
          <w:trHeight w:val="229"/>
        </w:trPr>
        <w:tc>
          <w:tcPr>
            <w:tcW w:w="6000" w:type="dxa"/>
            <w:vAlign w:val="bottom"/>
            <w:gridSpan w:val="2"/>
          </w:tcPr>
          <w:p>
            <w:pPr>
              <w:ind w:left="6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5,527</w:t>
            </w:r>
          </w:p>
        </w:tc>
      </w:tr>
      <w:tr>
        <w:trPr>
          <w:trHeight w:val="230"/>
        </w:trPr>
        <w:tc>
          <w:tcPr>
            <w:tcW w:w="6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w:t>
            </w:r>
          </w:p>
        </w:tc>
      </w:tr>
      <w:tr>
        <w:trPr>
          <w:trHeight w:val="229"/>
        </w:trPr>
        <w:tc>
          <w:tcPr>
            <w:tcW w:w="60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4,930</w:t>
            </w:r>
          </w:p>
        </w:tc>
      </w:tr>
      <w:tr>
        <w:trPr>
          <w:trHeight w:val="248"/>
        </w:trPr>
        <w:tc>
          <w:tcPr>
            <w:tcW w:w="3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11,927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22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 For the years ended December 31, 2021 and 2020, the Company made $0.2 million contributions to the 401(k)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54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89"/>
              </w:rPr>
              <w:t>(in thousands, except share and per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91"/>
              </w:rPr>
              <w:t>share data)</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40" w:type="dxa"/>
            <w:vAlign w:val="bottom"/>
          </w:tcPr>
          <w:p>
            <w:pPr>
              <w:spacing w:after="0"/>
              <w:rPr>
                <w:sz w:val="24"/>
                <w:szCs w:val="24"/>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33,145,930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29,059,171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74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4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7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26"/>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2,405,957</w:t>
            </w:r>
          </w:p>
        </w:tc>
      </w:tr>
      <w:tr>
        <w:trPr>
          <w:trHeight w:val="229"/>
        </w:trPr>
        <w:tc>
          <w:tcPr>
            <w:tcW w:w="778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1,566,522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1,165,295</w:t>
            </w:r>
          </w:p>
        </w:tc>
      </w:tr>
      <w:tr>
        <w:trPr>
          <w:trHeight w:val="230"/>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r>
      <w:tr>
        <w:trPr>
          <w:trHeight w:val="229"/>
        </w:trPr>
        <w:tc>
          <w:tcPr>
            <w:tcW w:w="778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240" w:type="dxa"/>
            <w:vAlign w:val="bottom"/>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83,040</w:t>
            </w:r>
          </w:p>
        </w:tc>
      </w:tr>
      <w:tr>
        <w:trPr>
          <w:trHeight w:val="229"/>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r>
      <w:tr>
        <w:trPr>
          <w:trHeight w:val="223"/>
        </w:trPr>
        <w:tc>
          <w:tcPr>
            <w:tcW w:w="77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3,755,421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3,778,250</w:t>
            </w:r>
          </w:p>
        </w:tc>
      </w:tr>
      <w:tr>
        <w:trPr>
          <w:trHeight w:val="21"/>
        </w:trPr>
        <w:tc>
          <w:tcPr>
            <w:tcW w:w="7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are as follows:</w:t>
      </w:r>
    </w:p>
    <w:p>
      <w:pPr>
        <w:spacing w:after="0" w:line="140"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r>
      <w:tr>
        <w:trPr>
          <w:trHeight w:val="207"/>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7"/>
                <w:szCs w:val="17"/>
                <w:color w:val="auto"/>
              </w:rPr>
            </w:pP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(41,708)</w:t>
            </w:r>
          </w:p>
        </w:tc>
      </w:tr>
      <w:tr>
        <w:trPr>
          <w:trHeight w:val="229"/>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48"/>
        </w:trPr>
        <w:tc>
          <w:tcPr>
            <w:tcW w:w="7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There was no provision for income taxes recorded for the years ended December 31, 2021 and 2020.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deferred income taxes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2,711</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7740" w:type="dxa"/>
            <w:vAlign w:val="bottom"/>
          </w:tcPr>
          <w:p>
            <w:pPr>
              <w:ind w:left="340"/>
              <w:spacing w:after="0"/>
              <w:rPr>
                <w:sz w:val="20"/>
                <w:szCs w:val="20"/>
                <w:color w:val="auto"/>
              </w:rPr>
            </w:pPr>
            <w:r>
              <w:rPr>
                <w:rFonts w:ascii="Arial" w:cs="Arial" w:eastAsia="Arial" w:hAnsi="Arial"/>
                <w:sz w:val="18"/>
                <w:szCs w:val="18"/>
                <w:color w:val="auto"/>
              </w:rPr>
              <w:t>Total deferred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(13,149)</w:t>
            </w:r>
          </w:p>
        </w:tc>
      </w:tr>
      <w:tr>
        <w:trPr>
          <w:trHeight w:val="223"/>
        </w:trPr>
        <w:tc>
          <w:tcPr>
            <w:tcW w:w="7740" w:type="dxa"/>
            <w:vAlign w:val="bottom"/>
          </w:tcPr>
          <w:p>
            <w:pPr>
              <w:ind w:left="340"/>
              <w:spacing w:after="0"/>
              <w:rPr>
                <w:sz w:val="20"/>
                <w:szCs w:val="20"/>
                <w:color w:val="auto"/>
              </w:rPr>
            </w:pPr>
            <w:r>
              <w:rPr>
                <w:rFonts w:ascii="Arial" w:cs="Arial" w:eastAsia="Arial" w:hAnsi="Arial"/>
                <w:sz w:val="18"/>
                <w:szCs w:val="18"/>
                <w:color w:val="auto"/>
              </w:rPr>
              <w:t>Net deferred income tax</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12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statutory federal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Change in deferred tax valuation allowance</w:t>
            </w:r>
          </w:p>
        </w:tc>
        <w:tc>
          <w:tcPr>
            <w:tcW w:w="1360" w:type="dxa"/>
            <w:vAlign w:val="bottom"/>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Foreign rate differences</w:t>
            </w:r>
          </w:p>
        </w:tc>
        <w:tc>
          <w:tcPr>
            <w:tcW w:w="13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presented below:</w:t>
      </w:r>
    </w:p>
    <w:p>
      <w:pPr>
        <w:spacing w:after="0" w:line="16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423"/>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4"/>
                <w:szCs w:val="24"/>
                <w:color w:val="auto"/>
              </w:rPr>
            </w:pP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52,331</w:t>
            </w: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Accruals and reserves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Interest limitation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29"/>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63,453</w:t>
            </w: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 deferred tax asset, net of valuation allowance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changes in the valuation allowance for the years ended December 31, 2021 and 2020:</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121" w:right="7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7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50,304</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changes during the period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13,149</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2021, the Company had net operating loss (“NOL”) carryforwards of approximately $255.5 million and $203.2 million available to reduce future taxable income, if any, for federal and state income tax purposes, respectively. If not utilized, the Company’s federal NOL carryforward begins to expire in 2029, and the state NOL carryforward began to expire in 2021.</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2021, the Company had credit carryforwards of approximately $3.2 million and $2.9 million available to reduce future taxable income, if any, for both federal and state income tax purposes, respectively. The federal credits begin to expire in 2029, and the state credits have no expiration date.</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equity shift between December 31, 2020 to December 31, 2021 was not material, considering the changes in the outstanding number of shares during the period. The Company reasonably believes no additional ownership change occurred in the current year. The Company will continually assess the need to update its Section 382 ownership change analysis, as the Company may experience ownership changes in the future that could materially limit its ability to use its NOL carryforwards.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CARES Act includes provisions relating to refundable payroll tax credits, deferment of employer's social security payments, net operating loss carryback periods, alternative minimum tax credit refunds, modifications to the net interest deduction limitations and technical corrections to tax depreciation methods for qualified improvement property. The Company deferred the payment of an employer's share of social security taxes through December 31, 2021 of $0.5 million.</w:t>
      </w:r>
    </w:p>
    <w:p>
      <w:pPr>
        <w:spacing w:after="0" w:line="187"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On June 29, 2020, Governor Gavin Newsom signed California Assembly Bill 85 (AB 85) into law. The legislation suspends the California net operating loss deductions for 2020, 2021, and 2022 for certain taxpayers and imposes a limitation of certain California Tax Credits for 2020, 2021, and 2022.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The Company will continue to monitor the possible California net operating loss and credit limitations in future periods.</w:t>
      </w:r>
    </w:p>
    <w:p>
      <w:pPr>
        <w:spacing w:after="0" w:line="176" w:lineRule="exact"/>
        <w:rPr>
          <w:sz w:val="20"/>
          <w:szCs w:val="20"/>
          <w:color w:val="auto"/>
        </w:rPr>
      </w:pPr>
    </w:p>
    <w:p>
      <w:pPr>
        <w:jc w:val="both"/>
        <w:ind w:firstLine="486"/>
        <w:spacing w:after="0" w:line="231" w:lineRule="auto"/>
        <w:rPr>
          <w:sz w:val="20"/>
          <w:szCs w:val="20"/>
          <w:color w:val="auto"/>
        </w:rPr>
      </w:pPr>
      <w:r>
        <w:rPr>
          <w:rFonts w:ascii="Arial" w:cs="Arial" w:eastAsia="Arial" w:hAnsi="Arial"/>
          <w:sz w:val="18"/>
          <w:szCs w:val="18"/>
          <w:color w:val="auto"/>
        </w:rPr>
        <w:t>On February 9, 2022, Governor Gavin Newsom signed California Senate Bill 113 (SB 113) into law. The legislation contains important California tax law changes, including reinstatement of business tax credits and net NOL deductions limited by AB 85 mentioned above. The new tax law should be accounted for under ASC 740 in the period of enactment (2022) but is not expected to have a material impact on the Company’s tax provision due to its taxable loss position.</w:t>
      </w:r>
    </w:p>
    <w:p>
      <w:pPr>
        <w:spacing w:after="0" w:line="18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2021 and 2020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2020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beginning of the year</w:t>
            </w:r>
          </w:p>
        </w:tc>
        <w:tc>
          <w:tcPr>
            <w:tcW w:w="3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w w:val="97"/>
              </w:rPr>
              <w:t>Increases related to tax positions taken prior to current year</w:t>
            </w: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Increases related to current year's tax positions</w:t>
            </w:r>
          </w:p>
        </w:tc>
        <w:tc>
          <w:tcPr>
            <w:tcW w:w="3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Balance at end of the year</w:t>
            </w:r>
          </w:p>
        </w:tc>
        <w:tc>
          <w:tcPr>
            <w:tcW w:w="30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40" w:type="dxa"/>
            <w:vAlign w:val="bottom"/>
            <w:vMerge w:val="restart"/>
          </w:tcPr>
          <w:p>
            <w:pPr>
              <w:jc w:val="right"/>
              <w:ind w:right="2290"/>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no accrued interest related to unrecognized tax benefits as of December 31, 2021 and 2020. None of the Company’s unrecognized tax benefits that, if recognized, would affect its effective tax rates for the years ended December 31, 2021 and 2020. The Company does not anticipate the total amounts of unrecognized tax benefits will significantly increase or decrease in the next 12 months.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currently has no federal, state or foreign tax examinations in progress nor has it had any federal or state examinations since inception.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Company’s net operating loss carry forwards, all of its tax years are subject to federal and state tax examinations.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years ended December 31, 2021 and 2020, the Company expensed $29,000 and $118,000, respectively, of the reimbursement charges from SeaSpine. The reimbursement charges were recorded within research and development expense in the consolidated statement of operations. There was no outstanding liabilities to SeaSpine as of December 31, 2021.</w:t>
      </w:r>
    </w:p>
    <w:p>
      <w:pPr>
        <w:spacing w:after="0" w:line="19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Supplementary Data</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Selected Quarterly Consolidated Financial Data (Unaudited)</w:t>
      </w:r>
    </w:p>
    <w:p>
      <w:pPr>
        <w:spacing w:after="0" w:line="158" w:lineRule="exact"/>
        <w:rPr>
          <w:sz w:val="20"/>
          <w:szCs w:val="20"/>
          <w:color w:val="auto"/>
        </w:rPr>
      </w:pPr>
    </w:p>
    <w:p>
      <w:pPr>
        <w:ind w:right="60" w:firstLine="405"/>
        <w:spacing w:after="0" w:line="235" w:lineRule="auto"/>
        <w:rPr>
          <w:sz w:val="20"/>
          <w:szCs w:val="20"/>
          <w:color w:val="auto"/>
        </w:rPr>
      </w:pPr>
      <w:r>
        <w:rPr>
          <w:rFonts w:ascii="Arial" w:cs="Arial" w:eastAsia="Arial" w:hAnsi="Arial"/>
          <w:sz w:val="18"/>
          <w:szCs w:val="18"/>
          <w:color w:val="auto"/>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Schedule II - Valuation and Qualifying Accounts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 thereto.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1" w:lineRule="exact"/>
        <w:rPr>
          <w:sz w:val="20"/>
          <w:szCs w:val="20"/>
          <w:color w:val="auto"/>
        </w:rPr>
      </w:pPr>
    </w:p>
    <w:p>
      <w:pPr>
        <w:jc w:val="both"/>
        <w:ind w:firstLine="405"/>
        <w:spacing w:after="0" w:line="230" w:lineRule="exact"/>
        <w:rPr>
          <w:sz w:val="20"/>
          <w:szCs w:val="20"/>
          <w:color w:val="auto"/>
        </w:rPr>
      </w:pPr>
      <w:r>
        <w:rPr>
          <w:rFonts w:ascii="Arial" w:cs="Arial" w:eastAsia="Arial" w:hAnsi="Arial"/>
          <w:sz w:val="18"/>
          <w:szCs w:val="18"/>
          <w:color w:val="auto"/>
        </w:rPr>
        <w:t>As of December 31, 2021,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Based on that evaluation, our CEO and our CFO have concluded that, as of December 31, 2021, our disclosure controls and procedures were effective at the reasonable assurance level.</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12"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2021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2021 based on those criteria. The effectiveness of our internal control over financial reporting as of December 31, 2021 has been audited by our independent registered public accounting firm, PricewaterhouseCoopers LLP, as stated in their report, which appears in Part II, Item 8 of this Annual Report on Form 10-K.</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jc w:val="both"/>
        <w:ind w:firstLine="405"/>
        <w:spacing w:after="0" w:line="319" w:lineRule="auto"/>
        <w:rPr>
          <w:sz w:val="20"/>
          <w:szCs w:val="20"/>
          <w:color w:val="auto"/>
        </w:rPr>
      </w:pPr>
      <w:r>
        <w:rPr>
          <w:rFonts w:ascii="Arial" w:cs="Arial" w:eastAsia="Arial" w:hAnsi="Arial"/>
          <w:sz w:val="16"/>
          <w:szCs w:val="16"/>
          <w:color w:val="auto"/>
        </w:rPr>
        <w:t>Information required by this item will be contained in our definitive proxy statement to be filed with the Securities and Exchange Commission on Schedule 14A in connection with our 2022 Annual Meeting of Stockholders, or the 2022 Proxy Statement, which will be filed not later than 120 days after the end of our fiscal year ended December 31, 2021, under the headings “Management,” “Proposal 1 - Election of Directors,” “Information Regarding the Board of Directors and Corporate Governance”, and, if applicable, “Delinquent Section 16(a) Reports”, and is incorporated herein by reference.</w:t>
      </w:r>
    </w:p>
    <w:p>
      <w:pPr>
        <w:spacing w:after="0" w:line="14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2022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2022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2022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incorporated by reference to the information set forth in the section titled “Principal Accountant Fees and Services” in our 2022 Proxy Statement.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right="6960" w:firstLine="8"/>
        <w:spacing w:after="0" w:line="516" w:lineRule="auto"/>
        <w:tabs>
          <w:tab w:leader="none" w:pos="2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Financial Statements</w:t>
      </w:r>
    </w:p>
    <w:p>
      <w:pPr>
        <w:ind w:right="3440" w:firstLine="405"/>
        <w:spacing w:after="0" w:line="338" w:lineRule="exact"/>
        <w:rPr>
          <w:rFonts w:ascii="Arial" w:cs="Arial" w:eastAsia="Arial" w:hAnsi="Arial"/>
          <w:sz w:val="18"/>
          <w:szCs w:val="18"/>
          <w:color w:val="auto"/>
        </w:rPr>
      </w:pPr>
      <w:r>
        <w:rPr>
          <w:rFonts w:ascii="Arial" w:cs="Arial" w:eastAsia="Arial" w:hAnsi="Arial"/>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 Financial Statement Schedules</w:t>
      </w:r>
    </w:p>
    <w:p>
      <w:pPr>
        <w:spacing w:after="0" w:line="216" w:lineRule="exact"/>
        <w:rPr>
          <w:rFonts w:ascii="Arial" w:cs="Arial" w:eastAsia="Arial" w:hAnsi="Arial"/>
          <w:sz w:val="18"/>
          <w:szCs w:val="18"/>
          <w:color w:val="auto"/>
        </w:rPr>
      </w:pPr>
    </w:p>
    <w:p>
      <w:pPr>
        <w:ind w:right="880" w:firstLine="405"/>
        <w:spacing w:after="0" w:line="508" w:lineRule="auto"/>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the required information is shown in the financial statements or notes thereto. 3. Exhibits</w:t>
      </w:r>
    </w:p>
    <w:p>
      <w:pPr>
        <w:spacing w:after="0" w:line="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exhibits, as required by Item 601 of Regulation S-K are attached or incorporated by reference as stated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Incorporation By Reference</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16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0"/>
                <w:szCs w:val="10"/>
                <w:color w:val="auto"/>
              </w:rPr>
            </w:pPr>
          </w:p>
        </w:tc>
        <w:tc>
          <w:tcPr>
            <w:tcW w:w="1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SEC File No.</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60" w:type="dxa"/>
            <w:vAlign w:val="bottom"/>
            <w:gridSpan w:val="1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40" w:type="dxa"/>
            <w:vAlign w:val="bottom"/>
            <w:tcBorders>
              <w:top w:val="single" w:sz="8" w:color="auto"/>
              <w:bottom w:val="single" w:sz="8" w:color="0000FF"/>
            </w:tcBorders>
            <w:gridSpan w:val="7"/>
          </w:tcPr>
          <w:p>
            <w:pPr>
              <w:spacing w:after="0" w:line="184"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Amended and Restated Certificate of Incorporation.</w:t>
              </w:r>
            </w:hyperlink>
          </w:p>
        </w:tc>
        <w:tc>
          <w:tcPr>
            <w:tcW w:w="1400" w:type="dxa"/>
            <w:vAlign w:val="bottom"/>
            <w:tcBorders>
              <w:top w:val="single" w:sz="8" w:color="auto"/>
            </w:tcBorders>
            <w:gridSpan w:val="3"/>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113"/>
              <w:spacing w:after="0" w:line="184"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bottom w:val="single" w:sz="8" w:color="0000FF"/>
            </w:tcBorders>
            <w:gridSpan w:val="2"/>
          </w:tcPr>
          <w:p>
            <w:pPr>
              <w:spacing w:after="0"/>
              <w:rPr>
                <w:rFonts w:ascii="Arial" w:cs="Arial" w:eastAsia="Arial" w:hAnsi="Arial"/>
                <w:sz w:val="18"/>
                <w:szCs w:val="18"/>
                <w:color w:val="0000FF"/>
                <w:w w:val="88"/>
              </w:rPr>
            </w:pPr>
            <w:hyperlink r:id="rId124">
              <w:r>
                <w:rPr>
                  <w:rFonts w:ascii="Arial" w:cs="Arial" w:eastAsia="Arial" w:hAnsi="Arial"/>
                  <w:sz w:val="18"/>
                  <w:szCs w:val="18"/>
                  <w:color w:val="0000FF"/>
                  <w:w w:val="88"/>
                </w:rPr>
                <w:t>Amended and Restated Bylaws.</w:t>
              </w:r>
            </w:hyperlink>
          </w:p>
        </w:tc>
        <w:tc>
          <w:tcPr>
            <w:tcW w:w="3060" w:type="dxa"/>
            <w:vAlign w:val="bottom"/>
            <w:gridSpan w:val="9"/>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bottom w:val="single" w:sz="8" w:color="0000FF"/>
            </w:tcBorders>
            <w:gridSpan w:val="8"/>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Form of Common Stock Certificate of the Company.</w:t>
              </w:r>
            </w:hyperlink>
          </w:p>
        </w:tc>
        <w:tc>
          <w:tcPr>
            <w:tcW w:w="1560" w:type="dxa"/>
            <w:vAlign w:val="bottom"/>
            <w:gridSpan w:val="3"/>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1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23">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24">
              <w:r>
                <w:rPr>
                  <w:rFonts w:ascii="Arial" w:cs="Arial" w:eastAsia="Arial" w:hAnsi="Arial"/>
                  <w:sz w:val="18"/>
                  <w:szCs w:val="18"/>
                  <w:color w:val="0000FF"/>
                </w:rPr>
                <w:t>3.2</w:t>
              </w:r>
            </w:hyperlink>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Borders>
              <w:bottom w:val="single" w:sz="8" w:color="0000FF"/>
            </w:tcBorders>
            <w:gridSpan w:val="6"/>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Description of SI-BONE, Inc. Common Stock</w:t>
              </w:r>
            </w:hyperlink>
          </w:p>
        </w:tc>
        <w:tc>
          <w:tcPr>
            <w:tcW w:w="2040" w:type="dxa"/>
            <w:vAlign w:val="bottom"/>
            <w:gridSpan w:val="5"/>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5/5/2020</w:t>
            </w:r>
          </w:p>
        </w:tc>
        <w:tc>
          <w:tcPr>
            <w:tcW w:w="0" w:type="dxa"/>
            <w:vAlign w:val="bottom"/>
          </w:tcPr>
          <w:p>
            <w:pPr>
              <w:spacing w:after="0"/>
              <w:rPr>
                <w:sz w:val="1"/>
                <w:szCs w:val="1"/>
                <w:color w:val="auto"/>
              </w:rPr>
            </w:pPr>
          </w:p>
        </w:tc>
      </w:tr>
      <w:tr>
        <w:trPr>
          <w:trHeight w:val="21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11"/>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Form of Indemnity Agreement between the Registrant and each of its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33"/>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9/20/2018</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directors and executive officers.</w:t>
              </w:r>
            </w:hyperlink>
          </w:p>
        </w:tc>
        <w:tc>
          <w:tcPr>
            <w:tcW w:w="2700" w:type="dxa"/>
            <w:vAlign w:val="bottom"/>
            <w:tcBorders>
              <w:top w:val="single" w:sz="8" w:color="0000FF"/>
            </w:tcBorders>
            <w:gridSpan w:val="7"/>
          </w:tcPr>
          <w:p>
            <w:pPr>
              <w:spacing w:after="0"/>
              <w:rPr>
                <w:sz w:val="13"/>
                <w:szCs w:val="13"/>
                <w:color w:val="auto"/>
              </w:rPr>
            </w:pPr>
          </w:p>
        </w:tc>
        <w:tc>
          <w:tcPr>
            <w:tcW w:w="3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-521970</wp:posOffset>
            </wp:positionV>
            <wp:extent cx="39433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94335" cy="12890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6" w:lineRule="exact"/>
        <w:rPr>
          <w:sz w:val="20"/>
          <w:szCs w:val="20"/>
          <w:color w:val="auto"/>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129">
        <w:r>
          <w:rPr>
            <w:rFonts w:ascii="Arial" w:cs="Arial" w:eastAsia="Arial" w:hAnsi="Arial"/>
            <w:sz w:val="16"/>
            <w:szCs w:val="16"/>
            <w:u w:val="single" w:color="auto"/>
            <w:color w:val="0000FF"/>
          </w:rPr>
          <w:t>2008 Stock Plan and forms of agreements thereunder.</w:t>
        </w:r>
      </w:hyperlink>
    </w:p>
    <w:p>
      <w:pPr>
        <w:spacing w:after="0" w:line="23" w:lineRule="exact"/>
        <w:rPr>
          <w:sz w:val="20"/>
          <w:szCs w:val="20"/>
          <w:color w:val="auto"/>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30">
        <w:r>
          <w:rPr>
            <w:rFonts w:ascii="Arial" w:cs="Arial" w:eastAsia="Arial" w:hAnsi="Arial"/>
            <w:sz w:val="16"/>
            <w:szCs w:val="16"/>
            <w:u w:val="single" w:color="auto"/>
            <w:color w:val="0000FF"/>
          </w:rPr>
          <w:t>2018 Equity Incentive Plan</w:t>
        </w:r>
      </w:hyperlink>
      <w:r>
        <w:rPr>
          <w:rFonts w:ascii="Arial" w:cs="Arial" w:eastAsia="Arial" w:hAnsi="Arial"/>
          <w:sz w:val="16"/>
          <w:szCs w:val="16"/>
          <w:color w:val="0000FF"/>
        </w:rPr>
        <w:t>.</w:t>
      </w:r>
    </w:p>
    <w:p>
      <w:pPr>
        <w:spacing w:after="0" w:line="23" w:lineRule="exact"/>
        <w:rPr>
          <w:sz w:val="20"/>
          <w:szCs w:val="20"/>
          <w:color w:val="auto"/>
        </w:rPr>
      </w:pPr>
    </w:p>
    <w:p>
      <w:pPr>
        <w:ind w:left="1300" w:hanging="1001"/>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31">
        <w:r>
          <w:rPr>
            <w:rFonts w:ascii="Arial" w:cs="Arial" w:eastAsia="Arial" w:hAnsi="Arial"/>
            <w:sz w:val="18"/>
            <w:szCs w:val="18"/>
            <w:u w:val="single" w:color="auto"/>
            <w:color w:val="0000FF"/>
          </w:rPr>
          <w:t>Forms of Stock Option Grant Notice, Option Agreement and Notice of</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Exercise under the 2018 Equity Incentive Plan.</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10.3</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bl>
    <w:p>
      <w:pPr>
        <w:spacing w:after="0" w:line="175" w:lineRule="exact"/>
        <w:rPr>
          <w:sz w:val="20"/>
          <w:szCs w:val="20"/>
          <w:color w:val="auto"/>
        </w:rPr>
      </w:pPr>
    </w:p>
    <w:p>
      <w:pPr>
        <w:sectPr>
          <w:pgSz w:w="11900" w:h="16838" w:orient="portrait"/>
          <w:cols w:equalWidth="0" w:num="2">
            <w:col w:w="6380" w:space="380"/>
            <w:col w:w="4480"/>
          </w:cols>
          <w:pgMar w:left="320" w:top="769" w:right="339" w:bottom="1440" w:gutter="0" w:footer="0" w:header="0"/>
          <w:type w:val="continuous"/>
        </w:sectPr>
      </w:pPr>
    </w:p>
    <w:tbl>
      <w:tblPr>
        <w:tblLayout w:type="fixed"/>
        <w:tblInd w:w="300" w:type="dxa"/>
        <w:tblCellMar>
          <w:top w:w="0" w:type="dxa"/>
          <w:left w:w="0" w:type="dxa"/>
          <w:bottom w:w="0" w:type="dxa"/>
          <w:right w:w="0" w:type="dxa"/>
        </w:tblCellMar>
      </w:tblPr>
      <w:tr>
        <w:trPr>
          <w:trHeight w:val="190"/>
        </w:trPr>
        <w:tc>
          <w:tcPr>
            <w:tcW w:w="1000" w:type="dxa"/>
            <w:vAlign w:val="bottom"/>
          </w:tcPr>
          <w:p>
            <w:pPr>
              <w:jc w:val="right"/>
              <w:ind w:right="510"/>
              <w:spacing w:after="0" w:line="190" w:lineRule="exact"/>
              <w:rPr>
                <w:sz w:val="20"/>
                <w:szCs w:val="20"/>
                <w:color w:val="auto"/>
              </w:rPr>
            </w:pPr>
            <w:r>
              <w:rPr>
                <w:rFonts w:ascii="Arial" w:cs="Arial" w:eastAsia="Arial" w:hAnsi="Arial"/>
                <w:sz w:val="18"/>
                <w:szCs w:val="18"/>
                <w:color w:val="auto"/>
                <w:w w:val="83"/>
              </w:rPr>
              <w:t>10.5+</w:t>
            </w:r>
          </w:p>
        </w:tc>
        <w:tc>
          <w:tcPr>
            <w:tcW w:w="5300" w:type="dxa"/>
            <w:vAlign w:val="bottom"/>
            <w:gridSpan w:val="7"/>
          </w:tcPr>
          <w:p>
            <w:pPr>
              <w:spacing w:after="0" w:line="190"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Forms of Restricted Stock Unit Grant Notice and Restricted Stock Unit</w:t>
              </w:r>
            </w:hyperlink>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97"/>
              </w:rPr>
              <w:t>S-1/A</w:t>
            </w:r>
          </w:p>
        </w:tc>
        <w:tc>
          <w:tcPr>
            <w:tcW w:w="148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10.5</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10/5/2018</w:t>
            </w:r>
          </w:p>
        </w:tc>
      </w:tr>
      <w:tr>
        <w:trPr>
          <w:trHeight w:val="155"/>
        </w:trPr>
        <w:tc>
          <w:tcPr>
            <w:tcW w:w="1000" w:type="dxa"/>
            <w:vAlign w:val="bottom"/>
          </w:tcPr>
          <w:p>
            <w:pPr>
              <w:spacing w:after="0"/>
              <w:rPr>
                <w:sz w:val="13"/>
                <w:szCs w:val="13"/>
                <w:color w:val="auto"/>
              </w:rPr>
            </w:pPr>
          </w:p>
        </w:tc>
        <w:tc>
          <w:tcPr>
            <w:tcW w:w="51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Award Agreement under the 2018 Equity Incentive Plan.</w:t>
              </w:r>
            </w:hyperlink>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3"/>
              </w:rPr>
              <w:t>10.6+</w:t>
            </w:r>
          </w:p>
        </w:tc>
        <w:tc>
          <w:tcPr>
            <w:tcW w:w="4080" w:type="dxa"/>
            <w:vAlign w:val="bottom"/>
            <w:tcBorders>
              <w:top w:val="single" w:sz="8" w:color="0000FF"/>
            </w:tcBorders>
            <w:gridSpan w:val="3"/>
          </w:tcPr>
          <w:p>
            <w:pPr>
              <w:spacing w:after="0"/>
              <w:rPr>
                <w:rFonts w:ascii="Arial" w:cs="Arial" w:eastAsia="Arial" w:hAnsi="Arial"/>
                <w:sz w:val="18"/>
                <w:szCs w:val="18"/>
                <w:color w:val="0000FF"/>
              </w:rPr>
            </w:pPr>
            <w:hyperlink r:id="rId133">
              <w:r>
                <w:rPr>
                  <w:rFonts w:ascii="Arial" w:cs="Arial" w:eastAsia="Arial" w:hAnsi="Arial"/>
                  <w:sz w:val="18"/>
                  <w:szCs w:val="18"/>
                  <w:color w:val="0000FF"/>
                </w:rPr>
                <w:t>2018 Employee Stock Purchase Plan.</w:t>
              </w:r>
            </w:hyperlink>
          </w:p>
        </w:tc>
        <w:tc>
          <w:tcPr>
            <w:tcW w:w="1220" w:type="dxa"/>
            <w:vAlign w:val="bottom"/>
            <w:gridSpan w:val="4"/>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0"/>
        </w:trPr>
        <w:tc>
          <w:tcPr>
            <w:tcW w:w="10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10.7#</w:t>
            </w:r>
          </w:p>
        </w:tc>
        <w:tc>
          <w:tcPr>
            <w:tcW w:w="4760" w:type="dxa"/>
            <w:vAlign w:val="bottom"/>
            <w:tcBorders>
              <w:bottom w:val="single" w:sz="8" w:color="0000FF"/>
            </w:tcBorders>
            <w:gridSpan w:val="4"/>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Manufacturing, Quality and Supply Agreement, dated January 31,</w:t>
              </w:r>
            </w:hyperlink>
          </w:p>
        </w:tc>
        <w:tc>
          <w:tcPr>
            <w:tcW w:w="540" w:type="dxa"/>
            <w:vAlign w:val="bottom"/>
            <w:gridSpan w:val="3"/>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55"/>
        </w:trPr>
        <w:tc>
          <w:tcPr>
            <w:tcW w:w="1000" w:type="dxa"/>
            <w:vAlign w:val="bottom"/>
          </w:tcPr>
          <w:p>
            <w:pPr>
              <w:spacing w:after="0"/>
              <w:rPr>
                <w:sz w:val="13"/>
                <w:szCs w:val="13"/>
                <w:color w:val="auto"/>
              </w:rPr>
            </w:pPr>
          </w:p>
        </w:tc>
        <w:tc>
          <w:tcPr>
            <w:tcW w:w="5300" w:type="dxa"/>
            <w:vAlign w:val="bottom"/>
            <w:gridSpan w:val="7"/>
          </w:tcPr>
          <w:p>
            <w:pPr>
              <w:spacing w:after="0" w:line="156"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2017, between the Registrant and rms Company and Addendum No. 1</w:t>
              </w:r>
            </w:hyperlink>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dated July 7, 2017.</w:t>
              </w:r>
            </w:hyperlink>
          </w:p>
        </w:tc>
        <w:tc>
          <w:tcPr>
            <w:tcW w:w="370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26"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ind w:left="1300" w:right="440" w:hanging="100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35">
        <w:r>
          <w:rPr>
            <w:rFonts w:ascii="Arial" w:cs="Arial" w:eastAsia="Arial" w:hAnsi="Arial"/>
            <w:sz w:val="18"/>
            <w:szCs w:val="18"/>
            <w:u w:val="single" w:color="auto"/>
            <w:color w:val="0000FF"/>
          </w:rPr>
          <w:t>Offer Letter Agreement, dated December 15, 2009, between the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Registrant and Jeffrey W. Dunn.</w:t>
        </w:r>
      </w:hyperlink>
    </w:p>
    <w:p>
      <w:pPr>
        <w:ind w:left="1300" w:right="540" w:hanging="1001"/>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36">
        <w:r>
          <w:rPr>
            <w:rFonts w:ascii="Arial" w:cs="Arial" w:eastAsia="Arial" w:hAnsi="Arial"/>
            <w:sz w:val="18"/>
            <w:szCs w:val="18"/>
            <w:u w:val="single" w:color="auto"/>
            <w:color w:val="0000FF"/>
          </w:rPr>
          <w:t>Offer Letter Agreement, dated February 19, 2015, between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Registrant and Michael A. Pisetsky</w:t>
        </w:r>
      </w:hyperlink>
    </w:p>
    <w:p>
      <w:pPr>
        <w:spacing w:after="0" w:line="1" w:lineRule="exact"/>
        <w:rPr>
          <w:sz w:val="20"/>
          <w:szCs w:val="20"/>
          <w:color w:val="auto"/>
        </w:rPr>
      </w:pPr>
    </w:p>
    <w:p>
      <w:pPr>
        <w:ind w:left="1300" w:hanging="1046"/>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37">
        <w:r>
          <w:rPr>
            <w:rFonts w:ascii="Arial" w:cs="Arial" w:eastAsia="Arial" w:hAnsi="Arial"/>
            <w:sz w:val="18"/>
            <w:szCs w:val="18"/>
            <w:u w:val="single" w:color="auto"/>
            <w:color w:val="0000FF"/>
          </w:rPr>
          <w:t>Letter Regarding Change to Employment Terms, dated June 20, 2016,</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between the Registrant and Michael A. Pisetsky.</w:t>
        </w:r>
      </w:hyperlink>
    </w:p>
    <w:p>
      <w:pPr>
        <w:spacing w:after="0" w:line="1" w:lineRule="exact"/>
        <w:rPr>
          <w:sz w:val="20"/>
          <w:szCs w:val="20"/>
          <w:color w:val="auto"/>
        </w:rPr>
      </w:pPr>
    </w:p>
    <w:p>
      <w:pPr>
        <w:ind w:left="1300" w:right="80" w:hanging="1043"/>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38">
        <w:r>
          <w:rPr>
            <w:rFonts w:ascii="Arial" w:cs="Arial" w:eastAsia="Arial" w:hAnsi="Arial"/>
            <w:sz w:val="18"/>
            <w:szCs w:val="18"/>
            <w:u w:val="single" w:color="auto"/>
            <w:color w:val="0000FF"/>
          </w:rPr>
          <w:t>Offer Letter Agreement, dated June 19, 2016, between the Registrant</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and Anthony J. Recupero.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bl>
    <w:p>
      <w:pPr>
        <w:spacing w:after="0" w:line="175" w:lineRule="exact"/>
        <w:rPr>
          <w:sz w:val="20"/>
          <w:szCs w:val="20"/>
          <w:color w:val="auto"/>
        </w:rPr>
      </w:pPr>
    </w:p>
    <w:p>
      <w:pPr>
        <w:sectPr>
          <w:pgSz w:w="11900" w:h="16838" w:orient="portrait"/>
          <w:cols w:equalWidth="0" w:num="2">
            <w:col w:w="6340" w:space="520"/>
            <w:col w:w="4380"/>
          </w:cols>
          <w:pgMar w:left="320" w:top="769" w:right="339" w:bottom="1440" w:gutter="0" w:footer="0" w:header="0"/>
          <w:type w:val="continuous"/>
        </w:sectPr>
      </w:pPr>
    </w:p>
    <w:p>
      <w:pPr>
        <w:ind w:left="340"/>
        <w:spacing w:after="0"/>
        <w:tabs>
          <w:tab w:leader="none" w:pos="1280" w:val="left"/>
          <w:tab w:leader="none" w:pos="6740" w:val="left"/>
          <w:tab w:leader="none" w:pos="7660" w:val="left"/>
          <w:tab w:leader="none" w:pos="9200" w:val="left"/>
          <w:tab w:leader="none" w:pos="102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39">
        <w:r>
          <w:rPr>
            <w:rFonts w:ascii="Arial" w:cs="Arial" w:eastAsia="Arial" w:hAnsi="Arial"/>
            <w:sz w:val="18"/>
            <w:szCs w:val="18"/>
            <w:u w:val="single" w:color="auto"/>
            <w:color w:val="0000FF"/>
          </w:rPr>
          <w:t>Amended and Restated Investors’ Rights Agreement, dated June 2,</w:t>
        </w:r>
      </w:hyperlink>
      <w:r>
        <w:rPr>
          <w:rFonts w:ascii="Arial" w:cs="Arial" w:eastAsia="Arial" w:hAnsi="Arial"/>
          <w:sz w:val="18"/>
          <w:szCs w:val="18"/>
          <w:u w:val="single" w:color="auto"/>
          <w:color w:val="0000FF"/>
        </w:rPr>
        <w:tab/>
        <w:t>S-1/A</w:t>
        <w:tab/>
        <w:t>333-227445</w:t>
        <w:tab/>
        <w:t>10.21</w:t>
        <w:tab/>
      </w:r>
      <w:r>
        <w:rPr>
          <w:rFonts w:ascii="Arial" w:cs="Arial" w:eastAsia="Arial" w:hAnsi="Arial"/>
          <w:sz w:val="16"/>
          <w:szCs w:val="16"/>
          <w:u w:val="single" w:color="auto"/>
          <w:color w:val="0000FF"/>
        </w:rPr>
        <w:t>10/5/2018</w:t>
      </w:r>
    </w:p>
    <w:p>
      <w:pPr>
        <w:ind w:left="1300"/>
        <w:spacing w:after="0" w:line="204"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2016, by and among the Registrant and the parties thereto, as amended</w:t>
        </w:r>
      </w:hyperlink>
    </w:p>
    <w:p>
      <w:pPr>
        <w:ind w:left="130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on October 4, 2018.</w:t>
        </w:r>
      </w:hyperlink>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10.13</w:t>
            </w:r>
          </w:p>
        </w:tc>
        <w:tc>
          <w:tcPr>
            <w:tcW w:w="5160" w:type="dxa"/>
            <w:vAlign w:val="bottom"/>
            <w:gridSpan w:val="38"/>
          </w:tcPr>
          <w:p>
            <w:pPr>
              <w:spacing w:after="0"/>
              <w:rPr>
                <w:rFonts w:ascii="Arial" w:cs="Arial" w:eastAsia="Arial" w:hAnsi="Arial"/>
                <w:sz w:val="18"/>
                <w:szCs w:val="18"/>
                <w:color w:val="0000FF"/>
                <w:w w:val="96"/>
              </w:rPr>
            </w:pPr>
            <w:hyperlink r:id="rId141">
              <w:r>
                <w:rPr>
                  <w:rFonts w:ascii="Arial" w:cs="Arial" w:eastAsia="Arial" w:hAnsi="Arial"/>
                  <w:sz w:val="18"/>
                  <w:szCs w:val="18"/>
                  <w:color w:val="0000FF"/>
                  <w:w w:val="96"/>
                </w:rPr>
                <w:t>Addendum No. 2 to Manufacturing, Quality and Supply Agreement,</w:t>
              </w:r>
            </w:hyperlink>
          </w:p>
        </w:tc>
      </w:tr>
      <w:tr>
        <w:trPr>
          <w:trHeight w:val="155"/>
        </w:trPr>
        <w:tc>
          <w:tcPr>
            <w:tcW w:w="114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dated July 1, 2020, between the Registrant and rsm Company.</w:t>
              </w:r>
            </w:hyperlink>
          </w:p>
        </w:tc>
        <w:tc>
          <w:tcPr>
            <w:tcW w:w="4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7"/>
              </w:rPr>
              <w:t>10.14#</w:t>
            </w:r>
          </w:p>
        </w:tc>
        <w:tc>
          <w:tcPr>
            <w:tcW w:w="5160" w:type="dxa"/>
            <w:vAlign w:val="bottom"/>
            <w:gridSpan w:val="38"/>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Amended and Restated Manufacturing, Quality and Supply</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5160" w:type="dxa"/>
            <w:vAlign w:val="bottom"/>
            <w:gridSpan w:val="38"/>
          </w:tcPr>
          <w:p>
            <w:pPr>
              <w:spacing w:after="0" w:line="156" w:lineRule="exact"/>
              <w:rPr>
                <w:rFonts w:ascii="Arial" w:cs="Arial" w:eastAsia="Arial" w:hAnsi="Arial"/>
                <w:sz w:val="18"/>
                <w:szCs w:val="18"/>
                <w:color w:val="0000FF"/>
                <w:w w:val="97"/>
              </w:rPr>
            </w:pPr>
            <w:hyperlink r:id="rId142">
              <w:r>
                <w:rPr>
                  <w:rFonts w:ascii="Arial" w:cs="Arial" w:eastAsia="Arial" w:hAnsi="Arial"/>
                  <w:sz w:val="18"/>
                  <w:szCs w:val="18"/>
                  <w:color w:val="0000FF"/>
                  <w:w w:val="97"/>
                </w:rPr>
                <w:t>Agreement, dated June 11, 2021, between the Registrant and rms</w:t>
              </w:r>
            </w:hyperlink>
          </w:p>
        </w:tc>
      </w:tr>
      <w:tr>
        <w:trPr>
          <w:trHeight w:val="156"/>
        </w:trPr>
        <w:tc>
          <w:tcPr>
            <w:tcW w:w="11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42">
              <w:r>
                <w:rPr>
                  <w:rFonts w:ascii="Arial" w:cs="Arial" w:eastAsia="Arial" w:hAnsi="Arial"/>
                  <w:sz w:val="18"/>
                  <w:szCs w:val="18"/>
                  <w:color w:val="0000FF"/>
                  <w:w w:val="88"/>
                </w:rPr>
                <w:t>Company</w:t>
              </w:r>
            </w:hyperlink>
          </w:p>
        </w:tc>
        <w:tc>
          <w:tcPr>
            <w:tcW w:w="39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10.14</w:t>
            </w:r>
          </w:p>
        </w:tc>
        <w:tc>
          <w:tcPr>
            <w:tcW w:w="4480" w:type="dxa"/>
            <w:vAlign w:val="bottom"/>
            <w:tcBorders>
              <w:bottom w:val="single" w:sz="8" w:color="0000FF"/>
            </w:tcBorders>
            <w:gridSpan w:val="19"/>
          </w:tcPr>
          <w:p>
            <w:pPr>
              <w:spacing w:after="0"/>
              <w:rPr>
                <w:rFonts w:ascii="Arial" w:cs="Arial" w:eastAsia="Arial" w:hAnsi="Arial"/>
                <w:sz w:val="18"/>
                <w:szCs w:val="18"/>
                <w:color w:val="0000FF"/>
                <w:w w:val="89"/>
              </w:rPr>
            </w:pPr>
            <w:hyperlink r:id="rId143">
              <w:r>
                <w:rPr>
                  <w:rFonts w:ascii="Arial" w:cs="Arial" w:eastAsia="Arial" w:hAnsi="Arial"/>
                  <w:sz w:val="18"/>
                  <w:szCs w:val="18"/>
                  <w:color w:val="0000FF"/>
                  <w:w w:val="89"/>
                </w:rPr>
                <w:t>Office Lease Agreement, dated February 2, 2018, between the</w:t>
              </w:r>
            </w:hyperlink>
          </w:p>
        </w:tc>
        <w:tc>
          <w:tcPr>
            <w:tcW w:w="680" w:type="dxa"/>
            <w:vAlign w:val="bottom"/>
            <w:gridSpan w:val="19"/>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5160" w:type="dxa"/>
            <w:vAlign w:val="bottom"/>
            <w:gridSpan w:val="38"/>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Registrant and Bixby SPE Finance 11, LLC, as amended on April 16,</w:t>
              </w:r>
            </w:hyperlink>
          </w:p>
        </w:tc>
      </w:tr>
      <w:tr>
        <w:trPr>
          <w:trHeight w:val="156"/>
        </w:trPr>
        <w:tc>
          <w:tcPr>
            <w:tcW w:w="11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3">
              <w:r>
                <w:rPr>
                  <w:rFonts w:ascii="Arial" w:cs="Arial" w:eastAsia="Arial" w:hAnsi="Arial"/>
                  <w:sz w:val="18"/>
                  <w:szCs w:val="18"/>
                  <w:color w:val="0000FF"/>
                  <w:w w:val="84"/>
                </w:rPr>
                <w:t>2018.</w:t>
              </w:r>
            </w:hyperlink>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10.15+</w:t>
            </w:r>
          </w:p>
        </w:tc>
        <w:tc>
          <w:tcPr>
            <w:tcW w:w="4880" w:type="dxa"/>
            <w:vAlign w:val="bottom"/>
            <w:tcBorders>
              <w:bottom w:val="single" w:sz="8" w:color="0000FF"/>
            </w:tcBorders>
            <w:gridSpan w:val="27"/>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Form of Restricted Stock Unit Grant Notice and Award Agreement.</w:t>
              </w:r>
            </w:hyperlink>
          </w:p>
        </w:tc>
        <w:tc>
          <w:tcPr>
            <w:tcW w:w="280" w:type="dxa"/>
            <w:vAlign w:val="bottom"/>
            <w:gridSpan w:val="11"/>
          </w:tcPr>
          <w:p>
            <w:pPr>
              <w:spacing w:after="0"/>
              <w:rPr>
                <w:sz w:val="18"/>
                <w:szCs w:val="18"/>
                <w:color w:val="auto"/>
              </w:rPr>
            </w:pPr>
          </w:p>
        </w:tc>
      </w:tr>
      <w:tr>
        <w:trPr>
          <w:trHeight w:val="21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10.16+</w:t>
            </w:r>
          </w:p>
        </w:tc>
        <w:tc>
          <w:tcPr>
            <w:tcW w:w="5160" w:type="dxa"/>
            <w:vAlign w:val="bottom"/>
            <w:gridSpan w:val="38"/>
          </w:tcPr>
          <w:p>
            <w:pPr>
              <w:spacing w:after="0"/>
              <w:rPr>
                <w:rFonts w:ascii="Arial" w:cs="Arial" w:eastAsia="Arial" w:hAnsi="Arial"/>
                <w:sz w:val="18"/>
                <w:szCs w:val="18"/>
                <w:color w:val="0000FF"/>
              </w:rPr>
            </w:pPr>
            <w:hyperlink r:id="rId145">
              <w:r>
                <w:rPr>
                  <w:rFonts w:ascii="Arial" w:cs="Arial" w:eastAsia="Arial" w:hAnsi="Arial"/>
                  <w:sz w:val="18"/>
                  <w:szCs w:val="18"/>
                  <w:color w:val="0000FF"/>
                </w:rPr>
                <w:t>Amendment to Restricted Stock Units of Laura Francis</w:t>
              </w:r>
            </w:hyperlink>
          </w:p>
        </w:tc>
      </w:tr>
      <w:tr>
        <w:trPr>
          <w:trHeight w:val="209"/>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10.17+</w:t>
            </w:r>
          </w:p>
        </w:tc>
        <w:tc>
          <w:tcPr>
            <w:tcW w:w="3960" w:type="dxa"/>
            <w:vAlign w:val="bottom"/>
            <w:tcBorders>
              <w:top w:val="single" w:sz="8" w:color="0000FF"/>
            </w:tcBorders>
            <w:gridSpan w:val="16"/>
          </w:tcPr>
          <w:p>
            <w:pPr>
              <w:spacing w:after="0"/>
              <w:rPr>
                <w:rFonts w:ascii="Arial" w:cs="Arial" w:eastAsia="Arial" w:hAnsi="Arial"/>
                <w:sz w:val="18"/>
                <w:szCs w:val="18"/>
                <w:color w:val="0000FF"/>
              </w:rPr>
            </w:pPr>
            <w:hyperlink r:id="rId146">
              <w:r>
                <w:rPr>
                  <w:rFonts w:ascii="Arial" w:cs="Arial" w:eastAsia="Arial" w:hAnsi="Arial"/>
                  <w:sz w:val="18"/>
                  <w:szCs w:val="18"/>
                  <w:color w:val="0000FF"/>
                </w:rPr>
                <w:t>Amendment to Offer Letter with Jeffrey Dunn</w:t>
              </w:r>
            </w:hyperlink>
          </w:p>
        </w:tc>
        <w:tc>
          <w:tcPr>
            <w:tcW w:w="1200" w:type="dxa"/>
            <w:vAlign w:val="bottom"/>
            <w:gridSpan w:val="2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10.18+</w:t>
            </w:r>
          </w:p>
        </w:tc>
        <w:tc>
          <w:tcPr>
            <w:tcW w:w="3840" w:type="dxa"/>
            <w:vAlign w:val="bottom"/>
            <w:tcBorders>
              <w:bottom w:val="single" w:sz="8" w:color="0000FF"/>
            </w:tcBorders>
            <w:gridSpan w:val="15"/>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2020 Non-Employee Directors' Compensation Policy</w:t>
              </w:r>
            </w:hyperlink>
          </w:p>
        </w:tc>
        <w:tc>
          <w:tcPr>
            <w:tcW w:w="1320" w:type="dxa"/>
            <w:vAlign w:val="bottom"/>
            <w:gridSpan w:val="23"/>
          </w:tcPr>
          <w:p>
            <w:pPr>
              <w:spacing w:after="0"/>
              <w:rPr>
                <w:sz w:val="18"/>
                <w:szCs w:val="18"/>
                <w:color w:val="auto"/>
              </w:rPr>
            </w:pPr>
          </w:p>
        </w:tc>
      </w:tr>
      <w:tr>
        <w:trPr>
          <w:trHeight w:val="209"/>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88"/>
              </w:rPr>
              <w:t>10.19</w:t>
            </w:r>
          </w:p>
        </w:tc>
        <w:tc>
          <w:tcPr>
            <w:tcW w:w="5160" w:type="dxa"/>
            <w:vAlign w:val="bottom"/>
            <w:gridSpan w:val="38"/>
          </w:tcPr>
          <w:p>
            <w:pPr>
              <w:spacing w:after="0"/>
              <w:rPr>
                <w:rFonts w:ascii="Arial" w:cs="Arial" w:eastAsia="Arial" w:hAnsi="Arial"/>
                <w:sz w:val="18"/>
                <w:szCs w:val="18"/>
                <w:color w:val="0000FF"/>
              </w:rPr>
            </w:pPr>
            <w:hyperlink r:id="rId148">
              <w:r>
                <w:rPr>
                  <w:rFonts w:ascii="Arial" w:cs="Arial" w:eastAsia="Arial" w:hAnsi="Arial"/>
                  <w:sz w:val="18"/>
                  <w:szCs w:val="18"/>
                  <w:color w:val="0000FF"/>
                </w:rPr>
                <w:t>Loan and Security Agreement, dated May 29, 2020, between SI-</w:t>
              </w:r>
            </w:hyperlink>
          </w:p>
        </w:tc>
      </w:tr>
      <w:tr>
        <w:trPr>
          <w:trHeight w:val="156"/>
        </w:trPr>
        <w:tc>
          <w:tcPr>
            <w:tcW w:w="1140" w:type="dxa"/>
            <w:vAlign w:val="bottom"/>
          </w:tcPr>
          <w:p>
            <w:pPr>
              <w:spacing w:after="0"/>
              <w:rPr>
                <w:sz w:val="13"/>
                <w:szCs w:val="13"/>
                <w:color w:val="auto"/>
              </w:rPr>
            </w:pPr>
          </w:p>
        </w:tc>
        <w:tc>
          <w:tcPr>
            <w:tcW w:w="464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BONE, Inc. and Solar Capital Ltd., as collateral agent, and the</w:t>
              </w:r>
            </w:hyperlink>
          </w:p>
        </w:tc>
        <w:tc>
          <w:tcPr>
            <w:tcW w:w="520" w:type="dxa"/>
            <w:vAlign w:val="bottom"/>
            <w:gridSpan w:val="18"/>
          </w:tcPr>
          <w:p>
            <w:pPr>
              <w:spacing w:after="0" w:line="156" w:lineRule="exact"/>
              <w:rPr>
                <w:rFonts w:ascii="Arial" w:cs="Arial" w:eastAsia="Arial" w:hAnsi="Arial"/>
                <w:sz w:val="18"/>
                <w:szCs w:val="18"/>
                <w:color w:val="0000FF"/>
                <w:w w:val="84"/>
              </w:rPr>
            </w:pPr>
            <w:hyperlink r:id="rId148">
              <w:r>
                <w:rPr>
                  <w:rFonts w:ascii="Arial" w:cs="Arial" w:eastAsia="Arial" w:hAnsi="Arial"/>
                  <w:sz w:val="18"/>
                  <w:szCs w:val="18"/>
                  <w:color w:val="0000FF"/>
                  <w:w w:val="84"/>
                </w:rPr>
                <w:t>lenders</w:t>
              </w:r>
            </w:hyperlink>
          </w:p>
        </w:tc>
      </w:tr>
      <w:tr>
        <w:trPr>
          <w:trHeight w:val="155"/>
        </w:trPr>
        <w:tc>
          <w:tcPr>
            <w:tcW w:w="1140" w:type="dxa"/>
            <w:vAlign w:val="bottom"/>
          </w:tcPr>
          <w:p>
            <w:pPr>
              <w:spacing w:after="0"/>
              <w:rPr>
                <w:sz w:val="13"/>
                <w:szCs w:val="13"/>
                <w:color w:val="auto"/>
              </w:rPr>
            </w:pPr>
          </w:p>
        </w:tc>
        <w:tc>
          <w:tcPr>
            <w:tcW w:w="50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10.20+</w:t>
            </w:r>
          </w:p>
        </w:tc>
        <w:tc>
          <w:tcPr>
            <w:tcW w:w="5160" w:type="dxa"/>
            <w:vAlign w:val="bottom"/>
            <w:gridSpan w:val="38"/>
          </w:tcPr>
          <w:p>
            <w:pPr>
              <w:spacing w:after="0"/>
              <w:rPr>
                <w:rFonts w:ascii="Arial" w:cs="Arial" w:eastAsia="Arial" w:hAnsi="Arial"/>
                <w:sz w:val="18"/>
                <w:szCs w:val="18"/>
                <w:color w:val="0000FF"/>
              </w:rPr>
            </w:pPr>
            <w:hyperlink r:id="rId149">
              <w:r>
                <w:rPr>
                  <w:rFonts w:ascii="Arial" w:cs="Arial" w:eastAsia="Arial" w:hAnsi="Arial"/>
                  <w:sz w:val="18"/>
                  <w:szCs w:val="18"/>
                  <w:color w:val="0000FF"/>
                </w:rPr>
                <w:t>SI-BONE, Inc. Severance Benefit Plan and Form of Participation</w:t>
              </w:r>
            </w:hyperlink>
          </w:p>
        </w:tc>
      </w:tr>
      <w:tr>
        <w:trPr>
          <w:trHeight w:val="155"/>
        </w:trPr>
        <w:tc>
          <w:tcPr>
            <w:tcW w:w="1140" w:type="dxa"/>
            <w:vAlign w:val="bottom"/>
          </w:tcPr>
          <w:p>
            <w:pPr>
              <w:spacing w:after="0"/>
              <w:rPr>
                <w:sz w:val="13"/>
                <w:szCs w:val="13"/>
                <w:color w:val="auto"/>
              </w:rPr>
            </w:pPr>
          </w:p>
        </w:tc>
        <w:tc>
          <w:tcPr>
            <w:tcW w:w="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Agreement</w:t>
              </w:r>
            </w:hyperlink>
          </w:p>
        </w:tc>
        <w:tc>
          <w:tcPr>
            <w:tcW w:w="39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10.21+</w:t>
            </w:r>
          </w:p>
        </w:tc>
        <w:tc>
          <w:tcPr>
            <w:tcW w:w="5160" w:type="dxa"/>
            <w:vAlign w:val="bottom"/>
            <w:gridSpan w:val="38"/>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Offer Letter Agreement, dated April 19, 2021, between the Registrant</w:t>
              </w:r>
            </w:hyperlink>
          </w:p>
        </w:tc>
      </w:tr>
      <w:tr>
        <w:trPr>
          <w:trHeight w:val="155"/>
        </w:trPr>
        <w:tc>
          <w:tcPr>
            <w:tcW w:w="1140" w:type="dxa"/>
            <w:vAlign w:val="bottom"/>
          </w:tcPr>
          <w:p>
            <w:pPr>
              <w:spacing w:after="0"/>
              <w:rPr>
                <w:sz w:val="13"/>
                <w:szCs w:val="13"/>
                <w:color w:val="auto"/>
              </w:rPr>
            </w:pPr>
          </w:p>
        </w:tc>
        <w:tc>
          <w:tcPr>
            <w:tcW w:w="50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and Helen Loh</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10.22+</w:t>
            </w:r>
          </w:p>
        </w:tc>
        <w:tc>
          <w:tcPr>
            <w:tcW w:w="5160" w:type="dxa"/>
            <w:vAlign w:val="bottom"/>
            <w:gridSpan w:val="38"/>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Offer Letter Agreement, dated March 4, 2021, between the Registrant</w:t>
              </w:r>
            </w:hyperlink>
          </w:p>
        </w:tc>
      </w:tr>
      <w:tr>
        <w:trPr>
          <w:trHeight w:val="155"/>
        </w:trPr>
        <w:tc>
          <w:tcPr>
            <w:tcW w:w="1140" w:type="dxa"/>
            <w:vAlign w:val="bottom"/>
          </w:tcPr>
          <w:p>
            <w:pPr>
              <w:spacing w:after="0"/>
              <w:rPr>
                <w:sz w:val="13"/>
                <w:szCs w:val="13"/>
                <w:color w:val="auto"/>
              </w:rPr>
            </w:pPr>
          </w:p>
        </w:tc>
        <w:tc>
          <w:tcPr>
            <w:tcW w:w="50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and Mika Nishimura</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10.23</w:t>
            </w:r>
          </w:p>
        </w:tc>
        <w:tc>
          <w:tcPr>
            <w:tcW w:w="4480" w:type="dxa"/>
            <w:vAlign w:val="bottom"/>
            <w:tcBorders>
              <w:bottom w:val="single" w:sz="8" w:color="0000FF"/>
            </w:tcBorders>
            <w:gridSpan w:val="19"/>
          </w:tcPr>
          <w:p>
            <w:pPr>
              <w:spacing w:after="0"/>
              <w:rPr>
                <w:rFonts w:ascii="Arial" w:cs="Arial" w:eastAsia="Arial" w:hAnsi="Arial"/>
                <w:sz w:val="18"/>
                <w:szCs w:val="18"/>
                <w:color w:val="0000FF"/>
                <w:w w:val="89"/>
              </w:rPr>
            </w:pPr>
            <w:hyperlink r:id="rId143">
              <w:r>
                <w:rPr>
                  <w:rFonts w:ascii="Arial" w:cs="Arial" w:eastAsia="Arial" w:hAnsi="Arial"/>
                  <w:sz w:val="18"/>
                  <w:szCs w:val="18"/>
                  <w:color w:val="0000FF"/>
                  <w:w w:val="89"/>
                </w:rPr>
                <w:t>Office Lease Agreement, dated February 2, 2018, between the</w:t>
              </w:r>
            </w:hyperlink>
          </w:p>
        </w:tc>
        <w:tc>
          <w:tcPr>
            <w:tcW w:w="680" w:type="dxa"/>
            <w:vAlign w:val="bottom"/>
            <w:gridSpan w:val="19"/>
          </w:tcPr>
          <w:p>
            <w:pPr>
              <w:spacing w:after="0"/>
              <w:rPr>
                <w:sz w:val="18"/>
                <w:szCs w:val="18"/>
                <w:color w:val="auto"/>
              </w:rPr>
            </w:pPr>
          </w:p>
        </w:tc>
      </w:tr>
      <w:tr>
        <w:trPr>
          <w:trHeight w:val="155"/>
        </w:trPr>
        <w:tc>
          <w:tcPr>
            <w:tcW w:w="1140" w:type="dxa"/>
            <w:vAlign w:val="bottom"/>
          </w:tcPr>
          <w:p>
            <w:pPr>
              <w:spacing w:after="0"/>
              <w:rPr>
                <w:sz w:val="13"/>
                <w:szCs w:val="13"/>
                <w:color w:val="auto"/>
              </w:rPr>
            </w:pPr>
          </w:p>
        </w:tc>
        <w:tc>
          <w:tcPr>
            <w:tcW w:w="5160" w:type="dxa"/>
            <w:vAlign w:val="bottom"/>
            <w:gridSpan w:val="38"/>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Registrant and Bixby SPE Finance 11, LLC, as amended on April 16,</w:t>
              </w:r>
            </w:hyperlink>
          </w:p>
        </w:tc>
      </w:tr>
      <w:tr>
        <w:trPr>
          <w:trHeight w:val="156"/>
        </w:trPr>
        <w:tc>
          <w:tcPr>
            <w:tcW w:w="11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3">
              <w:r>
                <w:rPr>
                  <w:rFonts w:ascii="Arial" w:cs="Arial" w:eastAsia="Arial" w:hAnsi="Arial"/>
                  <w:sz w:val="18"/>
                  <w:szCs w:val="18"/>
                  <w:color w:val="0000FF"/>
                  <w:w w:val="84"/>
                </w:rPr>
                <w:t>2018.</w:t>
              </w:r>
            </w:hyperlink>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10.24</w:t>
            </w:r>
          </w:p>
        </w:tc>
        <w:tc>
          <w:tcPr>
            <w:tcW w:w="5160" w:type="dxa"/>
            <w:vAlign w:val="bottom"/>
            <w:gridSpan w:val="38"/>
          </w:tcPr>
          <w:p>
            <w:pPr>
              <w:spacing w:after="0"/>
              <w:rPr>
                <w:rFonts w:ascii="Arial" w:cs="Arial" w:eastAsia="Arial" w:hAnsi="Arial"/>
                <w:sz w:val="18"/>
                <w:szCs w:val="18"/>
                <w:color w:val="0000FF"/>
                <w:w w:val="96"/>
              </w:rPr>
            </w:pPr>
            <w:hyperlink r:id="rId152">
              <w:r>
                <w:rPr>
                  <w:rFonts w:ascii="Arial" w:cs="Arial" w:eastAsia="Arial" w:hAnsi="Arial"/>
                  <w:sz w:val="18"/>
                  <w:szCs w:val="18"/>
                  <w:color w:val="0000FF"/>
                  <w:w w:val="96"/>
                </w:rPr>
                <w:t>Loan and Security Agreement, dated August 12, 2021, between SI-</w:t>
              </w:r>
            </w:hyperlink>
          </w:p>
        </w:tc>
      </w:tr>
      <w:tr>
        <w:trPr>
          <w:trHeight w:val="156"/>
        </w:trPr>
        <w:tc>
          <w:tcPr>
            <w:tcW w:w="114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BONE, Inc. and Silicon Valley Bank</w:t>
              </w:r>
            </w:hyperlink>
          </w:p>
        </w:tc>
        <w:tc>
          <w:tcPr>
            <w:tcW w:w="2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3"/>
              </w:rPr>
              <w:t>10.25+</w:t>
            </w:r>
          </w:p>
        </w:tc>
        <w:tc>
          <w:tcPr>
            <w:tcW w:w="5160" w:type="dxa"/>
            <w:vAlign w:val="bottom"/>
            <w:gridSpan w:val="38"/>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Second Amendment to the Offer Letter Agreement and Severance Plan</w:t>
              </w:r>
            </w:hyperlink>
          </w:p>
        </w:tc>
      </w:tr>
      <w:tr>
        <w:trPr>
          <w:trHeight w:val="156"/>
        </w:trPr>
        <w:tc>
          <w:tcPr>
            <w:tcW w:w="1140" w:type="dxa"/>
            <w:vAlign w:val="bottom"/>
          </w:tcPr>
          <w:p>
            <w:pPr>
              <w:spacing w:after="0"/>
              <w:rPr>
                <w:sz w:val="13"/>
                <w:szCs w:val="13"/>
                <w:color w:val="auto"/>
              </w:rPr>
            </w:pPr>
          </w:p>
        </w:tc>
        <w:tc>
          <w:tcPr>
            <w:tcW w:w="51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Participation Agreement with Jeffery Dunn</w:t>
              </w:r>
            </w:hyperlink>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3"/>
              </w:rPr>
              <w:t>10.26+</w:t>
            </w:r>
          </w:p>
        </w:tc>
        <w:tc>
          <w:tcPr>
            <w:tcW w:w="5160" w:type="dxa"/>
            <w:vAlign w:val="bottom"/>
            <w:gridSpan w:val="38"/>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Offer Letter Agreement, dated April 20, 2021, between the Registrant</w:t>
              </w:r>
            </w:hyperlink>
          </w:p>
        </w:tc>
      </w:tr>
      <w:tr>
        <w:trPr>
          <w:trHeight w:val="155"/>
        </w:trPr>
        <w:tc>
          <w:tcPr>
            <w:tcW w:w="114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and Anshul Maheshwari</w:t>
              </w:r>
            </w:hyperlink>
          </w:p>
        </w:tc>
        <w:tc>
          <w:tcPr>
            <w:tcW w:w="32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3"/>
              </w:rPr>
              <w:t>10.27+</w:t>
            </w:r>
          </w:p>
        </w:tc>
        <w:tc>
          <w:tcPr>
            <w:tcW w:w="5160" w:type="dxa"/>
            <w:vAlign w:val="bottom"/>
            <w:gridSpan w:val="38"/>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Amended and Restated Participation Agreement dated April 20, 2021,</w:t>
              </w:r>
            </w:hyperlink>
          </w:p>
        </w:tc>
      </w:tr>
      <w:tr>
        <w:trPr>
          <w:trHeight w:val="155"/>
        </w:trPr>
        <w:tc>
          <w:tcPr>
            <w:tcW w:w="1140" w:type="dxa"/>
            <w:vAlign w:val="bottom"/>
          </w:tcPr>
          <w:p>
            <w:pPr>
              <w:spacing w:after="0"/>
              <w:rPr>
                <w:sz w:val="13"/>
                <w:szCs w:val="13"/>
                <w:color w:val="auto"/>
              </w:rPr>
            </w:pPr>
          </w:p>
        </w:tc>
        <w:tc>
          <w:tcPr>
            <w:tcW w:w="51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between the Registrant and Laura Francis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3"/>
              </w:rPr>
              <w:t>10.28+</w:t>
            </w:r>
          </w:p>
        </w:tc>
        <w:tc>
          <w:tcPr>
            <w:tcW w:w="5160" w:type="dxa"/>
            <w:vAlign w:val="bottom"/>
            <w:gridSpan w:val="38"/>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Form of Performance-Based Restricted Stock Unit Agreement</w:t>
              </w:r>
            </w:hyperlink>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21.1*</w:t>
            </w:r>
          </w:p>
        </w:tc>
        <w:tc>
          <w:tcPr>
            <w:tcW w:w="23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List of Subsidiaries of Registrant</w:t>
              </w:r>
            </w:hyperlink>
          </w:p>
        </w:tc>
        <w:tc>
          <w:tcPr>
            <w:tcW w:w="2100" w:type="dxa"/>
            <w:vAlign w:val="bottom"/>
            <w:tcBorders>
              <w:top w:val="single" w:sz="8" w:color="0000FF"/>
            </w:tcBorders>
            <w:gridSpan w:val="9"/>
          </w:tcPr>
          <w:p>
            <w:pPr>
              <w:spacing w:after="0"/>
              <w:rPr>
                <w:sz w:val="18"/>
                <w:szCs w:val="18"/>
                <w:color w:val="auto"/>
              </w:rPr>
            </w:pPr>
          </w:p>
        </w:tc>
        <w:tc>
          <w:tcPr>
            <w:tcW w:w="680" w:type="dxa"/>
            <w:vAlign w:val="bottom"/>
            <w:gridSpan w:val="19"/>
          </w:tcPr>
          <w:p>
            <w:pPr>
              <w:spacing w:after="0"/>
              <w:rPr>
                <w:sz w:val="18"/>
                <w:szCs w:val="18"/>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23.1*</w:t>
            </w:r>
          </w:p>
        </w:tc>
        <w:tc>
          <w:tcPr>
            <w:tcW w:w="5160" w:type="dxa"/>
            <w:vAlign w:val="bottom"/>
            <w:gridSpan w:val="38"/>
          </w:tcPr>
          <w:p>
            <w:pPr>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Consent of PricewaterhouseCoopers, Independent Registered Public</w:t>
              </w:r>
            </w:hyperlink>
          </w:p>
        </w:tc>
      </w:tr>
      <w:tr>
        <w:trPr>
          <w:trHeight w:val="155"/>
        </w:trPr>
        <w:tc>
          <w:tcPr>
            <w:tcW w:w="1140" w:type="dxa"/>
            <w:vAlign w:val="bottom"/>
          </w:tcPr>
          <w:p>
            <w:pPr>
              <w:spacing w:after="0"/>
              <w:rPr>
                <w:sz w:val="13"/>
                <w:szCs w:val="13"/>
                <w:color w:val="auto"/>
              </w:rPr>
            </w:pPr>
          </w:p>
        </w:tc>
        <w:tc>
          <w:tcPr>
            <w:tcW w:w="49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Accounting Firm</w:t>
              </w:r>
            </w:hyperlink>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0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24.1*</w:t>
            </w:r>
          </w:p>
        </w:tc>
        <w:tc>
          <w:tcPr>
            <w:tcW w:w="4720" w:type="dxa"/>
            <w:vAlign w:val="bottom"/>
            <w:tcBorders>
              <w:bottom w:val="single" w:sz="8" w:color="0000FF"/>
            </w:tcBorders>
            <w:gridSpan w:val="23"/>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Power of Attorney (contained in the signature page of this report)</w:t>
              </w:r>
            </w:hyperlink>
          </w:p>
        </w:tc>
        <w:tc>
          <w:tcPr>
            <w:tcW w:w="440" w:type="dxa"/>
            <w:vAlign w:val="bottom"/>
            <w:gridSpan w:val="15"/>
          </w:tcPr>
          <w:p>
            <w:pPr>
              <w:spacing w:after="0"/>
              <w:rPr>
                <w:sz w:val="18"/>
                <w:szCs w:val="18"/>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31.1*</w:t>
            </w:r>
          </w:p>
        </w:tc>
        <w:tc>
          <w:tcPr>
            <w:tcW w:w="5160" w:type="dxa"/>
            <w:vAlign w:val="bottom"/>
            <w:gridSpan w:val="38"/>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Certification of Principal Executive Officer Pursuant to Section 302 of</w:t>
              </w:r>
            </w:hyperlink>
          </w:p>
        </w:tc>
      </w:tr>
      <w:tr>
        <w:trPr>
          <w:trHeight w:val="155"/>
        </w:trPr>
        <w:tc>
          <w:tcPr>
            <w:tcW w:w="11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the Sarbanes-Oxley Act of 2002</w:t>
              </w:r>
            </w:hyperlink>
          </w:p>
        </w:tc>
        <w:tc>
          <w:tcPr>
            <w:tcW w:w="280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31.2*</w:t>
            </w:r>
          </w:p>
        </w:tc>
        <w:tc>
          <w:tcPr>
            <w:tcW w:w="5160" w:type="dxa"/>
            <w:vAlign w:val="bottom"/>
            <w:gridSpan w:val="38"/>
          </w:tcPr>
          <w:p>
            <w:pPr>
              <w:spacing w:after="0"/>
              <w:rPr>
                <w:rFonts w:ascii="Arial" w:cs="Arial" w:eastAsia="Arial" w:hAnsi="Arial"/>
                <w:sz w:val="18"/>
                <w:szCs w:val="18"/>
                <w:color w:val="0000FF"/>
                <w:w w:val="94"/>
              </w:rPr>
            </w:pPr>
            <w:hyperlink w:anchor="page116">
              <w:r>
                <w:rPr>
                  <w:rFonts w:ascii="Arial" w:cs="Arial" w:eastAsia="Arial" w:hAnsi="Arial"/>
                  <w:sz w:val="18"/>
                  <w:szCs w:val="18"/>
                  <w:color w:val="0000FF"/>
                  <w:w w:val="94"/>
                </w:rPr>
                <w:t>Certification of Principal Financial Officer Pursuant to Section 302 of</w:t>
              </w:r>
            </w:hyperlink>
          </w:p>
        </w:tc>
      </w:tr>
      <w:tr>
        <w:trPr>
          <w:trHeight w:val="155"/>
        </w:trPr>
        <w:tc>
          <w:tcPr>
            <w:tcW w:w="11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the Sarbanes-Oxley Act of 2002</w:t>
              </w:r>
            </w:hyperlink>
          </w:p>
        </w:tc>
        <w:tc>
          <w:tcPr>
            <w:tcW w:w="274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7"/>
              </w:rPr>
              <w:t>32.1**</w:t>
            </w:r>
          </w:p>
        </w:tc>
        <w:tc>
          <w:tcPr>
            <w:tcW w:w="5160" w:type="dxa"/>
            <w:vAlign w:val="bottom"/>
            <w:gridSpan w:val="38"/>
          </w:tcPr>
          <w:p>
            <w:pPr>
              <w:spacing w:after="0"/>
              <w:rPr>
                <w:rFonts w:ascii="Arial" w:cs="Arial" w:eastAsia="Arial" w:hAnsi="Arial"/>
                <w:sz w:val="18"/>
                <w:szCs w:val="18"/>
                <w:color w:val="0000FF"/>
                <w:w w:val="99"/>
              </w:rPr>
            </w:pPr>
            <w:hyperlink w:anchor="page117">
              <w:r>
                <w:rPr>
                  <w:rFonts w:ascii="Arial" w:cs="Arial" w:eastAsia="Arial" w:hAnsi="Arial"/>
                  <w:sz w:val="18"/>
                  <w:szCs w:val="18"/>
                  <w:color w:val="0000FF"/>
                  <w:w w:val="99"/>
                </w:rPr>
                <w:t>Certification of Principal Executive Officer and Principal Financial</w:t>
              </w:r>
            </w:hyperlink>
          </w:p>
        </w:tc>
      </w:tr>
      <w:tr>
        <w:trPr>
          <w:trHeight w:val="155"/>
        </w:trPr>
        <w:tc>
          <w:tcPr>
            <w:tcW w:w="1140" w:type="dxa"/>
            <w:vAlign w:val="bottom"/>
          </w:tcPr>
          <w:p>
            <w:pPr>
              <w:spacing w:after="0"/>
              <w:rPr>
                <w:sz w:val="13"/>
                <w:szCs w:val="13"/>
                <w:color w:val="auto"/>
              </w:rPr>
            </w:pPr>
          </w:p>
        </w:tc>
        <w:tc>
          <w:tcPr>
            <w:tcW w:w="486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Officer Pursuant to Section 906 of the Sarbanes-Oxley Act of 2002</w:t>
              </w:r>
            </w:hyperlink>
          </w:p>
        </w:tc>
        <w:tc>
          <w:tcPr>
            <w:tcW w:w="300" w:type="dxa"/>
            <w:vAlign w:val="bottom"/>
            <w:gridSpan w:val="12"/>
          </w:tcPr>
          <w:p>
            <w:pPr>
              <w:spacing w:after="0"/>
              <w:rPr>
                <w:sz w:val="13"/>
                <w:szCs w:val="13"/>
                <w:color w:val="auto"/>
              </w:rPr>
            </w:pPr>
          </w:p>
        </w:tc>
      </w:tr>
      <w:tr>
        <w:trPr>
          <w:trHeight w:val="196"/>
        </w:trPr>
        <w:tc>
          <w:tcPr>
            <w:tcW w:w="1140" w:type="dxa"/>
            <w:vAlign w:val="bottom"/>
          </w:tcPr>
          <w:p>
            <w:pPr>
              <w:jc w:val="center"/>
              <w:ind w:right="290"/>
              <w:spacing w:after="0" w:line="196" w:lineRule="exact"/>
              <w:rPr>
                <w:sz w:val="20"/>
                <w:szCs w:val="20"/>
                <w:color w:val="auto"/>
              </w:rPr>
            </w:pPr>
            <w:r>
              <w:rPr>
                <w:rFonts w:ascii="Arial" w:cs="Arial" w:eastAsia="Arial" w:hAnsi="Arial"/>
                <w:sz w:val="18"/>
                <w:szCs w:val="18"/>
                <w:color w:val="auto"/>
                <w:w w:val="94"/>
              </w:rPr>
              <w:t>101.INS*</w:t>
            </w:r>
          </w:p>
        </w:tc>
        <w:tc>
          <w:tcPr>
            <w:tcW w:w="4820" w:type="dxa"/>
            <w:vAlign w:val="bottom"/>
            <w:tcBorders>
              <w:top w:val="single" w:sz="8" w:color="0000FF"/>
            </w:tcBorders>
            <w:gridSpan w:val="24"/>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 not</w:t>
            </w:r>
          </w:p>
        </w:tc>
        <w:tc>
          <w:tcPr>
            <w:tcW w:w="340" w:type="dxa"/>
            <w:vAlign w:val="bottom"/>
            <w:gridSpan w:val="14"/>
          </w:tcPr>
          <w:p>
            <w:pPr>
              <w:spacing w:after="0"/>
              <w:rPr>
                <w:sz w:val="17"/>
                <w:szCs w:val="17"/>
                <w:color w:val="auto"/>
              </w:rPr>
            </w:pPr>
          </w:p>
        </w:tc>
      </w:tr>
      <w:tr>
        <w:trPr>
          <w:trHeight w:val="175"/>
        </w:trPr>
        <w:tc>
          <w:tcPr>
            <w:tcW w:w="1140" w:type="dxa"/>
            <w:vAlign w:val="bottom"/>
          </w:tcPr>
          <w:p>
            <w:pPr>
              <w:spacing w:after="0"/>
              <w:rPr>
                <w:sz w:val="15"/>
                <w:szCs w:val="15"/>
                <w:color w:val="auto"/>
              </w:rPr>
            </w:pPr>
          </w:p>
        </w:tc>
        <w:tc>
          <w:tcPr>
            <w:tcW w:w="5160" w:type="dxa"/>
            <w:vAlign w:val="bottom"/>
            <w:gridSpan w:val="38"/>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29"/>
        </w:trPr>
        <w:tc>
          <w:tcPr>
            <w:tcW w:w="1140" w:type="dxa"/>
            <w:vAlign w:val="bottom"/>
          </w:tcPr>
          <w:p>
            <w:pPr>
              <w:spacing w:after="0"/>
              <w:rPr>
                <w:sz w:val="19"/>
                <w:szCs w:val="19"/>
                <w:color w:val="auto"/>
              </w:rPr>
            </w:pPr>
          </w:p>
        </w:tc>
        <w:tc>
          <w:tcPr>
            <w:tcW w:w="5160" w:type="dxa"/>
            <w:vAlign w:val="bottom"/>
            <w:gridSpan w:val="3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4"/>
              </w:rPr>
              <w:t>101.SCH*</w:t>
            </w:r>
          </w:p>
        </w:tc>
        <w:tc>
          <w:tcPr>
            <w:tcW w:w="5160" w:type="dxa"/>
            <w:vAlign w:val="bottom"/>
            <w:gridSpan w:val="3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729"/>
        </w:trPr>
        <w:tc>
          <w:tcPr>
            <w:tcW w:w="1140" w:type="dxa"/>
            <w:vAlign w:val="bottom"/>
          </w:tcPr>
          <w:p>
            <w:pPr>
              <w:spacing w:after="0"/>
              <w:rPr>
                <w:sz w:val="24"/>
                <w:szCs w:val="24"/>
                <w:color w:val="auto"/>
              </w:rPr>
            </w:pPr>
          </w:p>
        </w:tc>
        <w:tc>
          <w:tcPr>
            <w:tcW w:w="4480" w:type="dxa"/>
            <w:vAlign w:val="bottom"/>
            <w:gridSpan w:val="19"/>
          </w:tcPr>
          <w:p>
            <w:pPr>
              <w:ind w:left="4180"/>
              <w:spacing w:after="0"/>
              <w:rPr>
                <w:sz w:val="20"/>
                <w:szCs w:val="20"/>
                <w:color w:val="auto"/>
              </w:rPr>
            </w:pPr>
            <w:r>
              <w:rPr>
                <w:rFonts w:ascii="Arial" w:cs="Arial" w:eastAsia="Arial" w:hAnsi="Arial"/>
                <w:sz w:val="18"/>
                <w:szCs w:val="18"/>
                <w:color w:val="auto"/>
                <w:w w:val="93"/>
              </w:rPr>
              <w:t>108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3/10/2021</w:t>
            </w:r>
          </w:p>
        </w:tc>
      </w:tr>
      <w:tr>
        <w:trPr>
          <w:trHeight w:val="40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8/4/2021</w:t>
            </w:r>
          </w:p>
        </w:tc>
      </w:tr>
      <w:tr>
        <w:trPr>
          <w:trHeight w:val="581"/>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9/20/2018</w:t>
            </w: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10.30</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9/20/2018</w:t>
            </w: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11/12/2019</w:t>
            </w:r>
          </w:p>
        </w:tc>
      </w:tr>
      <w:tr>
        <w:trPr>
          <w:trHeight w:val="22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1/7/2021</w:t>
            </w: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3/10/2021</w:t>
            </w: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8/4/2020</w:t>
            </w:r>
          </w:p>
        </w:tc>
      </w:tr>
      <w:tr>
        <w:trPr>
          <w:trHeight w:val="581"/>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3/10/2021</w:t>
            </w:r>
          </w:p>
        </w:tc>
      </w:tr>
      <w:tr>
        <w:trPr>
          <w:trHeight w:val="40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5/4/2021</w:t>
            </w:r>
          </w:p>
        </w:tc>
      </w:tr>
      <w:tr>
        <w:trPr>
          <w:trHeight w:val="40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5/4/2021</w:t>
            </w:r>
          </w:p>
        </w:tc>
      </w:tr>
      <w:tr>
        <w:trPr>
          <w:trHeight w:val="40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9/20/2018</w:t>
            </w:r>
          </w:p>
        </w:tc>
      </w:tr>
      <w:tr>
        <w:trPr>
          <w:trHeight w:val="581"/>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11/9/2021</w:t>
            </w:r>
          </w:p>
        </w:tc>
      </w:tr>
      <w:tr>
        <w:trPr>
          <w:trHeight w:val="40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11/9/2021</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4/20/2021</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4/20/2021</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1/20/2022</w:t>
            </w:r>
          </w:p>
        </w:tc>
      </w:tr>
    </w:tbl>
    <w:p>
      <w:pPr>
        <w:sectPr>
          <w:pgSz w:w="11900" w:h="16838" w:orient="portrait"/>
          <w:cols w:equalWidth="0" w:num="2">
            <w:col w:w="6260" w:space="380"/>
            <w:col w:w="4280"/>
          </w:cols>
          <w:pgMar w:left="480" w:top="891" w:right="499" w:bottom="1440" w:gutter="0" w:footer="0" w:header="0"/>
        </w:sectPr>
      </w:pPr>
    </w:p>
    <w:bookmarkStart w:id="109" w:name="page110"/>
    <w:bookmarkEnd w:id="10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101.CAL*</w:t>
            </w:r>
          </w:p>
        </w:tc>
        <w:tc>
          <w:tcPr>
            <w:tcW w:w="5140" w:type="dxa"/>
            <w:vAlign w:val="bottom"/>
          </w:tcPr>
          <w:p>
            <w:pPr>
              <w:ind w:left="20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101.DEF*</w:t>
            </w:r>
          </w:p>
        </w:tc>
        <w:tc>
          <w:tcPr>
            <w:tcW w:w="5140" w:type="dxa"/>
            <w:vAlign w:val="bottom"/>
          </w:tcPr>
          <w:p>
            <w:pPr>
              <w:ind w:left="20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14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ind w:left="1300" w:right="5300" w:hanging="894"/>
        <w:spacing w:after="0" w:line="23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340" w:hanging="332"/>
        <w:spacing w:after="0" w:line="277" w:lineRule="auto"/>
        <w:tabs>
          <w:tab w:leader="none" w:pos="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84" w:lineRule="exact"/>
        <w:rPr>
          <w:sz w:val="20"/>
          <w:szCs w:val="20"/>
          <w:color w:val="auto"/>
        </w:rPr>
      </w:pPr>
    </w:p>
    <w:p>
      <w:pPr>
        <w:ind w:left="260" w:hanging="252"/>
        <w:spacing w:after="0" w:line="196" w:lineRule="exact"/>
        <w:tabs>
          <w:tab w:leader="none" w:pos="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have filed, or incorporated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by reference, the exhibits listed on the Exhibit Index immediately above.</w:t>
      </w:r>
    </w:p>
    <w:p>
      <w:pPr>
        <w:spacing w:after="0" w:line="250" w:lineRule="exact"/>
        <w:rPr>
          <w:rFonts w:ascii="Arial" w:cs="Arial" w:eastAsia="Arial" w:hAnsi="Arial"/>
          <w:sz w:val="17"/>
          <w:szCs w:val="17"/>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60" w:type="dxa"/>
            <w:vAlign w:val="bottom"/>
            <w:gridSpan w:val="2"/>
          </w:tcPr>
          <w:p>
            <w:pPr>
              <w:ind w:left="2260"/>
              <w:spacing w:after="0"/>
              <w:rPr>
                <w:sz w:val="20"/>
                <w:szCs w:val="20"/>
                <w:color w:val="auto"/>
              </w:rPr>
            </w:pPr>
            <w:r>
              <w:rPr>
                <w:rFonts w:ascii="Arial" w:cs="Arial" w:eastAsia="Arial" w:hAnsi="Arial"/>
                <w:sz w:val="18"/>
                <w:szCs w:val="18"/>
                <w:color w:val="auto"/>
              </w:rPr>
              <w:t>SI-BONE, Inc.</w:t>
            </w:r>
          </w:p>
        </w:tc>
      </w:tr>
      <w:tr>
        <w:trPr>
          <w:trHeight w:val="392"/>
        </w:trPr>
        <w:tc>
          <w:tcPr>
            <w:tcW w:w="37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3000" w:type="dxa"/>
            <w:vAlign w:val="bottom"/>
          </w:tcPr>
          <w:p>
            <w:pPr>
              <w:ind w:left="22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37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29"/>
        </w:trPr>
        <w:tc>
          <w:tcPr>
            <w:tcW w:w="37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w w:val="99"/>
              </w:rPr>
              <w:t>(Duly Authorized Officer and Principal Executive Officer</w:t>
            </w:r>
            <w:r>
              <w:rPr>
                <w:rFonts w:ascii="Arial" w:cs="Arial" w:eastAsia="Arial" w:hAnsi="Arial"/>
                <w:sz w:val="14"/>
                <w:szCs w:val="14"/>
                <w:color w:val="auto"/>
                <w:w w:val="99"/>
              </w:rPr>
              <w:t>)</w:t>
            </w:r>
          </w:p>
        </w:tc>
      </w:tr>
      <w:tr>
        <w:trPr>
          <w:trHeight w:val="662"/>
        </w:trPr>
        <w:tc>
          <w:tcPr>
            <w:tcW w:w="3780" w:type="dxa"/>
            <w:vAlign w:val="bottom"/>
          </w:tcPr>
          <w:p>
            <w:pPr>
              <w:spacing w:after="0"/>
              <w:rPr>
                <w:sz w:val="24"/>
                <w:szCs w:val="24"/>
                <w:color w:val="auto"/>
              </w:rPr>
            </w:pPr>
          </w:p>
        </w:tc>
        <w:tc>
          <w:tcPr>
            <w:tcW w:w="7460" w:type="dxa"/>
            <w:vAlign w:val="bottom"/>
            <w:gridSpan w:val="2"/>
          </w:tcPr>
          <w:p>
            <w:pPr>
              <w:ind w:left="2260"/>
              <w:spacing w:after="0"/>
              <w:rPr>
                <w:sz w:val="20"/>
                <w:szCs w:val="20"/>
                <w:color w:val="auto"/>
              </w:rPr>
            </w:pPr>
            <w:r>
              <w:rPr>
                <w:rFonts w:ascii="Arial" w:cs="Arial" w:eastAsia="Arial" w:hAnsi="Arial"/>
                <w:sz w:val="18"/>
                <w:szCs w:val="18"/>
                <w:color w:val="auto"/>
              </w:rPr>
              <w:t>SI-BONE, Inc.</w:t>
            </w:r>
          </w:p>
        </w:tc>
      </w:tr>
      <w:tr>
        <w:trPr>
          <w:trHeight w:val="378"/>
        </w:trPr>
        <w:tc>
          <w:tcPr>
            <w:tcW w:w="37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3000" w:type="dxa"/>
            <w:vAlign w:val="bottom"/>
          </w:tcPr>
          <w:p>
            <w:pPr>
              <w:ind w:left="22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2"/>
        </w:trPr>
        <w:tc>
          <w:tcPr>
            <w:tcW w:w="37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Anshul Maheshwari</w:t>
            </w:r>
          </w:p>
        </w:tc>
      </w:tr>
      <w:tr>
        <w:trPr>
          <w:trHeight w:val="230"/>
        </w:trPr>
        <w:tc>
          <w:tcPr>
            <w:tcW w:w="37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1087"/>
        </w:trPr>
        <w:tc>
          <w:tcPr>
            <w:tcW w:w="37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jc w:val="both"/>
        <w:ind w:firstLine="40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spacing w:after="0" w:line="2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2" w:lineRule="exact"/>
        <w:rPr>
          <w:sz w:val="20"/>
          <w:szCs w:val="20"/>
          <w:color w:val="auto"/>
        </w:rPr>
      </w:pPr>
    </w:p>
    <w:p>
      <w:pPr>
        <w:ind w:left="1420"/>
        <w:spacing w:after="0"/>
        <w:tabs>
          <w:tab w:leader="none" w:pos="5580" w:val="left"/>
          <w:tab w:leader="none" w:pos="94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12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Laura A. Francis</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22225</wp:posOffset>
            </wp:positionV>
            <wp:extent cx="1448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4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Anshul Maheshwari</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22225</wp:posOffset>
            </wp:positionV>
            <wp:extent cx="1448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4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Timothy E. Davis, Jr.</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Jeffrey W. Dunn</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1448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G. Freund, M.D.</w:t>
      </w: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Jeryl L. Hilleman</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22225</wp:posOffset>
            </wp:positionV>
            <wp:extent cx="144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4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Gregory K. Hinckley</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Helen Loh</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Mika Nishimura</w:t>
      </w: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8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Keith C. Valentine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Chief Executive Officer and Director</w:t>
      </w:r>
    </w:p>
    <w:p>
      <w:pPr>
        <w:jc w:val="center"/>
        <w:ind w:righ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Duly Authorized Officer and Principal Executive Officer</w:t>
      </w:r>
      <w:r>
        <w:rPr>
          <w:rFonts w:ascii="Arial" w:cs="Arial" w:eastAsia="Arial" w:hAnsi="Arial"/>
          <w:sz w:val="12"/>
          <w:szCs w:val="12"/>
          <w:color w:val="auto"/>
        </w:rPr>
        <w:t>)</w:t>
      </w:r>
    </w:p>
    <w:p>
      <w:pPr>
        <w:spacing w:after="0" w:line="3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Chief Financial Officer</w:t>
      </w:r>
    </w:p>
    <w:p>
      <w:pPr>
        <w:jc w:val="center"/>
        <w:ind w:right="5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8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Lead Independent Director, Director</w:t>
      </w:r>
    </w:p>
    <w:p>
      <w:pPr>
        <w:spacing w:after="0" w:line="200" w:lineRule="exact"/>
        <w:rPr>
          <w:sz w:val="20"/>
          <w:szCs w:val="20"/>
          <w:color w:val="auto"/>
        </w:rPr>
      </w:pPr>
    </w:p>
    <w:p>
      <w:pPr>
        <w:spacing w:after="0" w:line="3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Executive Chairman, Director</w:t>
      </w:r>
    </w:p>
    <w:p>
      <w:pPr>
        <w:spacing w:after="0" w:line="200" w:lineRule="exact"/>
        <w:rPr>
          <w:sz w:val="20"/>
          <w:szCs w:val="20"/>
          <w:color w:val="auto"/>
        </w:rPr>
      </w:pPr>
    </w:p>
    <w:p>
      <w:pPr>
        <w:spacing w:after="0" w:line="36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3">
            <w:col w:w="2940" w:space="720"/>
            <w:col w:w="4740" w:space="720"/>
            <w:col w:w="2120"/>
          </w:cols>
          <w:pgMar w:left="320" w:top="773"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5860" w:type="dxa"/>
            <w:vAlign w:val="bottom"/>
            <w:gridSpan w:val="3"/>
          </w:tcPr>
          <w:p>
            <w:pPr>
              <w:ind w:left="22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29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7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r>
      <w:tr>
        <w:trPr>
          <w:trHeight w:val="254"/>
        </w:trPr>
        <w:tc>
          <w:tcPr>
            <w:tcW w:w="2640" w:type="dxa"/>
            <w:vAlign w:val="bottom"/>
          </w:tcPr>
          <w:p>
            <w:pPr>
              <w:spacing w:after="0"/>
              <w:rPr>
                <w:sz w:val="20"/>
                <w:szCs w:val="20"/>
                <w:color w:val="auto"/>
              </w:rPr>
            </w:pPr>
            <w:r>
              <w:rPr>
                <w:rFonts w:ascii="Arial" w:cs="Arial" w:eastAsia="Arial" w:hAnsi="Arial"/>
                <w:sz w:val="20"/>
                <w:szCs w:val="20"/>
                <w:color w:val="auto"/>
              </w:rPr>
              <w:t>SI-BONE S.R.L.</w:t>
            </w:r>
          </w:p>
        </w:tc>
        <w:tc>
          <w:tcPr>
            <w:tcW w:w="1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2640" w:type="dxa"/>
            <w:vAlign w:val="bottom"/>
          </w:tcPr>
          <w:p>
            <w:pPr>
              <w:spacing w:after="0"/>
              <w:rPr>
                <w:sz w:val="20"/>
                <w:szCs w:val="20"/>
                <w:color w:val="auto"/>
              </w:rPr>
            </w:pPr>
            <w:r>
              <w:rPr>
                <w:rFonts w:ascii="Arial" w:cs="Arial" w:eastAsia="Arial" w:hAnsi="Arial"/>
                <w:sz w:val="20"/>
                <w:szCs w:val="20"/>
                <w:color w:val="auto"/>
                <w:w w:val="99"/>
              </w:rPr>
              <w:t>SI-BONE Deutschland GmbH</w:t>
            </w: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2640" w:type="dxa"/>
            <w:vAlign w:val="bottom"/>
          </w:tcPr>
          <w:p>
            <w:pPr>
              <w:spacing w:after="0"/>
              <w:rPr>
                <w:sz w:val="20"/>
                <w:szCs w:val="20"/>
                <w:color w:val="auto"/>
              </w:rPr>
            </w:pPr>
            <w:r>
              <w:rPr>
                <w:rFonts w:ascii="Arial" w:cs="Arial" w:eastAsia="Arial" w:hAnsi="Arial"/>
                <w:sz w:val="20"/>
                <w:szCs w:val="20"/>
                <w:color w:val="auto"/>
              </w:rPr>
              <w:t>SI-BONE UK LTD</w:t>
            </w: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120"/>
          </w:cols>
          <w:pgMar w:left="1440" w:top="76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333-235714) and Form S-8 (Nos. 333-227907, 333-230473, 333-237091 and 333-254086) of SI-BONE, Inc. of our report dated March 1,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76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40" w:hanging="408"/>
        <w:spacing w:after="0" w:line="308" w:lineRule="auto"/>
        <w:tabs>
          <w:tab w:leader="none" w:pos="728"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740" w:hanging="408"/>
        <w:spacing w:after="0" w:line="342" w:lineRule="auto"/>
        <w:tabs>
          <w:tab w:leader="none" w:pos="728"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1" w:lineRule="exact"/>
        <w:rPr>
          <w:sz w:val="20"/>
          <w:szCs w:val="20"/>
          <w:color w:val="auto"/>
        </w:rPr>
      </w:pPr>
    </w:p>
    <w:p>
      <w:pPr>
        <w:ind w:left="340" w:hanging="332"/>
        <w:spacing w:after="0" w:line="308"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40" w:hanging="408"/>
        <w:spacing w:after="0" w:line="277" w:lineRule="auto"/>
        <w:tabs>
          <w:tab w:leader="none" w:pos="7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hanging="408"/>
        <w:spacing w:after="0" w:line="277" w:lineRule="auto"/>
        <w:tabs>
          <w:tab w:leader="none" w:pos="7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Laura A. Francis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20" w:type="dxa"/>
            <w:vAlign w:val="bottom"/>
          </w:tcPr>
          <w:p>
            <w:pPr>
              <w:ind w:left="180"/>
              <w:spacing w:after="0"/>
              <w:rPr>
                <w:sz w:val="20"/>
                <w:szCs w:val="20"/>
                <w:color w:val="auto"/>
              </w:rPr>
            </w:pPr>
            <w:r>
              <w:rPr>
                <w:rFonts w:ascii="Arial" w:cs="Arial" w:eastAsia="Arial" w:hAnsi="Arial"/>
                <w:sz w:val="18"/>
                <w:szCs w:val="18"/>
                <w:color w:val="auto"/>
              </w:rPr>
              <w:t>March 1, 2022</w:t>
            </w: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Laura A. Francis</w:t>
            </w:r>
          </w:p>
        </w:tc>
      </w:tr>
      <w:tr>
        <w:trPr>
          <w:trHeight w:val="230"/>
        </w:trPr>
        <w:tc>
          <w:tcPr>
            <w:tcW w:w="5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76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Anshul Maheshwari, certify that:</w:t>
      </w:r>
    </w:p>
    <w:p>
      <w:pPr>
        <w:spacing w:after="0" w:line="34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40" w:hanging="408"/>
        <w:spacing w:after="0" w:line="308" w:lineRule="auto"/>
        <w:tabs>
          <w:tab w:leader="none" w:pos="728"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740" w:hanging="408"/>
        <w:spacing w:after="0" w:line="263" w:lineRule="auto"/>
        <w:tabs>
          <w:tab w:leader="none" w:pos="7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340" w:hanging="332"/>
        <w:spacing w:after="0" w:line="308" w:lineRule="auto"/>
        <w:tabs>
          <w:tab w:leader="none" w:pos="3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40" w:hanging="408"/>
        <w:spacing w:after="0" w:line="277" w:lineRule="auto"/>
        <w:tabs>
          <w:tab w:leader="none" w:pos="7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hanging="408"/>
        <w:spacing w:after="0" w:line="277" w:lineRule="auto"/>
        <w:tabs>
          <w:tab w:leader="none" w:pos="7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068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420" w:val="left"/>
          <w:tab w:leader="none" w:pos="7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Anshul Maheshwari</w:t>
      </w:r>
    </w:p>
    <w:p>
      <w:pPr>
        <w:spacing w:after="0" w:line="23"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his or her knowledge:</w:t>
      </w:r>
    </w:p>
    <w:p>
      <w:pPr>
        <w:spacing w:after="0" w:line="165" w:lineRule="exact"/>
        <w:rPr>
          <w:sz w:val="20"/>
          <w:szCs w:val="20"/>
          <w:color w:val="auto"/>
        </w:rPr>
      </w:pPr>
    </w:p>
    <w:p>
      <w:pPr>
        <w:ind w:left="340" w:hanging="332"/>
        <w:spacing w:after="0" w:line="277" w:lineRule="auto"/>
        <w:tabs>
          <w:tab w:leader="none" w:pos="4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32.1 (the “Periodic Report”), fully complies with the requirements Section 13(a) or 15(d) of the Securities Exchange Act of 1934; and</w:t>
      </w:r>
    </w:p>
    <w:p>
      <w:pPr>
        <w:spacing w:after="0" w:line="170" w:lineRule="exact"/>
        <w:rPr>
          <w:rFonts w:ascii="Arial" w:cs="Arial" w:eastAsia="Arial" w:hAnsi="Arial"/>
          <w:sz w:val="18"/>
          <w:szCs w:val="18"/>
          <w:color w:val="auto"/>
        </w:rPr>
      </w:pPr>
    </w:p>
    <w:p>
      <w:pPr>
        <w:ind w:left="340" w:hanging="332"/>
        <w:spacing w:after="0" w:line="277" w:lineRule="auto"/>
        <w:tabs>
          <w:tab w:leader="none" w:pos="4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8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828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20"/>
        <w:spacing w:after="0"/>
        <w:tabs>
          <w:tab w:leader="none" w:pos="1280" w:val="left"/>
          <w:tab w:leader="none" w:pos="7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8289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20"/>
        <w:spacing w:after="0"/>
        <w:tabs>
          <w:tab w:leader="none" w:pos="128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Anshul Maheshwari</w:t>
      </w:r>
    </w:p>
    <w:p>
      <w:pPr>
        <w:spacing w:after="0" w:line="2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(Principal Financial and Accounting Officer)</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the Securities and Exchange Commission as an exhibit to the Annual Report and shall not be deemed filed by the Company for purposes of §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5"/>
    </w:lvl>
  </w:abstractNum>
  <w:abstractNum w:abstractNumId="44">
    <w:nsid w:val="1BA026FA"/>
    <w:multiLevelType w:val="hybridMultilevel"/>
    <w:lvl w:ilvl="0">
      <w:lvlJc w:val="left"/>
      <w:lvlText w:val="%1."/>
      <w:numFmt w:val="decimal"/>
      <w:start w:val="7"/>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
      <w:numFmt w:val="bullet"/>
      <w:start w:val="1"/>
    </w:lvl>
    <w:lvl w:ilvl="1">
      <w:lvlJc w:val="left"/>
      <w:lvlText w:val="%2"/>
      <w:numFmt w:val="decimal"/>
      <w:start w:val="104"/>
    </w:lvl>
  </w:abstractNum>
  <w:abstractNum w:abstractNumId="48">
    <w:nsid w:val="70C6A529"/>
    <w:multiLevelType w:val="hybridMultilevel"/>
    <w:lvl w:ilvl="0">
      <w:lvlJc w:val="left"/>
      <w:lvlText w:val="**"/>
      <w:numFmt w:val="bullet"/>
      <w:start w:val="1"/>
    </w:lvl>
    <w:lvl w:ilvl="1">
      <w:lvlJc w:val="left"/>
      <w:lvlText w:val="%2"/>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decimal"/>
      <w:start w:val="1"/>
    </w:lvl>
    <w:lvl w:ilvl="1">
      <w:lvlJc w:val="left"/>
      <w:lvlText w:val="%2)"/>
      <w:numFmt w:val="decimal"/>
      <w:start w:val="1"/>
    </w:lvl>
  </w:abstractNum>
  <w:abstractNum w:abstractNumId="53">
    <w:nsid w:val="649BB77C"/>
    <w:multiLevelType w:val="hybridMultilevel"/>
    <w:lvl w:ilvl="0">
      <w:lvlJc w:val="left"/>
      <w:lvlText w:val="%1)"/>
      <w:numFmt w:val="decimal"/>
      <w:start w:val="5"/>
    </w:lvl>
    <w:lvl w:ilvl="1">
      <w:lvlJc w:val="left"/>
      <w:lvlText w:val="%2)"/>
      <w:numFmt w:val="decimal"/>
      <w:start w:val="1"/>
    </w:lvl>
  </w:abstractNum>
  <w:abstractNum w:abstractNumId="54">
    <w:nsid w:val="275AC794"/>
    <w:multiLevelType w:val="hybridMultilevel"/>
    <w:lvl w:ilvl="0">
      <w:lvlJc w:val="left"/>
      <w:lvlText w:val="%1."/>
      <w:numFmt w:val="decimal"/>
      <w:start w:val="1"/>
    </w:lvl>
    <w:lvl w:ilvl="1">
      <w:lvlJc w:val="left"/>
      <w:lvlText w:val="%2)"/>
      <w:numFmt w:val="decimal"/>
      <w:start w:val="1"/>
    </w:lvl>
  </w:abstractNum>
  <w:abstractNum w:abstractNumId="55">
    <w:nsid w:val="39386575"/>
    <w:multiLevelType w:val="hybridMultilevel"/>
    <w:lvl w:ilvl="0">
      <w:lvlJc w:val="left"/>
      <w:lvlText w:val="%1)"/>
      <w:numFmt w:val="decimal"/>
      <w:start w:val="5"/>
    </w:lvl>
    <w:lvl w:ilvl="1">
      <w:lvlJc w:val="left"/>
      <w:lvlText w:val="%2)"/>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8" Type="http://schemas.openxmlformats.org/officeDocument/2006/relationships/image" Target="media/image116.png"/><Relationship Id="rId140"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23" Type="http://schemas.openxmlformats.org/officeDocument/2006/relationships/hyperlink" Target="http://www.sec.gov/Archives/edgar/data/1459839/000119312518303020/d641574dex31.htm" TargetMode="External"/><Relationship Id="rId124" Type="http://schemas.openxmlformats.org/officeDocument/2006/relationships/hyperlink" Target="http://www.sec.gov/Archives/edgar/data/1459839/000119312518293978/d452987dex34.htm" TargetMode="External"/><Relationship Id="rId125" Type="http://schemas.openxmlformats.org/officeDocument/2006/relationships/hyperlink" Target="http://www.sec.gov/Archives/edgar/data/1459839/000119312518293978/d452987dex41.htm" TargetMode="External"/><Relationship Id="rId126" Type="http://schemas.openxmlformats.org/officeDocument/2006/relationships/hyperlink" Target="http://www.sec.gov/Archives/edgar/data/1459839/000145983920000047/exhibit43descriptionof.htm" TargetMode="External"/><Relationship Id="rId127" Type="http://schemas.openxmlformats.org/officeDocument/2006/relationships/hyperlink" Target="http://www.sec.gov/Archives/edgar/data/1459839/000119312518278797/d452987dex101.htm" TargetMode="External"/><Relationship Id="rId129" Type="http://schemas.openxmlformats.org/officeDocument/2006/relationships/hyperlink" Target="http://www.sec.gov/Archives/edgar/data/1459839/000119312518293978/d452987dex102.htm" TargetMode="External"/><Relationship Id="rId130" Type="http://schemas.openxmlformats.org/officeDocument/2006/relationships/hyperlink" Target="http://www.sec.gov/Archives/edgar/data/1459839/000119312518293978/d452987dex103.htm" TargetMode="External"/><Relationship Id="rId131" Type="http://schemas.openxmlformats.org/officeDocument/2006/relationships/hyperlink" Target="http://www.sec.gov/Archives/edgar/data/1459839/000119312518293978/d452987dex104.htm" TargetMode="External"/><Relationship Id="rId132" Type="http://schemas.openxmlformats.org/officeDocument/2006/relationships/hyperlink" Target="http://www.sec.gov/Archives/edgar/data/1459839/000119312518293978/d452987dex105.htm" TargetMode="External"/><Relationship Id="rId133" Type="http://schemas.openxmlformats.org/officeDocument/2006/relationships/hyperlink" Target="http://www.sec.gov/Archives/edgar/data/1459839/000119312518293978/d452987dex106.htm" TargetMode="External"/><Relationship Id="rId134" Type="http://schemas.openxmlformats.org/officeDocument/2006/relationships/hyperlink" Target="http://www.sec.gov/Archives/edgar/data/1459839/000119312518278797/d452987dex106.htm" TargetMode="External"/><Relationship Id="rId135" Type="http://schemas.openxmlformats.org/officeDocument/2006/relationships/hyperlink" Target="http://www.sec.gov/Archives/edgar/data/1459839/000119312518278797/d452987dex107.htm" TargetMode="External"/><Relationship Id="rId136" Type="http://schemas.openxmlformats.org/officeDocument/2006/relationships/hyperlink" Target="http://www.sec.gov/Archives/edgar/data/1459839/000119312518278797/d452987dex108.htm" TargetMode="External"/><Relationship Id="rId137" Type="http://schemas.openxmlformats.org/officeDocument/2006/relationships/hyperlink" Target="http://www.sec.gov/Archives/edgar/data/1459839/000119312518278797/d452987dex109.htm" TargetMode="External"/><Relationship Id="rId138" Type="http://schemas.openxmlformats.org/officeDocument/2006/relationships/hyperlink" Target="http://www.sec.gov/Archives/edgar/data/1459839/000119312518278797/d452987dex1018.htm" TargetMode="External"/><Relationship Id="rId139" Type="http://schemas.openxmlformats.org/officeDocument/2006/relationships/hyperlink" Target="http://www.sec.gov/Archives/edgar/data/1459839/000119312518293978/d452987dex1021.htm" TargetMode="External"/><Relationship Id="rId141" Type="http://schemas.openxmlformats.org/officeDocument/2006/relationships/hyperlink" Target="https://www.sec.gov/Archives/edgar/data/1459839/000145983921000012/exh1016rmscompany-addendum.htm" TargetMode="External"/><Relationship Id="rId142" Type="http://schemas.openxmlformats.org/officeDocument/2006/relationships/hyperlink" Target="https://www.sec.gov/Archives/edgar/data/0001459839/000145983921000054/rms_sibonexarmqsax61121xre.htm" TargetMode="External"/><Relationship Id="rId143" Type="http://schemas.openxmlformats.org/officeDocument/2006/relationships/hyperlink" Target="http://www.sec.gov/Archives/edgar/data/1459839/000119312518278797/d452987dex1021.htm" TargetMode="External"/><Relationship Id="rId144" Type="http://schemas.openxmlformats.org/officeDocument/2006/relationships/hyperlink" Target="http://www.sec.gov/Archives/edgar/data/1459839/000119312518278797/d452987dex1030.htm" TargetMode="External"/><Relationship Id="rId145" Type="http://schemas.openxmlformats.org/officeDocument/2006/relationships/hyperlink" Target="http://www.sec.gov/Archives/edgar/data/1459839/000145983919000044/exhibit102amendmenttores.htm" TargetMode="External"/><Relationship Id="rId146" Type="http://schemas.openxmlformats.org/officeDocument/2006/relationships/hyperlink" Target="http://www.sec.gov/Archives/edgar/data/1459839/000145983921000003/exh101_amendmenttoceooffer.htm" TargetMode="External"/><Relationship Id="rId147" Type="http://schemas.openxmlformats.org/officeDocument/2006/relationships/hyperlink" Target="https://www.sec.gov/Archives/edgar/data/1459839/000145983921000012/exh10222020-12proposedrevi.htm" TargetMode="External"/><Relationship Id="rId148" Type="http://schemas.openxmlformats.org/officeDocument/2006/relationships/hyperlink" Target="http://www.sec.gov/Archives/edgar/data/1459839/000145983920000074/sibn-ex101loanandsecur.htm" TargetMode="External"/><Relationship Id="rId149" Type="http://schemas.openxmlformats.org/officeDocument/2006/relationships/hyperlink" Target="https://www.sec.gov/Archives/edgar/data/0001459839/000145983921000012/exhibit1024severancebenefi.htm" TargetMode="External"/><Relationship Id="rId150" Type="http://schemas.openxmlformats.org/officeDocument/2006/relationships/hyperlink" Target="https://www.sec.gov/Archives/edgar/data/0001459839/000145983921000045/lohhelen-sibnboardofferlet.htm" TargetMode="External"/><Relationship Id="rId151" Type="http://schemas.openxmlformats.org/officeDocument/2006/relationships/hyperlink" Target="https://www.sec.gov/Archives/edgar/data/0001459839/000145983921000045/nishimuram-sibnboardofferl.htm" TargetMode="External"/><Relationship Id="rId152" Type="http://schemas.openxmlformats.org/officeDocument/2006/relationships/hyperlink" Target="https://www.sec.gov/Archives/edgar/data/0001459839/000145983921000061/sibn-ex101loanandsecuritya.htm" TargetMode="External"/><Relationship Id="rId153" Type="http://schemas.openxmlformats.org/officeDocument/2006/relationships/hyperlink" Target="https://www.sec.gov/Archives/edgar/data/0001459839/000145983921000061/sibn-ex102secondamendmentt.htm" TargetMode="External"/><Relationship Id="rId154" Type="http://schemas.openxmlformats.org/officeDocument/2006/relationships/hyperlink" Target="https://www.sec.gov/Archives/edgar/data/1459839/000145983921000035/maheshwarianshulcfo4122021.htm" TargetMode="External"/><Relationship Id="rId155" Type="http://schemas.openxmlformats.org/officeDocument/2006/relationships/hyperlink" Target="https://www.sec.gov/Archives/edgar/data/1459839/000145983921000035/amendedandrestatedparticip.htm" TargetMode="External"/><Relationship Id="rId156" Type="http://schemas.openxmlformats.org/officeDocument/2006/relationships/hyperlink" Target="https://www.sec.gov/Archives/edgar/data/1459839/000145983922000006/si-bonexformofp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2022-03-01T15:21:31Z</dcterms:created>
  <dcterms:modified xsi:type="dcterms:W3CDTF">2022-03-01T15:21:31Z</dcterms:modified>
</cp:coreProperties>
</file>