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Date of report (Date of earliest event reported): April 8, 2019</w:t>
      </w:r>
    </w:p>
    <w:p>
      <w:pPr>
        <w:spacing w:after="0" w:line="8"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400" w:type="dxa"/>
            <w:vAlign w:val="bottom"/>
            <w:vMerge w:val="restart"/>
          </w:tcPr>
          <w:p>
            <w:pPr>
              <w:jc w:val="center"/>
              <w:ind w:right="339"/>
              <w:spacing w:after="0"/>
              <w:rPr>
                <w:sz w:val="20"/>
                <w:szCs w:val="20"/>
                <w:color w:val="auto"/>
              </w:rPr>
            </w:pPr>
            <w:r>
              <w:rPr>
                <w:rFonts w:ascii="Arial" w:cs="Arial" w:eastAsia="Arial" w:hAnsi="Arial"/>
                <w:sz w:val="16"/>
                <w:szCs w:val="16"/>
                <w:b w:val="1"/>
                <w:bCs w:val="1"/>
                <w:color w:val="auto"/>
                <w:w w:val="93"/>
              </w:rPr>
              <w:t>Delaware</w:t>
            </w:r>
          </w:p>
        </w:tc>
        <w:tc>
          <w:tcPr>
            <w:tcW w:w="52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1"/>
              </w:rPr>
              <w:t>001-38701</w:t>
            </w: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26-2216351</w:t>
            </w: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52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400" w:type="dxa"/>
            <w:vAlign w:val="bottom"/>
          </w:tcPr>
          <w:p>
            <w:pPr>
              <w:jc w:val="center"/>
              <w:ind w:right="359"/>
              <w:spacing w:after="0"/>
              <w:rPr>
                <w:sz w:val="20"/>
                <w:szCs w:val="20"/>
                <w:color w:val="auto"/>
              </w:rPr>
            </w:pPr>
            <w:r>
              <w:rPr>
                <w:rFonts w:ascii="Arial" w:cs="Arial" w:eastAsia="Arial" w:hAnsi="Arial"/>
                <w:sz w:val="16"/>
                <w:szCs w:val="16"/>
                <w:color w:val="auto"/>
                <w:w w:val="93"/>
              </w:rPr>
              <w:t>(State or other jurisdiction of</w:t>
            </w:r>
          </w:p>
        </w:tc>
        <w:tc>
          <w:tcPr>
            <w:tcW w:w="5260" w:type="dxa"/>
            <w:vAlign w:val="bottom"/>
          </w:tcPr>
          <w:p>
            <w:pPr>
              <w:jc w:val="center"/>
              <w:ind w:right="119"/>
              <w:spacing w:after="0"/>
              <w:rPr>
                <w:sz w:val="20"/>
                <w:szCs w:val="20"/>
                <w:color w:val="auto"/>
              </w:rPr>
            </w:pPr>
            <w:r>
              <w:rPr>
                <w:rFonts w:ascii="Arial" w:cs="Arial" w:eastAsia="Arial" w:hAnsi="Arial"/>
                <w:sz w:val="16"/>
                <w:szCs w:val="16"/>
                <w:color w:val="auto"/>
                <w:w w:val="92"/>
              </w:rPr>
              <w:t>(Commission</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2400" w:type="dxa"/>
            <w:vAlign w:val="bottom"/>
          </w:tcPr>
          <w:p>
            <w:pPr>
              <w:jc w:val="center"/>
              <w:ind w:right="359"/>
              <w:spacing w:after="0"/>
              <w:rPr>
                <w:sz w:val="20"/>
                <w:szCs w:val="20"/>
                <w:color w:val="auto"/>
              </w:rPr>
            </w:pPr>
            <w:r>
              <w:rPr>
                <w:rFonts w:ascii="Arial" w:cs="Arial" w:eastAsia="Arial" w:hAnsi="Arial"/>
                <w:sz w:val="16"/>
                <w:szCs w:val="16"/>
                <w:color w:val="auto"/>
                <w:w w:val="94"/>
              </w:rPr>
              <w:t>incorporation or organization)</w:t>
            </w:r>
          </w:p>
        </w:tc>
        <w:tc>
          <w:tcPr>
            <w:tcW w:w="5260" w:type="dxa"/>
            <w:vAlign w:val="bottom"/>
          </w:tcPr>
          <w:p>
            <w:pPr>
              <w:jc w:val="center"/>
              <w:ind w:right="139"/>
              <w:spacing w:after="0"/>
              <w:rPr>
                <w:sz w:val="20"/>
                <w:szCs w:val="20"/>
                <w:color w:val="auto"/>
              </w:rPr>
            </w:pPr>
            <w:r>
              <w:rPr>
                <w:rFonts w:ascii="Arial" w:cs="Arial" w:eastAsia="Arial" w:hAnsi="Arial"/>
                <w:sz w:val="16"/>
                <w:szCs w:val="16"/>
                <w:color w:val="auto"/>
                <w:w w:val="95"/>
              </w:rPr>
              <w:t>File Number)</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397"/>
        </w:trPr>
        <w:tc>
          <w:tcPr>
            <w:tcW w:w="2400" w:type="dxa"/>
            <w:vAlign w:val="bottom"/>
          </w:tcPr>
          <w:p>
            <w:pPr>
              <w:spacing w:after="0"/>
              <w:rPr>
                <w:sz w:val="24"/>
                <w:szCs w:val="24"/>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Suite 101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Santa Clara, CA 95050</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 (Zip Code)</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400" w:type="dxa"/>
            <w:vAlign w:val="bottom"/>
          </w:tcPr>
          <w:p>
            <w:pPr>
              <w:spacing w:after="0"/>
              <w:rPr>
                <w:sz w:val="24"/>
                <w:szCs w:val="24"/>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400" w:type="dxa"/>
            <w:vAlign w:val="bottom"/>
          </w:tcPr>
          <w:p>
            <w:pPr>
              <w:spacing w:after="0"/>
              <w:rPr>
                <w:sz w:val="24"/>
                <w:szCs w:val="24"/>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rPr>
              <w:t>N/A</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ind w:left="660"/>
        <w:spacing w:after="0" w:line="184" w:lineRule="exact"/>
        <w:tabs>
          <w:tab w:leader="none" w:pos="26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306" w:right="29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8, 2019, Mark Reiley, M.D. and David Bonita, M.D. each notified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SI-BONE, Inc.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their decision to not stand for re-election at the Company’s 2019 annual meeting of stockholders scheduled for June 13, 2019 (the “</w:t>
      </w:r>
      <w:r>
        <w:rPr>
          <w:rFonts w:ascii="Arial" w:cs="Arial" w:eastAsia="Arial" w:hAnsi="Arial"/>
          <w:sz w:val="16"/>
          <w:szCs w:val="16"/>
          <w:b w:val="1"/>
          <w:bCs w:val="1"/>
          <w:i w:val="1"/>
          <w:iCs w:val="1"/>
          <w:color w:val="auto"/>
        </w:rPr>
        <w:t>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Meeting</w:t>
      </w:r>
      <w:r>
        <w:rPr>
          <w:rFonts w:ascii="Arial" w:cs="Arial" w:eastAsia="Arial" w:hAnsi="Arial"/>
          <w:sz w:val="16"/>
          <w:szCs w:val="16"/>
          <w:color w:val="auto"/>
        </w:rPr>
        <w:t>”). Accordingly, Dr. Reiley and Dr. Bonita will cease to be directors of the Company following the Annual Meeting. Dr. Reiley’s and Dr. Bonita’s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decisions to not stand for re-election were not the result of any disagreement with the Company or management.</w:t>
      </w:r>
    </w:p>
    <w:p>
      <w:pPr>
        <w:sectPr>
          <w:pgSz w:w="11900" w:h="16838" w:orient="portrait"/>
          <w:cols w:equalWidth="0" w:num="1">
            <w:col w:w="11200"/>
          </w:cols>
          <w:pgMar w:left="240" w:top="364"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April 11, 2019</w:t>
      </w:r>
    </w:p>
    <w:p>
      <w:pPr>
        <w:spacing w:after="0" w:line="333" w:lineRule="exact"/>
        <w:rPr>
          <w:sz w:val="20"/>
          <w:szCs w:val="20"/>
          <w:color w:val="auto"/>
        </w:rPr>
      </w:pPr>
    </w:p>
    <w:p>
      <w:pPr>
        <w:ind w:left="500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40640</wp:posOffset>
            </wp:positionV>
            <wp:extent cx="3447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59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2019-12-03T13:29:57Z</dcterms:created>
  <dcterms:modified xsi:type="dcterms:W3CDTF">2019-12-03T13:29:57Z</dcterms:modified>
</cp:coreProperties>
</file>