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Santa Clara, California 95050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15,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IA</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MAIL AND</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tab/>
        <w:t>Ms. Amanda Ravitz, Assistant Director</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Mr. Thomas Jones, Attorney Advisor</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Mr. Kevin Kuhar, Staff Accountant</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SI-BONE,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333-227445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60" w:firstLine="441"/>
        <w:spacing w:after="0" w:line="302" w:lineRule="auto"/>
        <w:rPr>
          <w:sz w:val="20"/>
          <w:szCs w:val="20"/>
          <w:color w:val="auto"/>
        </w:rPr>
      </w:pPr>
      <w:r>
        <w:rPr>
          <w:rFonts w:ascii="Arial" w:cs="Arial" w:eastAsia="Arial" w:hAnsi="Arial"/>
          <w:sz w:val="16"/>
          <w:szCs w:val="16"/>
          <w:color w:val="auto"/>
        </w:rPr>
        <w:t>SI-BONE,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requests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cause the above-referenced Registration Statement on Form S-1 to become effective on October 16, 2018, at 4:00 p.m., Eastern Time, or as soon thereafter as is practicable or at such later time as the Registrant may orally request via telephone call to the staff of the Commission. The Registrant hereby authorizes each of John McKenna and Kate Nichols of Cooley LLP, counsel to the Registrant, to make such request on its behalf.</w:t>
      </w:r>
    </w:p>
    <w:p>
      <w:pPr>
        <w:spacing w:after="0" w:line="154"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John McKenna of Cooley LLP, counsel to the Registrant, at (650) 843-5059, or in his absence, Kate Nichols at (650) 843-5877.</w:t>
      </w:r>
    </w:p>
    <w:p>
      <w:pPr>
        <w:spacing w:after="0" w:line="16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840"/>
          </w:cols>
          <w:pgMar w:left="440" w:top="229" w:right="619" w:bottom="1440" w:gutter="0" w:footer="0" w:header="0"/>
        </w:sectPr>
      </w:pPr>
    </w:p>
    <w:bookmarkStart w:id="1" w:name="page2"/>
    <w:bookmarkEnd w:id="1"/>
    <w:p>
      <w:pPr>
        <w:ind w:left="661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1" w:lineRule="exact"/>
        <w:rPr>
          <w:sz w:val="20"/>
          <w:szCs w:val="20"/>
          <w:color w:val="auto"/>
        </w:rPr>
      </w:pPr>
    </w:p>
    <w:p>
      <w:pPr>
        <w:ind w:left="6616"/>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16"/>
        <w:spacing w:after="0"/>
        <w:tabs>
          <w:tab w:leader="none" w:pos="7176"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14605</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16"/>
        <w:spacing w:after="0"/>
        <w:rPr>
          <w:sz w:val="20"/>
          <w:szCs w:val="20"/>
          <w:color w:val="auto"/>
        </w:rPr>
      </w:pPr>
      <w:r>
        <w:rPr>
          <w:rFonts w:ascii="Arial" w:cs="Arial" w:eastAsia="Arial" w:hAnsi="Arial"/>
          <w:sz w:val="18"/>
          <w:szCs w:val="18"/>
          <w:color w:val="auto"/>
        </w:rPr>
        <w:t>Name: Jeffrey W. Dunn</w:t>
      </w:r>
    </w:p>
    <w:p>
      <w:pPr>
        <w:spacing w:after="0" w:line="23" w:lineRule="exact"/>
        <w:rPr>
          <w:sz w:val="20"/>
          <w:szCs w:val="20"/>
          <w:color w:val="auto"/>
        </w:rPr>
      </w:pPr>
    </w:p>
    <w:p>
      <w:pPr>
        <w:ind w:left="6616"/>
        <w:spacing w:after="0"/>
        <w:tabs>
          <w:tab w:leader="none" w:pos="7176" w:val="left"/>
        </w:tabs>
        <w:rPr>
          <w:sz w:val="20"/>
          <w:szCs w:val="20"/>
          <w:color w:val="auto"/>
        </w:rPr>
      </w:pPr>
      <w:r>
        <w:rPr>
          <w:rFonts w:ascii="Arial" w:cs="Arial" w:eastAsia="Arial" w:hAnsi="Arial"/>
          <w:sz w:val="16"/>
          <w:szCs w:val="16"/>
          <w:color w:val="auto"/>
        </w:rPr>
        <w:t>Title:</w:t>
        <w:tab/>
        <w:t>President and Chief Executive Officer</w:t>
      </w:r>
    </w:p>
    <w:p>
      <w:pPr>
        <w:spacing w:after="0" w:line="261" w:lineRule="exact"/>
        <w:rPr>
          <w:sz w:val="20"/>
          <w:szCs w:val="20"/>
          <w:color w:val="auto"/>
        </w:rPr>
      </w:pPr>
    </w:p>
    <w:p>
      <w:pPr>
        <w:ind w:left="536" w:right="6799" w:hanging="536"/>
        <w:spacing w:after="0" w:line="269" w:lineRule="auto"/>
        <w:tabs>
          <w:tab w:leader="none" w:pos="536" w:val="left"/>
        </w:tabs>
        <w:numPr>
          <w:ilvl w:val="0"/>
          <w:numId w:val="1"/>
        </w:numPr>
        <w:rPr>
          <w:rFonts w:ascii="Arial" w:cs="Arial" w:eastAsia="Arial" w:hAnsi="Arial"/>
          <w:sz w:val="17"/>
          <w:szCs w:val="17"/>
          <w:color w:val="auto"/>
        </w:rPr>
      </w:pPr>
      <w:r>
        <w:rPr>
          <w:rFonts w:ascii="Arial" w:cs="Arial" w:eastAsia="Arial" w:hAnsi="Arial"/>
          <w:sz w:val="17"/>
          <w:szCs w:val="17"/>
          <w:color w:val="auto"/>
        </w:rPr>
        <w:t>Jeffrey W. Dunn, SI-BONE, Inc. Michael A. Pisetsky, SI-BONE, Inc. Matthew B. Hemington, Cooley LLP John T. McKenna, Cooley LLP</w:t>
      </w:r>
    </w:p>
    <w:p>
      <w:pPr>
        <w:spacing w:after="0" w:line="2" w:lineRule="exact"/>
        <w:rPr>
          <w:rFonts w:ascii="Arial" w:cs="Arial" w:eastAsia="Arial" w:hAnsi="Arial"/>
          <w:sz w:val="17"/>
          <w:szCs w:val="17"/>
          <w:color w:val="auto"/>
        </w:rPr>
      </w:pPr>
    </w:p>
    <w:p>
      <w:pPr>
        <w:ind w:left="536" w:right="6319"/>
        <w:spacing w:after="0" w:line="323" w:lineRule="auto"/>
        <w:rPr>
          <w:rFonts w:ascii="Arial" w:cs="Arial" w:eastAsia="Arial" w:hAnsi="Arial"/>
          <w:sz w:val="17"/>
          <w:szCs w:val="17"/>
          <w:color w:val="auto"/>
        </w:rPr>
      </w:pPr>
      <w:r>
        <w:rPr>
          <w:rFonts w:ascii="Arial" w:cs="Arial" w:eastAsia="Arial" w:hAnsi="Arial"/>
          <w:sz w:val="16"/>
          <w:szCs w:val="16"/>
          <w:color w:val="auto"/>
        </w:rPr>
        <w:t>Michael Benjamin, Latham &amp; Watkins LLP Peter J. Sluka, Latham &amp; Watkins LLP</w:t>
      </w:r>
    </w:p>
    <w:p>
      <w:pPr>
        <w:spacing w:after="0" w:line="71" w:lineRule="exact"/>
        <w:rPr>
          <w:sz w:val="20"/>
          <w:szCs w:val="20"/>
          <w:color w:val="auto"/>
        </w:rPr>
      </w:pPr>
    </w:p>
    <w:p>
      <w:pPr>
        <w:ind w:left="3316"/>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OMPANY</w:t>
      </w:r>
      <w:r>
        <w:rPr>
          <w:rFonts w:ascii="Arial" w:cs="Arial" w:eastAsia="Arial" w:hAnsi="Arial"/>
          <w:sz w:val="18"/>
          <w:szCs w:val="18"/>
          <w:color w:val="auto"/>
        </w:rPr>
        <w:t xml:space="preserve"> 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CCELERATION</w:t>
      </w:r>
      <w:r>
        <w:rPr>
          <w:rFonts w:ascii="Arial" w:cs="Arial" w:eastAsia="Arial" w:hAnsi="Arial"/>
          <w:sz w:val="18"/>
          <w:szCs w:val="18"/>
          <w:color w:val="auto"/>
        </w:rPr>
        <w:t xml:space="preserve"> R</w:t>
      </w:r>
      <w:r>
        <w:rPr>
          <w:rFonts w:ascii="Arial" w:cs="Arial" w:eastAsia="Arial" w:hAnsi="Arial"/>
          <w:sz w:val="15"/>
          <w:szCs w:val="15"/>
          <w:color w:val="auto"/>
        </w:rPr>
        <w:t>EQUEST</w:t>
      </w:r>
      <w:r>
        <w:rPr>
          <w:rFonts w:ascii="Arial" w:cs="Arial" w:eastAsia="Arial" w:hAnsi="Arial"/>
          <w:sz w:val="18"/>
          <w:szCs w:val="18"/>
          <w:color w:val="auto"/>
        </w:rPr>
        <w:t>]</w:t>
      </w:r>
    </w:p>
    <w:sectPr>
      <w:pgSz w:w="11900" w:h="16838" w:orient="portrait"/>
      <w:cols w:equalWidth="0" w:num="1">
        <w:col w:w="10015"/>
      </w:cols>
      <w:pgMar w:left="444"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2019-12-07T15:48:22Z</dcterms:created>
  <dcterms:modified xsi:type="dcterms:W3CDTF">2019-12-07T15:48:22Z</dcterms:modified>
</cp:coreProperties>
</file>