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DUNN JEFFREY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CLARA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95050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10/16/2019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1,475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15.821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7"/>
              <w:spacing w:after="0"/>
              <w:rPr>
                <w:sz w:val="20"/>
                <w:szCs w:val="20"/>
                <w:color w:val="auto"/>
              </w:rPr>
            </w:pPr>
            <w:r>
              <w:rPr>
                <w:rFonts w:ascii="Arial" w:cs="Arial" w:eastAsia="Arial" w:hAnsi="Arial"/>
                <w:sz w:val="18"/>
                <w:szCs w:val="18"/>
                <w:color w:val="0000FF"/>
                <w:w w:val="87"/>
              </w:rPr>
              <w:t>98,522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10/18/2019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5,775</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15.5715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92,747</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467,540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71,997 shares issuable on settlement of restricted stock units granted to the Reporting Person. Each restricted stock unit represents a contingent right to receive on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Jeffrey W. Dunn Living Trust Dated May 17,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Jeffrey W. 10/18/2019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76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2019-12-24T08:19:19Z</dcterms:created>
  <dcterms:modified xsi:type="dcterms:W3CDTF">2019-12-24T08:19:19Z</dcterms:modified>
</cp:coreProperties>
</file>