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7, 2022</w:t>
      </w:r>
    </w:p>
    <w:p>
      <w:pPr>
        <w:spacing w:after="0" w:line="26"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207"/>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7"/>
                <w:szCs w:val="17"/>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1308735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7, 2022, SI-BONE, Inc. (the "Company") issued a press release (the “Press Release”) announcing results for the quarter ended September 30, 2022. A copy of the Press Release is attached as Exhibit 99.1 to this current report on Form 8-K and is incorporated by reference herein.</w:t>
      </w:r>
    </w:p>
    <w:p>
      <w:pPr>
        <w:spacing w:after="0" w:line="15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0000FF"/>
              </w:rPr>
              <w:t>Press release dated November 7, 2022</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200"/>
              <w:spacing w:after="0"/>
              <w:rPr>
                <w:sz w:val="20"/>
                <w:szCs w:val="20"/>
                <w:color w:val="auto"/>
              </w:rPr>
            </w:pPr>
            <w:r>
              <w:rPr>
                <w:rFonts w:ascii="Arial" w:cs="Arial" w:eastAsia="Arial" w:hAnsi="Arial"/>
                <w:sz w:val="18"/>
                <w:szCs w:val="18"/>
                <w:color w:val="auto"/>
              </w:rPr>
              <w:t>November 7, 2022</w:t>
            </w:r>
          </w:p>
        </w:tc>
        <w:tc>
          <w:tcPr>
            <w:tcW w:w="1980" w:type="dxa"/>
            <w:vAlign w:val="bottom"/>
          </w:tcPr>
          <w:p>
            <w:pPr>
              <w:ind w:left="12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Financial Results for the Third Quarter 2022 and Updates Guidance</w:t>
      </w:r>
    </w:p>
    <w:p>
      <w:pPr>
        <w:spacing w:after="0" w:line="270" w:lineRule="exact"/>
        <w:rPr>
          <w:sz w:val="20"/>
          <w:szCs w:val="20"/>
          <w:color w:val="auto"/>
        </w:rPr>
      </w:pPr>
    </w:p>
    <w:p>
      <w:pPr>
        <w:spacing w:after="0" w:line="352" w:lineRule="auto"/>
        <w:rPr>
          <w:sz w:val="20"/>
          <w:szCs w:val="20"/>
          <w:color w:val="auto"/>
        </w:rPr>
      </w:pPr>
      <w:r>
        <w:rPr>
          <w:rFonts w:ascii="Arial" w:cs="Arial" w:eastAsia="Arial" w:hAnsi="Arial"/>
          <w:sz w:val="19"/>
          <w:szCs w:val="19"/>
          <w:b w:val="1"/>
          <w:bCs w:val="1"/>
          <w:color w:val="auto"/>
        </w:rPr>
        <w:t xml:space="preserve">SANTA CLARA, Calif. </w:t>
      </w:r>
      <w:r>
        <w:rPr>
          <w:rFonts w:ascii="Arial" w:cs="Arial" w:eastAsia="Arial" w:hAnsi="Arial"/>
          <w:sz w:val="19"/>
          <w:szCs w:val="19"/>
          <w:color w:val="auto"/>
        </w:rPr>
        <w:t>November 7, 2022 - SI-BONE, Inc. (Nasdaq:SIBN), a medical device company dedicated to solving</w:t>
      </w:r>
      <w:r>
        <w:rPr>
          <w:rFonts w:ascii="Arial" w:cs="Arial" w:eastAsia="Arial" w:hAnsi="Arial"/>
          <w:sz w:val="19"/>
          <w:szCs w:val="19"/>
          <w:b w:val="1"/>
          <w:bCs w:val="1"/>
          <w:color w:val="auto"/>
        </w:rPr>
        <w:t xml:space="preserve"> </w:t>
      </w:r>
      <w:r>
        <w:rPr>
          <w:rFonts w:ascii="Arial" w:cs="Arial" w:eastAsia="Arial" w:hAnsi="Arial"/>
          <w:sz w:val="19"/>
          <w:szCs w:val="19"/>
          <w:color w:val="auto"/>
        </w:rPr>
        <w:t>musculoskeletal disorders of the sacropelvic anatomy, today reported financial results for the quarter ended September 30, 2022.</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20" w:right="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worldwide revenue of $26.4 million for the third quarter 2022, representing approximately 19% increase over the corresponding period in 2021</w:t>
      </w:r>
    </w:p>
    <w:p>
      <w:pPr>
        <w:spacing w:after="0" w:line="1"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U.S. revenue of $24.6 million for the third quarter 2022, representing approximately 21% increase over the corresponding period in 2021</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84% for the third quarter 2022</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 800 U.S. active surgeons in the third quarter, representing approximately 27% growth over the corresponding period in 2021</w:t>
      </w:r>
    </w:p>
    <w:p>
      <w:pPr>
        <w:spacing w:after="0" w:line="90" w:lineRule="exact"/>
        <w:rPr>
          <w:rFonts w:ascii="Arial" w:cs="Arial" w:eastAsia="Arial" w:hAnsi="Arial"/>
          <w:sz w:val="18"/>
          <w:szCs w:val="18"/>
          <w:color w:val="auto"/>
        </w:rPr>
      </w:pPr>
    </w:p>
    <w:p>
      <w:pPr>
        <w:ind w:left="420" w:hanging="412"/>
        <w:spacing w:after="0" w:line="270"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FDA clearance for iFuse-TORQ® to include the Bedrock approach, allowing the promotion of iFuse-TORQ to complement iFuse-Bedrock Granite</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as a second point of fixation in the Sacro-Alar-Iliac trajectory</w:t>
      </w:r>
    </w:p>
    <w:p>
      <w:pPr>
        <w:ind w:left="420" w:hanging="412"/>
        <w:spacing w:after="0" w:line="287"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Enrolled first patient in SAFFRON, a prospective randomized clinical trial of surgery using iFuse-TORQ versus non-surgical management in patients with stable but debilitating sacral insufficiency fractures</w:t>
      </w: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CMS final rule increases 2023 Medicare facility fee by approximately 26% and 33% for MIS SI joint fusion procedures performed in ASCs and hospital outpatient departments, respectively</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Surpassed 75,000 procedures performed by nearly 3,000 surgeons worldwide</w:t>
      </w:r>
    </w:p>
    <w:p>
      <w:pPr>
        <w:spacing w:after="0" w:line="5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“We are encouraged by the continuing top-line acceleration in our business and the increasing operating leverage we were able to generate in the quarter,” said Laura Francis, Chief Executive Officer of SI-BONE. “With a record U.S. active surgeon base and growing surgeon enthusiasm for iFuse-Bedrock Granite, I am energized about the long-term potential for the business. As we look beyond 2022, we remain confident that our seasoned U.S. sales force, combined with favorable reimbursement tailwinds and our best-in-class portfolio positions us to drive growth while increasing operational efficiency and sales force productivity.”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Results</w:t>
      </w:r>
    </w:p>
    <w:p>
      <w:pPr>
        <w:spacing w:after="0" w:line="289"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Worldwide revenue was $26.4 million in the third quarter 2022, a 19% increase from $22.3 million in the corresponding period in 2021. U.S. revenue for the third quarter 2022 was $24.6 million, a 21% increase from $20.4 million in the corresponding period in 2021. International revenue for the third quarter 2022 was $1.8 million, a 5% decrease from $1.9 million in the corresponding period in 2021 predominantly driven by headwinds in Germany and the United Kingdom and further foreign exchange weakness.</w:t>
      </w:r>
    </w:p>
    <w:p>
      <w:pPr>
        <w:spacing w:after="0" w:line="201"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Gross margin was 84% for the third quarter 2022, as compared to 89% in the corresponding period in 2021. Gross margin in the third quarter 2022 was impacted by lower average selling prices due to procedure, product mix, and site of service mix as well as higher freight. Gross margin also includes the impact of higher costs of the newly</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launched implants and higher depreciation from the new product instrument trays to support the growth of the business.</w:t>
      </w:r>
    </w:p>
    <w:p>
      <w:pPr>
        <w:spacing w:after="0" w:line="297"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Operating expenses increased 9% to $35.8 million in the third quarter 2022, as compared to $33.0 million in the corresponding period in 2021. The increase was driven by higher headcount, increase in sales commission and stock-based compensation, increase in travel and freight costs, and research and development investment.</w:t>
      </w:r>
    </w:p>
    <w:p>
      <w:pPr>
        <w:spacing w:after="0" w:line="214" w:lineRule="exact"/>
        <w:rPr>
          <w:sz w:val="20"/>
          <w:szCs w:val="20"/>
          <w:color w:val="auto"/>
        </w:rPr>
      </w:pPr>
    </w:p>
    <w:p>
      <w:pPr>
        <w:jc w:val="both"/>
        <w:ind w:right="20"/>
        <w:spacing w:after="0" w:line="331" w:lineRule="auto"/>
        <w:rPr>
          <w:sz w:val="20"/>
          <w:szCs w:val="20"/>
          <w:color w:val="auto"/>
        </w:rPr>
      </w:pPr>
      <w:r>
        <w:rPr>
          <w:rFonts w:ascii="Arial" w:cs="Arial" w:eastAsia="Arial" w:hAnsi="Arial"/>
          <w:sz w:val="20"/>
          <w:szCs w:val="20"/>
          <w:color w:val="auto"/>
        </w:rPr>
        <w:t>Operating loss was $13.6 million in the third quarter 2022, as compared to an operating loss of $13.2 million in the corresponding period in 2021.</w:t>
      </w:r>
    </w:p>
    <w:p>
      <w:pPr>
        <w:spacing w:after="0" w:line="18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$14.2 million, or $0.41 per diluted share for the third quarter 2022, as compared to a net loss of $15.9 million, or $0.48 per diluted share in the corresponding period in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$104.1 million and borrowings were $35.1 million as of September 30, 2022.</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Updated Financial Guidance</w:t>
      </w:r>
    </w:p>
    <w:p>
      <w:pPr>
        <w:spacing w:after="0" w:line="316"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The Company expects 2022 worldwide revenue to be in the range of $104 million to $105 million, implying growth of approximately 16% to 17%. The annual revenue guidance implies fourth quarter 2022 worldwide revenue between $29.5 million and $30.5 million, reflecting growth of approximately 17% to 21% over the prior year period.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Information</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SI-BONE will host a conference call to discuss the third quarter 2022 financial results after market close on Monday, November 7, 2022 at 4:30 P.M. Eastern Time. The conference call can be accessed live over webcast at https://edge.media-server.com/mmc/p/cax4w498. Live audio of the webcast will be available on the “Investors” section of the company’s website at: www.si-bone.com. The webcast will be archived and available for replay for at least 90 days after the event.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03"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SI-BONE (NASDAQ: SIBN) is a global leader in technology for surgical treatment of musculoskeletal disorders of the sacropelvic anatomy. Since 2009, when SI-BONE introduced the iFuse Implant System for minimally invasive surgery of the SI joint, nearly 3,000 surgeons have performed a combined total of more than 75,000 SI joint fusion procedures. A unique body of evidence, supporting the iFuse Implant System, including two randomized controlled trials and over 100 peer reviewed publications, has enabled multiple government and private insurance payors to establish near-universal coverage of minimally invasive SI joint fusion, including many payors that cover the procedure exclusively when performed with the iFuse Implant System. Supported by this proprietary reimbursement advantage, SI-BONE has actively leveraged its market leadership position in recent years to further clinical research, and evolve and commercialize novel surgical treatment solutions for SI-Joint pain, sacropelvic and pelvic fixation, and pelvic trauma.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SI-BONE, iFuse Implant System and iFuse-TORQ are registered trademarks of SI-BONE, Inc. ©2022 SI-BONE, Inc. All Rights Reserved.</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80" w:lineRule="auto"/>
        <w:rPr>
          <w:sz w:val="20"/>
          <w:szCs w:val="20"/>
          <w:color w:val="auto"/>
        </w:rPr>
      </w:pPr>
      <w:r>
        <w:rPr>
          <w:rFonts w:ascii="Arial" w:cs="Arial" w:eastAsia="Arial" w:hAnsi="Arial"/>
          <w:sz w:val="16"/>
          <w:szCs w:val="16"/>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future fluctuations in currency exchange rates on SI-BONE's revenues, SI-BONE's ability to manage risks to its supply chain, future capital requirements driven by new surgical systems requiring instrument tray investment, and the future impact the COVID-19 pandemic will have on the ability and desire of patients and physicians to undergo procedures using the iFuse Implant System.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Marissa Bych</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11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560" w:type="dxa"/>
            <w:vAlign w:val="bottom"/>
            <w:gridSpan w:val="4"/>
            <w:vMerge w:val="restart"/>
          </w:tcPr>
          <w:p>
            <w:pPr>
              <w:jc w:val="right"/>
              <w:ind w:right="70"/>
              <w:spacing w:after="0"/>
              <w:rPr>
                <w:sz w:val="20"/>
                <w:szCs w:val="20"/>
                <w:color w:val="auto"/>
              </w:rPr>
            </w:pPr>
            <w:r>
              <w:rPr>
                <w:rFonts w:ascii="Arial" w:cs="Arial" w:eastAsia="Arial" w:hAnsi="Arial"/>
                <w:sz w:val="16"/>
                <w:szCs w:val="16"/>
                <w:b w:val="1"/>
                <w:bCs w:val="1"/>
                <w:color w:val="auto"/>
                <w:w w:val="90"/>
              </w:rPr>
              <w:t>Nine months ended September 30,</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w:t>
            </w:r>
          </w:p>
        </w:tc>
        <w:tc>
          <w:tcPr>
            <w:tcW w:w="0" w:type="dxa"/>
            <w:vAlign w:val="bottom"/>
          </w:tcPr>
          <w:p>
            <w:pPr>
              <w:spacing w:after="0"/>
              <w:rPr>
                <w:sz w:val="1"/>
                <w:szCs w:val="1"/>
                <w:color w:val="auto"/>
              </w:rPr>
            </w:pPr>
          </w:p>
        </w:tc>
      </w:tr>
      <w:tr>
        <w:trPr>
          <w:trHeight w:val="209"/>
        </w:trPr>
        <w:tc>
          <w:tcPr>
            <w:tcW w:w="57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67,531</w:t>
            </w: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(50,081)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(42,095)</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34,356,850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33,340,093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34,069,357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33,005,904</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6"/>
                <w:szCs w:val="16"/>
                <w:b w:val="1"/>
                <w:bCs w:val="1"/>
                <w:color w:val="auto"/>
                <w:w w:val="90"/>
              </w:rPr>
              <w:t>December 31, 2021</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83,560</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11,498</w:t>
            </w: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139,180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175,866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158,265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Current portion of long-term borrowings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16,890</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4,166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56,086</w:t>
            </w:r>
          </w:p>
        </w:tc>
      </w:tr>
      <w:tr>
        <w:trPr>
          <w:trHeight w:val="250"/>
        </w:trPr>
        <w:tc>
          <w:tcPr>
            <w:tcW w:w="7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429,917</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(345,930)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(295,849)</w:t>
            </w:r>
          </w:p>
        </w:tc>
      </w:tr>
      <w:tr>
        <w:trPr>
          <w:trHeight w:val="223"/>
        </w:trPr>
        <w:tc>
          <w:tcPr>
            <w:tcW w:w="7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134,420</w:t>
            </w:r>
          </w:p>
        </w:tc>
      </w:tr>
      <w:tr>
        <w:trPr>
          <w:trHeight w:val="248"/>
        </w:trPr>
        <w:tc>
          <w:tcPr>
            <w:tcW w:w="7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60"/>
      </w:cols>
      <w:pgMar w:left="8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2022-11-07T15:34:13Z</dcterms:created>
  <dcterms:modified xsi:type="dcterms:W3CDTF">2022-11-07T15:34:13Z</dcterms:modified>
</cp:coreProperties>
</file>