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No.__)</w:t>
      </w:r>
    </w:p>
    <w:p>
      <w:pPr>
        <w:spacing w:after="0" w:line="219" w:lineRule="exact"/>
        <w:rPr>
          <w:sz w:val="24"/>
          <w:szCs w:val="24"/>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right="5200" w:firstLine="8"/>
        <w:spacing w:after="0" w:line="230" w:lineRule="exact"/>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203835</wp:posOffset>
            </wp:positionV>
            <wp:extent cx="23926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177165</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2" w:lineRule="exact"/>
        <w:rPr>
          <w:sz w:val="24"/>
          <w:szCs w:val="24"/>
          <w:color w:val="auto"/>
        </w:rPr>
      </w:pPr>
    </w:p>
    <w:p>
      <w:pPr>
        <w:ind w:right="5600" w:firstLine="8"/>
        <w:spacing w:after="0" w:line="533" w:lineRule="auto"/>
        <w:tabs>
          <w:tab w:leader="none" w:pos="34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2540</wp:posOffset>
            </wp:positionV>
            <wp:extent cx="7186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177800</wp:posOffset>
            </wp:positionV>
            <wp:extent cx="7186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381" w:lineRule="exact"/>
        <w:rPr>
          <w:sz w:val="24"/>
          <w:szCs w:val="24"/>
          <w:color w:val="auto"/>
        </w:rPr>
      </w:pPr>
    </w:p>
    <w:p>
      <w:pPr>
        <w:spacing w:after="0" w:line="293" w:lineRule="auto"/>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133985</wp:posOffset>
            </wp:positionV>
            <wp:extent cx="7186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177800</wp:posOffset>
            </wp:positionV>
            <wp:extent cx="7186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177800</wp:posOffset>
            </wp:positionV>
            <wp:extent cx="7186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381"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 w:lineRule="exact"/>
        <w:rPr>
          <w:rFonts w:ascii="MS PGothic" w:cs="MS PGothic" w:eastAsia="MS PGothic" w:hAnsi="MS PGothic"/>
          <w:sz w:val="18"/>
          <w:szCs w:val="18"/>
          <w:color w:val="auto"/>
        </w:rPr>
      </w:pPr>
    </w:p>
    <w:p>
      <w:pPr>
        <w:ind w:right="20" w:firstLine="8"/>
        <w:spacing w:after="0" w:line="274" w:lineRule="auto"/>
        <w:tabs>
          <w:tab w:leader="none" w:pos="41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177800</wp:posOffset>
            </wp:positionV>
            <wp:extent cx="7186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177800</wp:posOffset>
            </wp:positionV>
            <wp:extent cx="7186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177800</wp:posOffset>
            </wp:positionV>
            <wp:extent cx="71862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177800</wp:posOffset>
            </wp:positionV>
            <wp:extent cx="71862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 w:name="page2"/>
    <w:bookmarkEnd w:id="1"/>
    <w:p>
      <w:pPr>
        <w:ind w:left="3040"/>
        <w:spacing w:after="0"/>
        <w:rPr>
          <w:sz w:val="20"/>
          <w:szCs w:val="20"/>
          <w:color w:val="auto"/>
        </w:rPr>
      </w:pPr>
      <w:r>
        <w:rPr>
          <w:rFonts w:ascii="Arial" w:cs="Arial" w:eastAsia="Arial" w:hAnsi="Arial"/>
          <w:sz w:val="18"/>
          <w:szCs w:val="18"/>
          <w:b w:val="1"/>
          <w:bCs w:val="1"/>
          <w:color w:val="auto"/>
        </w:rPr>
        <w:t>INVITATION TO 2019 ANNUAL MEETING OF STOCKHOLDERS</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DATE: Thursday, June 13, 2019</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TIME: 10:00 a.m., local time</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PLACE: The Offices of Cooley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3175 Hanover Street, Palo Alto, CA 94304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join me at the Annual Meeting of Stockholders of SI-BONE, Inc. on June 13, 2019. At the annual meeting, we will ask you to:</w:t>
      </w:r>
    </w:p>
    <w:p>
      <w:pPr>
        <w:spacing w:after="0" w:line="225" w:lineRule="exact"/>
        <w:rPr>
          <w:sz w:val="20"/>
          <w:szCs w:val="20"/>
          <w:color w:val="auto"/>
        </w:rPr>
      </w:pPr>
    </w:p>
    <w:p>
      <w:pPr>
        <w:jc w:val="both"/>
        <w:ind w:firstLine="656"/>
        <w:spacing w:after="0" w:line="264" w:lineRule="auto"/>
        <w:tabs>
          <w:tab w:leader="none" w:pos="866"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the Board of Directors’ nominees Timothy E. Davis, Jr., Heyward R. Donigan and Mark J. Foley as directors serving in Class I of the Board of Directors of SI-BONE, each to serve until the next annual meeting in which directors in Class I shall be elected, or until a successor is duly elected and qualified;</w:t>
      </w:r>
    </w:p>
    <w:p>
      <w:pPr>
        <w:spacing w:after="0" w:line="181" w:lineRule="exact"/>
        <w:rPr>
          <w:rFonts w:ascii="Arial" w:cs="Arial" w:eastAsia="Arial" w:hAnsi="Arial"/>
          <w:sz w:val="18"/>
          <w:szCs w:val="18"/>
          <w:color w:val="auto"/>
        </w:rPr>
      </w:pPr>
    </w:p>
    <w:p>
      <w:pPr>
        <w:ind w:firstLine="656"/>
        <w:spacing w:after="0" w:line="277" w:lineRule="auto"/>
        <w:tabs>
          <w:tab w:leader="none" w:pos="936"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selection by the Audit Committee of the Board of Directors of PricewaterhouseCoopers LLP as our independent registered public accounting firm for our fiscal year ending December 31, 2019;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Members of the Board of Directors will also be present.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Whether or not you are able to attend the annual meeting in person, it is important that your shares be represented. We have provided in the accompanying proxy statement instructions on how to vote your shares. Please vote as soon as possible.</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Sincerely yours,</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1878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Jeffrey W. Dunn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471 El Camino Real, Suite 101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Santa Clara, California 95050</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13, 2019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35" w:lineRule="exact"/>
        <w:rPr>
          <w:sz w:val="20"/>
          <w:szCs w:val="20"/>
          <w:color w:val="auto"/>
        </w:rPr>
      </w:pPr>
    </w:p>
    <w:p>
      <w:pPr>
        <w:spacing w:after="0" w:line="329" w:lineRule="auto"/>
        <w:rPr>
          <w:sz w:val="20"/>
          <w:szCs w:val="20"/>
          <w:color w:val="auto"/>
        </w:rPr>
      </w:pPr>
      <w:r>
        <w:rPr>
          <w:rFonts w:ascii="Arial" w:cs="Arial" w:eastAsia="Arial" w:hAnsi="Arial"/>
          <w:sz w:val="17"/>
          <w:szCs w:val="17"/>
          <w:color w:val="auto"/>
        </w:rPr>
        <w:t xml:space="preserve">You are cordially invited to attend the Annual Meeting of Stockholders of </w:t>
      </w:r>
      <w:r>
        <w:rPr>
          <w:rFonts w:ascii="Arial" w:cs="Arial" w:eastAsia="Arial" w:hAnsi="Arial"/>
          <w:sz w:val="17"/>
          <w:szCs w:val="17"/>
          <w:b w:val="1"/>
          <w:bCs w:val="1"/>
          <w:color w:val="auto"/>
        </w:rPr>
        <w:t>SI-BONE, INC.</w:t>
      </w:r>
      <w:r>
        <w:rPr>
          <w:rFonts w:ascii="Arial" w:cs="Arial" w:eastAsia="Arial" w:hAnsi="Arial"/>
          <w:sz w:val="17"/>
          <w:szCs w:val="17"/>
          <w:color w:val="auto"/>
        </w:rPr>
        <w:t>, a Delaware corporation. The meeting will be held on Thursday, June 13, 2019 at 10:00 a.m. local time at the offices of Cooley LLP at 3175 Hanover Street, Palo Alto, CA 94304 for the following purposes:</w:t>
      </w:r>
    </w:p>
    <w:p>
      <w:pPr>
        <w:spacing w:after="0" w:line="143" w:lineRule="exact"/>
        <w:rPr>
          <w:sz w:val="20"/>
          <w:szCs w:val="20"/>
          <w:color w:val="auto"/>
        </w:rPr>
      </w:pPr>
    </w:p>
    <w:p>
      <w:pPr>
        <w:ind w:right="20" w:firstLine="8"/>
        <w:spacing w:after="0" w:line="293" w:lineRule="auto"/>
        <w:tabs>
          <w:tab w:leader="none" w:pos="32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elect the Board of Director’s three nominees for director to serve until the 2022 Annual Meeting of Stockholders or until their successors are elected and qualified.</w:t>
      </w:r>
    </w:p>
    <w:p>
      <w:pPr>
        <w:spacing w:after="0" w:line="169" w:lineRule="exact"/>
        <w:rPr>
          <w:rFonts w:ascii="Arial" w:cs="Arial" w:eastAsia="Arial" w:hAnsi="Arial"/>
          <w:sz w:val="18"/>
          <w:szCs w:val="18"/>
          <w:b w:val="1"/>
          <w:bCs w:val="1"/>
          <w:color w:val="auto"/>
        </w:rPr>
      </w:pPr>
    </w:p>
    <w:p>
      <w:pPr>
        <w:ind w:firstLine="8"/>
        <w:spacing w:after="0" w:line="293" w:lineRule="auto"/>
        <w:tabs>
          <w:tab w:leader="none" w:pos="45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ratify the selection by the Audit Committee of the Board of Directors of PricewaterhouseCoopers LLP as our independent registered public accounting firm for the fiscal year ending December 31, 2019.</w:t>
      </w:r>
    </w:p>
    <w:p>
      <w:pPr>
        <w:spacing w:after="0" w:line="169" w:lineRule="exact"/>
        <w:rPr>
          <w:rFonts w:ascii="Arial" w:cs="Arial" w:eastAsia="Arial" w:hAnsi="Arial"/>
          <w:sz w:val="18"/>
          <w:szCs w:val="18"/>
          <w:b w:val="1"/>
          <w:bCs w:val="1"/>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conduct any other business properly brought before the meeting.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3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record date for the Annual Meeting is April 15, 2019.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168275</wp:posOffset>
            </wp:positionV>
            <wp:extent cx="71862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Stockholders’ Meeting to Be Held on June 13, 2019 at the offices of Cooley LLP at 3175 Hanover Street, Palo Alto, CA 94304.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proxy statement and annual report to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are available at </w:t>
      </w:r>
      <w:r>
        <w:rPr>
          <w:rFonts w:ascii="Arial" w:cs="Arial" w:eastAsia="Arial" w:hAnsi="Arial"/>
          <w:sz w:val="18"/>
          <w:szCs w:val="18"/>
          <w:u w:val="single" w:color="auto"/>
          <w:color w:val="0000EE"/>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17151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Michael A. Pisetsky</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Secretary and General Counsel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30, 2019</w:t>
      </w:r>
    </w:p>
    <w:p>
      <w:pPr>
        <w:spacing w:after="0" w:line="200" w:lineRule="exact"/>
        <w:rPr>
          <w:sz w:val="20"/>
          <w:szCs w:val="20"/>
          <w:color w:val="auto"/>
        </w:rPr>
      </w:pPr>
    </w:p>
    <w:p>
      <w:pPr>
        <w:spacing w:after="0" w:line="3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You are cordially invited to attend the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gridSpan w:val="7"/>
          </w:tcPr>
          <w:p>
            <w:pPr>
              <w:ind w:left="540"/>
              <w:spacing w:after="0"/>
              <w:rPr>
                <w:sz w:val="20"/>
                <w:szCs w:val="20"/>
                <w:color w:val="auto"/>
              </w:rPr>
            </w:pPr>
            <w:r>
              <w:rPr>
                <w:rFonts w:ascii="Arial" w:cs="Arial" w:eastAsia="Arial" w:hAnsi="Arial"/>
                <w:sz w:val="18"/>
                <w:szCs w:val="18"/>
                <w:b w:val="1"/>
                <w:bCs w:val="1"/>
                <w:color w:val="auto"/>
                <w:w w:val="83"/>
              </w:rPr>
              <w:t>Page</w:t>
            </w:r>
          </w:p>
        </w:tc>
      </w:tr>
      <w:tr>
        <w:trPr>
          <w:trHeight w:val="365"/>
        </w:trPr>
        <w:tc>
          <w:tcPr>
            <w:tcW w:w="9640" w:type="dxa"/>
            <w:vAlign w:val="bottom"/>
            <w:gridSpan w:val="3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QUESTIONS AND ANSWERS ABOUT THESE PROXY MATERIALS AND VOTING</w:t>
              </w:r>
            </w:hyperlink>
          </w:p>
        </w:tc>
        <w:tc>
          <w:tcPr>
            <w:tcW w:w="820" w:type="dxa"/>
            <w:vAlign w:val="bottom"/>
            <w:gridSpan w:val="5"/>
          </w:tcPr>
          <w:p>
            <w:pPr>
              <w:jc w:val="center"/>
              <w:ind w:left="5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1</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6480" w:type="dxa"/>
            <w:vAlign w:val="bottom"/>
            <w:tcBorders>
              <w:top w:val="single" w:sz="8" w:color="0000EE"/>
            </w:tcBorders>
            <w:gridSpan w:val="3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PROPOSAL NO. 1 ELECTION OF DIRECTORS</w:t>
              </w:r>
            </w:hyperlink>
          </w:p>
        </w:tc>
        <w:tc>
          <w:tcPr>
            <w:tcW w:w="3160" w:type="dxa"/>
            <w:vAlign w:val="bottom"/>
            <w:gridSpan w:val="4"/>
          </w:tcPr>
          <w:p>
            <w:pPr>
              <w:spacing w:after="0"/>
              <w:rPr>
                <w:sz w:val="21"/>
                <w:szCs w:val="21"/>
                <w:color w:val="auto"/>
              </w:rPr>
            </w:pPr>
          </w:p>
        </w:tc>
        <w:tc>
          <w:tcPr>
            <w:tcW w:w="680" w:type="dxa"/>
            <w:vAlign w:val="bottom"/>
            <w:gridSpan w:val="3"/>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6</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640" w:type="dxa"/>
            <w:vAlign w:val="bottom"/>
            <w:gridSpan w:val="3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INFORMATION REGARDING THE BOARD OF DIRECTORS AND CORPORATE GOVERNANCE</w:t>
              </w:r>
            </w:hyperlink>
          </w:p>
        </w:tc>
        <w:tc>
          <w:tcPr>
            <w:tcW w:w="820" w:type="dxa"/>
            <w:vAlign w:val="bottom"/>
            <w:gridSpan w:val="5"/>
          </w:tcPr>
          <w:p>
            <w:pPr>
              <w:jc w:val="center"/>
              <w:ind w:left="550"/>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9</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560" w:type="dxa"/>
            <w:vAlign w:val="bottom"/>
            <w:tcBorders>
              <w:top w:val="single" w:sz="8" w:color="0000EE"/>
            </w:tcBorders>
          </w:tcPr>
          <w:p>
            <w:pPr>
              <w:spacing w:after="0"/>
              <w:rPr>
                <w:sz w:val="21"/>
                <w:szCs w:val="21"/>
                <w:color w:val="auto"/>
              </w:rPr>
            </w:pPr>
          </w:p>
        </w:tc>
        <w:tc>
          <w:tcPr>
            <w:tcW w:w="6980" w:type="dxa"/>
            <w:vAlign w:val="bottom"/>
            <w:tcBorders>
              <w:top w:val="single" w:sz="8" w:color="0000EE"/>
            </w:tcBorders>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Family Relationships</w:t>
              </w:r>
            </w:hyperlink>
          </w:p>
        </w:tc>
        <w:tc>
          <w:tcPr>
            <w:tcW w:w="2100" w:type="dxa"/>
            <w:vAlign w:val="bottom"/>
            <w:gridSpan w:val="2"/>
          </w:tcPr>
          <w:p>
            <w:pPr>
              <w:spacing w:after="0"/>
              <w:rPr>
                <w:sz w:val="21"/>
                <w:szCs w:val="21"/>
                <w:color w:val="auto"/>
              </w:rPr>
            </w:pPr>
          </w:p>
        </w:tc>
        <w:tc>
          <w:tcPr>
            <w:tcW w:w="680" w:type="dxa"/>
            <w:vAlign w:val="bottom"/>
            <w:gridSpan w:val="3"/>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9</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28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Independence of the Board of Directors</w:t>
              </w:r>
            </w:hyperlink>
          </w:p>
        </w:tc>
        <w:tc>
          <w:tcPr>
            <w:tcW w:w="6220" w:type="dxa"/>
            <w:vAlign w:val="bottom"/>
            <w:gridSpan w:val="16"/>
          </w:tcPr>
          <w:p>
            <w:pPr>
              <w:spacing w:after="0"/>
              <w:rPr>
                <w:sz w:val="21"/>
                <w:szCs w:val="21"/>
                <w:color w:val="auto"/>
              </w:rPr>
            </w:pPr>
          </w:p>
        </w:tc>
        <w:tc>
          <w:tcPr>
            <w:tcW w:w="680" w:type="dxa"/>
            <w:vAlign w:val="bottom"/>
            <w:gridSpan w:val="3"/>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9</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20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Board Leadership Structure</w:t>
              </w:r>
            </w:hyperlink>
          </w:p>
        </w:tc>
        <w:tc>
          <w:tcPr>
            <w:tcW w:w="7080" w:type="dxa"/>
            <w:vAlign w:val="bottom"/>
            <w:gridSpan w:val="26"/>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9080" w:type="dxa"/>
            <w:vAlign w:val="bottom"/>
            <w:gridSpan w:val="3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Role of the Board in Risk Oversight</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r>
      <w:tr>
        <w:trPr>
          <w:trHeight w:val="250"/>
        </w:trPr>
        <w:tc>
          <w:tcPr>
            <w:tcW w:w="560" w:type="dxa"/>
            <w:vAlign w:val="bottom"/>
          </w:tcPr>
          <w:p>
            <w:pPr>
              <w:spacing w:after="0"/>
              <w:rPr>
                <w:sz w:val="21"/>
                <w:szCs w:val="21"/>
                <w:color w:val="auto"/>
              </w:rPr>
            </w:pPr>
          </w:p>
        </w:tc>
        <w:tc>
          <w:tcPr>
            <w:tcW w:w="2600" w:type="dxa"/>
            <w:vAlign w:val="bottom"/>
            <w:tcBorders>
              <w:top w:val="single" w:sz="8" w:color="0000EE"/>
            </w:tcBorders>
            <w:gridSpan w:val="16"/>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Meetings of The Board of Directors</w:t>
              </w:r>
            </w:hyperlink>
          </w:p>
        </w:tc>
        <w:tc>
          <w:tcPr>
            <w:tcW w:w="6480" w:type="dxa"/>
            <w:vAlign w:val="bottom"/>
            <w:gridSpan w:val="20"/>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tcBorders>
            <w:gridSpan w:val="5"/>
          </w:tcPr>
          <w:p>
            <w:pPr>
              <w:jc w:val="center"/>
              <w:ind w:right="2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2580" w:type="dxa"/>
            <w:vAlign w:val="bottom"/>
            <w:tcBorders>
              <w:top w:val="single" w:sz="8" w:color="0000EE"/>
            </w:tcBorders>
            <w:gridSpan w:val="15"/>
          </w:tcPr>
          <w:p>
            <w:pPr>
              <w:spacing w:after="0"/>
              <w:rPr>
                <w:rFonts w:ascii="Arial" w:cs="Arial" w:eastAsia="Arial" w:hAnsi="Arial"/>
                <w:sz w:val="18"/>
                <w:szCs w:val="18"/>
                <w:color w:val="0000EE"/>
                <w:w w:val="97"/>
              </w:rPr>
            </w:pPr>
            <w:hyperlink w:anchor="page15">
              <w:r>
                <w:rPr>
                  <w:rFonts w:ascii="Arial" w:cs="Arial" w:eastAsia="Arial" w:hAnsi="Arial"/>
                  <w:sz w:val="18"/>
                  <w:szCs w:val="18"/>
                  <w:color w:val="0000EE"/>
                  <w:w w:val="97"/>
                </w:rPr>
                <w:t>Board Committees and Meetings</w:t>
              </w:r>
            </w:hyperlink>
          </w:p>
        </w:tc>
        <w:tc>
          <w:tcPr>
            <w:tcW w:w="6500" w:type="dxa"/>
            <w:vAlign w:val="bottom"/>
            <w:gridSpan w:val="21"/>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tcBorders>
            <w:gridSpan w:val="5"/>
          </w:tcPr>
          <w:p>
            <w:pPr>
              <w:jc w:val="center"/>
              <w:ind w:right="2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11</w:t>
              </w:r>
            </w:hyperlink>
          </w:p>
        </w:tc>
        <w:tc>
          <w:tcPr>
            <w:tcW w:w="80" w:type="dxa"/>
            <w:vAlign w:val="bottom"/>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7"/>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Audit Committee</w:t>
              </w:r>
            </w:hyperlink>
          </w:p>
        </w:tc>
        <w:tc>
          <w:tcPr>
            <w:tcW w:w="620" w:type="dxa"/>
            <w:vAlign w:val="bottom"/>
            <w:gridSpan w:val="4"/>
          </w:tcPr>
          <w:p>
            <w:pPr>
              <w:spacing w:after="0"/>
              <w:rPr>
                <w:sz w:val="21"/>
                <w:szCs w:val="21"/>
                <w:color w:val="auto"/>
              </w:rPr>
            </w:pPr>
          </w:p>
        </w:tc>
        <w:tc>
          <w:tcPr>
            <w:tcW w:w="6760" w:type="dxa"/>
            <w:vAlign w:val="bottom"/>
            <w:gridSpan w:val="24"/>
          </w:tcPr>
          <w:p>
            <w:pPr>
              <w:spacing w:after="0"/>
              <w:rPr>
                <w:sz w:val="21"/>
                <w:szCs w:val="21"/>
                <w:color w:val="auto"/>
              </w:rPr>
            </w:pPr>
          </w:p>
        </w:tc>
        <w:tc>
          <w:tcPr>
            <w:tcW w:w="840" w:type="dxa"/>
            <w:vAlign w:val="bottom"/>
            <w:gridSpan w:val="6"/>
          </w:tcPr>
          <w:p>
            <w:pPr>
              <w:jc w:val="center"/>
              <w:ind w:left="53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11</w:t>
              </w:r>
            </w:hyperlink>
          </w:p>
        </w:tc>
        <w:tc>
          <w:tcPr>
            <w:tcW w:w="80" w:type="dxa"/>
            <w:vAlign w:val="bottom"/>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40" w:type="dxa"/>
            <w:vAlign w:val="bottom"/>
            <w:gridSpan w:val="3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Compensation Committee</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12</w:t>
              </w:r>
            </w:hyperlink>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40" w:type="dxa"/>
            <w:vAlign w:val="bottom"/>
            <w:gridSpan w:val="3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Nominating and Corporate Governance Committee</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14</w:t>
              </w:r>
            </w:hyperlink>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9080" w:type="dxa"/>
            <w:vAlign w:val="bottom"/>
            <w:gridSpan w:val="3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Stockholder Communications With The Board Of Directors</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15</w:t>
              </w:r>
            </w:hyperlink>
          </w:p>
        </w:tc>
      </w:tr>
      <w:tr>
        <w:trPr>
          <w:trHeight w:val="250"/>
        </w:trPr>
        <w:tc>
          <w:tcPr>
            <w:tcW w:w="560" w:type="dxa"/>
            <w:vAlign w:val="bottom"/>
          </w:tcPr>
          <w:p>
            <w:pPr>
              <w:spacing w:after="0"/>
              <w:rPr>
                <w:sz w:val="21"/>
                <w:szCs w:val="21"/>
                <w:color w:val="auto"/>
              </w:rPr>
            </w:pPr>
          </w:p>
        </w:tc>
        <w:tc>
          <w:tcPr>
            <w:tcW w:w="4300" w:type="dxa"/>
            <w:vAlign w:val="bottom"/>
            <w:tcBorders>
              <w:top w:val="single" w:sz="8" w:color="0000EE"/>
            </w:tcBorders>
            <w:gridSpan w:val="2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Code of Business Conduct and Ethics</w:t>
              </w:r>
            </w:hyperlink>
          </w:p>
        </w:tc>
        <w:tc>
          <w:tcPr>
            <w:tcW w:w="4780" w:type="dxa"/>
            <w:vAlign w:val="bottom"/>
            <w:gridSpan w:val="8"/>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tcBorders>
            <w:gridSpan w:val="5"/>
          </w:tcPr>
          <w:p>
            <w:pPr>
              <w:jc w:val="center"/>
              <w:ind w:right="2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15</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2720" w:type="dxa"/>
            <w:vAlign w:val="bottom"/>
            <w:tcBorders>
              <w:top w:val="single" w:sz="8" w:color="0000EE"/>
            </w:tcBorders>
            <w:gridSpan w:val="18"/>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Corporate Governance Guidelines</w:t>
              </w:r>
            </w:hyperlink>
          </w:p>
        </w:tc>
        <w:tc>
          <w:tcPr>
            <w:tcW w:w="6360" w:type="dxa"/>
            <w:vAlign w:val="bottom"/>
            <w:gridSpan w:val="18"/>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tcBorders>
            <w:gridSpan w:val="5"/>
          </w:tcPr>
          <w:p>
            <w:pPr>
              <w:jc w:val="center"/>
              <w:ind w:right="2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16</w:t>
              </w:r>
            </w:hyperlink>
          </w:p>
        </w:tc>
        <w:tc>
          <w:tcPr>
            <w:tcW w:w="80" w:type="dxa"/>
            <w:vAlign w:val="bottom"/>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640" w:type="dxa"/>
            <w:vAlign w:val="bottom"/>
            <w:gridSpan w:val="3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PROPOSAL NO. 2 RATIFICATION OF SELECTION OF INDEPENDENT REGISTERED PUBLIC ACCOUNTING FIRM</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16</w:t>
              </w:r>
            </w:hyperlink>
          </w:p>
        </w:tc>
      </w:tr>
      <w:tr>
        <w:trPr>
          <w:trHeight w:val="250"/>
        </w:trPr>
        <w:tc>
          <w:tcPr>
            <w:tcW w:w="560" w:type="dxa"/>
            <w:vAlign w:val="bottom"/>
            <w:tcBorders>
              <w:top w:val="single" w:sz="8" w:color="0000EE"/>
            </w:tcBorders>
          </w:tcPr>
          <w:p>
            <w:pPr>
              <w:spacing w:after="0"/>
              <w:rPr>
                <w:sz w:val="21"/>
                <w:szCs w:val="21"/>
                <w:color w:val="auto"/>
              </w:rPr>
            </w:pPr>
          </w:p>
        </w:tc>
        <w:tc>
          <w:tcPr>
            <w:tcW w:w="8520" w:type="dxa"/>
            <w:vAlign w:val="bottom"/>
            <w:tcBorders>
              <w:top w:val="single" w:sz="8" w:color="0000EE"/>
            </w:tcBorders>
            <w:gridSpan w:val="3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Principal Accountant Fees and Services</w:t>
              </w:r>
            </w:hyperlink>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tcBorders>
            <w:gridSpan w:val="5"/>
          </w:tcPr>
          <w:p>
            <w:pPr>
              <w:jc w:val="center"/>
              <w:ind w:right="2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16</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2860" w:type="dxa"/>
            <w:vAlign w:val="bottom"/>
            <w:tcBorders>
              <w:top w:val="single" w:sz="8" w:color="0000EE"/>
            </w:tcBorders>
            <w:gridSpan w:val="20"/>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Pre-Approval Policies and Procedures</w:t>
              </w:r>
            </w:hyperlink>
          </w:p>
        </w:tc>
        <w:tc>
          <w:tcPr>
            <w:tcW w:w="6220" w:type="dxa"/>
            <w:vAlign w:val="bottom"/>
            <w:gridSpan w:val="16"/>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tcBorders>
            <w:gridSpan w:val="5"/>
          </w:tcPr>
          <w:p>
            <w:pPr>
              <w:jc w:val="center"/>
              <w:ind w:right="2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17</w:t>
              </w:r>
            </w:hyperlink>
          </w:p>
        </w:tc>
        <w:tc>
          <w:tcPr>
            <w:tcW w:w="80" w:type="dxa"/>
            <w:vAlign w:val="bottom"/>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640" w:type="dxa"/>
            <w:vAlign w:val="bottom"/>
            <w:gridSpan w:val="3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SECURITY OWNERSHIP OF CERTAIN BENEFICIAL OWNERS AND MANAGEMENT</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18</w:t>
              </w:r>
            </w:hyperlink>
          </w:p>
        </w:tc>
      </w:tr>
      <w:tr>
        <w:trPr>
          <w:trHeight w:val="250"/>
        </w:trPr>
        <w:tc>
          <w:tcPr>
            <w:tcW w:w="560" w:type="dxa"/>
            <w:vAlign w:val="bottom"/>
            <w:tcBorders>
              <w:top w:val="single" w:sz="8" w:color="0000EE"/>
            </w:tcBorders>
          </w:tcPr>
          <w:p>
            <w:pPr>
              <w:spacing w:after="0"/>
              <w:rPr>
                <w:sz w:val="21"/>
                <w:szCs w:val="21"/>
                <w:color w:val="auto"/>
              </w:rPr>
            </w:pPr>
          </w:p>
        </w:tc>
        <w:tc>
          <w:tcPr>
            <w:tcW w:w="6160" w:type="dxa"/>
            <w:vAlign w:val="bottom"/>
            <w:tcBorders>
              <w:top w:val="single" w:sz="8" w:color="0000EE"/>
            </w:tcBorders>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Section 16(a) Beneficial Ownership Reporting Compliance</w:t>
              </w:r>
            </w:hyperlink>
          </w:p>
        </w:tc>
        <w:tc>
          <w:tcPr>
            <w:tcW w:w="292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tcBorders>
            <w:gridSpan w:val="5"/>
          </w:tcPr>
          <w:p>
            <w:pPr>
              <w:jc w:val="center"/>
              <w:ind w:right="2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80" w:type="dxa"/>
            <w:vAlign w:val="bottom"/>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3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MANAGEMENT</w:t>
              </w:r>
            </w:hyperlink>
          </w:p>
        </w:tc>
        <w:tc>
          <w:tcPr>
            <w:tcW w:w="8340" w:type="dxa"/>
            <w:vAlign w:val="bottom"/>
            <w:gridSpan w:val="33"/>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80" w:type="dxa"/>
            <w:vAlign w:val="bottom"/>
          </w:tcPr>
          <w:p>
            <w:pPr>
              <w:spacing w:after="0"/>
              <w:rPr>
                <w:sz w:val="21"/>
                <w:szCs w:val="21"/>
                <w:color w:val="auto"/>
              </w:rPr>
            </w:pPr>
          </w:p>
        </w:tc>
      </w:tr>
      <w:tr>
        <w:trPr>
          <w:trHeight w:val="250"/>
        </w:trPr>
        <w:tc>
          <w:tcPr>
            <w:tcW w:w="9640" w:type="dxa"/>
            <w:vAlign w:val="bottom"/>
            <w:gridSpan w:val="3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EXECUTIVE COMPENSATION</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Summary Compensation Table</w:t>
              </w:r>
            </w:hyperlink>
          </w:p>
        </w:tc>
        <w:tc>
          <w:tcPr>
            <w:tcW w:w="6840" w:type="dxa"/>
            <w:vAlign w:val="bottom"/>
            <w:gridSpan w:val="25"/>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22</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Outstanding Equity Awards at December 31, 2018</w:t>
              </w:r>
            </w:hyperlink>
          </w:p>
        </w:tc>
        <w:tc>
          <w:tcPr>
            <w:tcW w:w="5440" w:type="dxa"/>
            <w:vAlign w:val="bottom"/>
            <w:gridSpan w:val="12"/>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23</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8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401(k) Plan</w:t>
              </w:r>
            </w:hyperlink>
          </w:p>
        </w:tc>
        <w:tc>
          <w:tcPr>
            <w:tcW w:w="8220" w:type="dxa"/>
            <w:vAlign w:val="bottom"/>
            <w:gridSpan w:val="32"/>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23</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25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Emerging Growth Company Status</w:t>
              </w:r>
            </w:hyperlink>
          </w:p>
        </w:tc>
        <w:tc>
          <w:tcPr>
            <w:tcW w:w="6540" w:type="dxa"/>
            <w:vAlign w:val="bottom"/>
            <w:gridSpan w:val="22"/>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24</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9080" w:type="dxa"/>
            <w:vAlign w:val="bottom"/>
            <w:gridSpan w:val="3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Pension Benefits</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24</w:t>
              </w:r>
            </w:hyperlink>
          </w:p>
        </w:tc>
      </w:tr>
      <w:tr>
        <w:trPr>
          <w:trHeight w:val="20"/>
        </w:trPr>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9080" w:type="dxa"/>
            <w:vAlign w:val="bottom"/>
            <w:gridSpan w:val="3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Nonqualified Deferred Compensation</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24</w:t>
              </w:r>
            </w:hyperlink>
          </w:p>
        </w:tc>
      </w:tr>
      <w:tr>
        <w:trPr>
          <w:trHeight w:val="20"/>
        </w:trPr>
        <w:tc>
          <w:tcPr>
            <w:tcW w:w="5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432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Employment Severance and Change in Control Agreements</w:t>
              </w:r>
            </w:hyperlink>
          </w:p>
        </w:tc>
        <w:tc>
          <w:tcPr>
            <w:tcW w:w="4760" w:type="dxa"/>
            <w:vAlign w:val="bottom"/>
            <w:gridSpan w:val="7"/>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24</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9080" w:type="dxa"/>
            <w:vAlign w:val="bottom"/>
            <w:gridSpan w:val="3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Securities Authorized for Issuance under Equity Compensation Plans</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r>
      <w:tr>
        <w:trPr>
          <w:trHeight w:val="250"/>
        </w:trPr>
        <w:tc>
          <w:tcPr>
            <w:tcW w:w="560" w:type="dxa"/>
            <w:vAlign w:val="bottom"/>
          </w:tcPr>
          <w:p>
            <w:pPr>
              <w:spacing w:after="0"/>
              <w:rPr>
                <w:sz w:val="21"/>
                <w:szCs w:val="21"/>
                <w:color w:val="auto"/>
              </w:rPr>
            </w:pPr>
          </w:p>
        </w:tc>
        <w:tc>
          <w:tcPr>
            <w:tcW w:w="360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Compensation of Non-Employee Board Members</w:t>
              </w:r>
            </w:hyperlink>
          </w:p>
        </w:tc>
        <w:tc>
          <w:tcPr>
            <w:tcW w:w="1380" w:type="dxa"/>
            <w:vAlign w:val="bottom"/>
            <w:tcBorders>
              <w:top w:val="single" w:sz="8" w:color="0000EE"/>
            </w:tcBorders>
            <w:gridSpan w:val="8"/>
          </w:tcPr>
          <w:p>
            <w:pPr>
              <w:spacing w:after="0"/>
              <w:rPr>
                <w:sz w:val="21"/>
                <w:szCs w:val="21"/>
                <w:color w:val="auto"/>
              </w:rPr>
            </w:pPr>
          </w:p>
        </w:tc>
        <w:tc>
          <w:tcPr>
            <w:tcW w:w="410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bottom w:val="single" w:sz="8" w:color="0000EE"/>
            </w:tcBorders>
            <w:gridSpan w:val="5"/>
          </w:tcPr>
          <w:p>
            <w:pPr>
              <w:jc w:val="center"/>
              <w:ind w:right="2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34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Non-Employee Director Compensation Policy</w:t>
              </w:r>
            </w:hyperlink>
          </w:p>
        </w:tc>
        <w:tc>
          <w:tcPr>
            <w:tcW w:w="5740" w:type="dxa"/>
            <w:vAlign w:val="bottom"/>
            <w:gridSpan w:val="14"/>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28</w:t>
              </w:r>
            </w:hyperlink>
          </w:p>
        </w:tc>
        <w:tc>
          <w:tcPr>
            <w:tcW w:w="80" w:type="dxa"/>
            <w:vAlign w:val="bottom"/>
          </w:tcPr>
          <w:p>
            <w:pPr>
              <w:spacing w:after="0"/>
              <w:rPr>
                <w:sz w:val="21"/>
                <w:szCs w:val="21"/>
                <w:color w:val="auto"/>
              </w:rPr>
            </w:pPr>
          </w:p>
        </w:tc>
      </w:tr>
      <w:tr>
        <w:trPr>
          <w:trHeight w:val="250"/>
        </w:trPr>
        <w:tc>
          <w:tcPr>
            <w:tcW w:w="5480" w:type="dxa"/>
            <w:vAlign w:val="bottom"/>
            <w:tcBorders>
              <w:bottom w:val="single" w:sz="8" w:color="0000EE"/>
            </w:tcBorders>
            <w:gridSpan w:val="31"/>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CERTAIN RELATIONSHIPS AND RELATED PARTY TRANSACTIONS</w:t>
              </w:r>
            </w:hyperlink>
          </w:p>
        </w:tc>
        <w:tc>
          <w:tcPr>
            <w:tcW w:w="4160" w:type="dxa"/>
            <w:vAlign w:val="bottom"/>
            <w:gridSpan w:val="6"/>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29</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7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Related-Person Transactions Policy and Procedures</w:t>
              </w:r>
            </w:hyperlink>
          </w:p>
        </w:tc>
        <w:tc>
          <w:tcPr>
            <w:tcW w:w="5360" w:type="dxa"/>
            <w:vAlign w:val="bottom"/>
            <w:gridSpan w:val="11"/>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29</w:t>
              </w:r>
            </w:hyperlink>
          </w:p>
        </w:tc>
        <w:tc>
          <w:tcPr>
            <w:tcW w:w="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26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Certain Related-Person Transactions</w:t>
              </w:r>
            </w:hyperlink>
          </w:p>
        </w:tc>
        <w:tc>
          <w:tcPr>
            <w:tcW w:w="6440" w:type="dxa"/>
            <w:vAlign w:val="bottom"/>
            <w:gridSpan w:val="19"/>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29</w:t>
              </w:r>
            </w:hyperlink>
          </w:p>
        </w:tc>
        <w:tc>
          <w:tcPr>
            <w:tcW w:w="80" w:type="dxa"/>
            <w:vAlign w:val="bottom"/>
          </w:tcPr>
          <w:p>
            <w:pPr>
              <w:spacing w:after="0"/>
              <w:rPr>
                <w:sz w:val="21"/>
                <w:szCs w:val="21"/>
                <w:color w:val="auto"/>
              </w:rPr>
            </w:pPr>
          </w:p>
        </w:tc>
      </w:tr>
      <w:tr>
        <w:trPr>
          <w:trHeight w:val="250"/>
        </w:trPr>
        <w:tc>
          <w:tcPr>
            <w:tcW w:w="288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INDEMNIFICATION AGREEMENTS</w:t>
              </w:r>
            </w:hyperlink>
          </w:p>
        </w:tc>
        <w:tc>
          <w:tcPr>
            <w:tcW w:w="6760" w:type="dxa"/>
            <w:vAlign w:val="bottom"/>
            <w:gridSpan w:val="24"/>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bottom w:val="single" w:sz="8" w:color="0000EE"/>
            </w:tcBorders>
            <w:gridSpan w:val="5"/>
          </w:tcPr>
          <w:p>
            <w:pPr>
              <w:jc w:val="center"/>
              <w:ind w:right="2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c>
          <w:tcPr>
            <w:tcW w:w="80" w:type="dxa"/>
            <w:vAlign w:val="bottom"/>
          </w:tcPr>
          <w:p>
            <w:pPr>
              <w:spacing w:after="0"/>
              <w:rPr>
                <w:sz w:val="21"/>
                <w:szCs w:val="21"/>
                <w:color w:val="auto"/>
              </w:rPr>
            </w:pPr>
          </w:p>
        </w:tc>
      </w:tr>
      <w:tr>
        <w:trPr>
          <w:trHeight w:val="250"/>
        </w:trPr>
        <w:tc>
          <w:tcPr>
            <w:tcW w:w="9640" w:type="dxa"/>
            <w:vAlign w:val="bottom"/>
            <w:gridSpan w:val="3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HOUSEHOLDING OF PROXY MATERIALS</w:t>
              </w:r>
            </w:hyperlink>
          </w:p>
        </w:tc>
        <w:tc>
          <w:tcPr>
            <w:tcW w:w="920" w:type="dxa"/>
            <w:vAlign w:val="bottom"/>
            <w:gridSpan w:val="7"/>
          </w:tcPr>
          <w:p>
            <w:pPr>
              <w:jc w:val="center"/>
              <w:ind w:left="45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r>
      <w:tr>
        <w:trPr>
          <w:trHeight w:val="250"/>
        </w:trPr>
        <w:tc>
          <w:tcPr>
            <w:tcW w:w="3400" w:type="dxa"/>
            <w:vAlign w:val="bottom"/>
            <w:tcBorders>
              <w:top w:val="single" w:sz="8" w:color="0000EE"/>
            </w:tcBorders>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MATTERS</w:t>
              </w:r>
            </w:hyperlink>
          </w:p>
        </w:tc>
        <w:tc>
          <w:tcPr>
            <w:tcW w:w="6240" w:type="dxa"/>
            <w:vAlign w:val="bottom"/>
            <w:gridSpan w:val="17"/>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tcBorders>
            <w:gridSpan w:val="5"/>
          </w:tcPr>
          <w:p>
            <w:pPr>
              <w:jc w:val="center"/>
              <w:ind w:right="2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31</w:t>
              </w:r>
            </w:hyperlink>
          </w:p>
        </w:tc>
        <w:tc>
          <w:tcPr>
            <w:tcW w:w="80" w:type="dxa"/>
            <w:vAlign w:val="bottom"/>
          </w:tcPr>
          <w:p>
            <w:pPr>
              <w:spacing w:after="0"/>
              <w:rPr>
                <w:sz w:val="21"/>
                <w:szCs w:val="21"/>
                <w:color w:val="auto"/>
              </w:rPr>
            </w:pPr>
          </w:p>
        </w:tc>
      </w:tr>
      <w:tr>
        <w:trPr>
          <w:trHeight w:val="250"/>
        </w:trPr>
        <w:tc>
          <w:tcPr>
            <w:tcW w:w="11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PROXY CARD</w:t>
              </w:r>
            </w:hyperlink>
          </w:p>
        </w:tc>
        <w:tc>
          <w:tcPr>
            <w:tcW w:w="300" w:type="dxa"/>
            <w:vAlign w:val="bottom"/>
            <w:tcBorders>
              <w:top w:val="single" w:sz="8" w:color="0000EE"/>
            </w:tcBorders>
            <w:gridSpan w:val="3"/>
          </w:tcPr>
          <w:p>
            <w:pPr>
              <w:spacing w:after="0"/>
              <w:rPr>
                <w:sz w:val="21"/>
                <w:szCs w:val="21"/>
                <w:color w:val="auto"/>
              </w:rPr>
            </w:pPr>
          </w:p>
        </w:tc>
        <w:tc>
          <w:tcPr>
            <w:tcW w:w="8180" w:type="dxa"/>
            <w:vAlign w:val="bottom"/>
            <w:gridSpan w:val="31"/>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0000EE"/>
              <w:bottom w:val="single" w:sz="8" w:color="0000EE"/>
            </w:tcBorders>
            <w:gridSpan w:val="5"/>
          </w:tcPr>
          <w:p>
            <w:pPr>
              <w:jc w:val="center"/>
              <w:ind w:right="2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32</w:t>
              </w:r>
            </w:hyperlink>
          </w:p>
        </w:tc>
        <w:tc>
          <w:tcPr>
            <w:tcW w:w="80" w:type="dxa"/>
            <w:vAlign w:val="bottom"/>
          </w:tcPr>
          <w:p>
            <w:pPr>
              <w:spacing w:after="0"/>
              <w:rPr>
                <w:sz w:val="21"/>
                <w:szCs w:val="21"/>
                <w:color w:val="auto"/>
              </w:rPr>
            </w:pPr>
          </w:p>
        </w:tc>
      </w:tr>
    </w:tbl>
    <w:p>
      <w:pPr>
        <w:sectPr>
          <w:pgSz w:w="11900" w:h="16838" w:orient="portrait"/>
          <w:cols w:equalWidth="0" w:num="1">
            <w:col w:w="10560"/>
          </w:cols>
          <w:pgMar w:left="540" w:top="126" w:right="7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2019 ANNUAL MEETING OF STOCKHOLDERS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13, 2019</w:t>
      </w:r>
    </w:p>
    <w:p>
      <w:pPr>
        <w:spacing w:after="0" w:line="23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have sent you these proxy materials because our Board of Directors (the “Board”) is soliciting your proxy to vote at the 2019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mail these proxy materials on or about May 7, 2019 to all stockholders of record entitled to vote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The meeting will be held on Thursday, June 13, 2019 at 10:00 a.m. local time at the offices of Cooley LLP at 3175 Hanover Street, Palo Alto, California 94304. Directions to the annual meeting may be found at </w:t>
      </w:r>
      <w:r>
        <w:rPr>
          <w:rFonts w:ascii="Arial" w:cs="Arial" w:eastAsia="Arial" w:hAnsi="Arial"/>
          <w:sz w:val="18"/>
          <w:szCs w:val="18"/>
          <w:u w:val="single" w:color="auto"/>
          <w:color w:val="0000EE"/>
        </w:rPr>
        <w:t>www.proxyvote.com</w:t>
      </w:r>
      <w:r>
        <w:rPr>
          <w:rFonts w:ascii="Arial" w:cs="Arial" w:eastAsia="Arial" w:hAnsi="Arial"/>
          <w:sz w:val="18"/>
          <w:szCs w:val="18"/>
          <w:color w:val="auto"/>
        </w:rPr>
        <w:t>. Information on how to vote in person at the annual meeting is discussed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Only stockholders of record at the close of business on April 15, 2019, will be entitled to vote at the annual meeting. On this record date, there were 24,502,484 shares of common stock outstanding and entitled to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on April 15, 2019, your shares were registered directly in your name with our transfer agent, American Stock Transfer &amp; Trust Company, LLC, then you are a stockholder of record. As a stockholder of record, you may vote in person at the meeting or vote by proxy. Whether or not you plan to attend the meeting, we urge you to fill out and return the enclosed proxy card or vote by proxy over the telephone or on the internet as instructed below to ensure your vote is counted.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on April 15, 2019,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in person at the meeting unless you request and obtain a valid proxy from your broker, bank or other agent.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4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What am I voting 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two matters scheduled for a vote:</w:t>
      </w:r>
    </w:p>
    <w:p>
      <w:pPr>
        <w:spacing w:after="0" w:line="24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three directors (Proposal No. 1); and</w:t>
      </w:r>
    </w:p>
    <w:p>
      <w:pPr>
        <w:spacing w:after="0" w:line="23"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Ratification of selection by the Audit Committee of the Board of Directors of PricewaterhouseCoopers LLP as independent registered public accounting firm of SI-BONE for its fiscal year ending December 31, 2019 (Proposal No. 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243" w:lineRule="exact"/>
        <w:rPr>
          <w:sz w:val="20"/>
          <w:szCs w:val="20"/>
          <w:color w:val="auto"/>
        </w:rPr>
      </w:pPr>
    </w:p>
    <w:p>
      <w:pPr>
        <w:jc w:val="both"/>
        <w:spacing w:after="0" w:line="360"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You may either vote “For” all the nominees to the Board of Directors or you may “Withhold” your vote for any nominee you specify. For the ratification of selection by the Audit Committee of the Board of Directors of PricewaterhouseCoopers LLP as independent registered public accounting firm of SI-BONE for its fiscal year ending December 31, 2019, you may vote “For” or “Against” or abstain from voting.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procedures for voting are fairly simple: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If you are a stockholder of record, you may vote in person at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in person even if you have already voted by proxy.</w:t>
      </w:r>
    </w:p>
    <w:p>
      <w:pPr>
        <w:spacing w:after="0" w:line="18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in person, come to the annual meeting and we will give you a ballot when you arrive.</w:t>
      </w:r>
    </w:p>
    <w:p>
      <w:pPr>
        <w:spacing w:after="0" w:line="23" w:lineRule="exact"/>
        <w:rPr>
          <w:rFonts w:ascii="Arial" w:cs="Arial" w:eastAsia="Arial" w:hAnsi="Arial"/>
          <w:sz w:val="18"/>
          <w:szCs w:val="18"/>
          <w:color w:val="auto"/>
        </w:rPr>
      </w:pPr>
    </w:p>
    <w:p>
      <w:pPr>
        <w:ind w:left="660" w:right="20" w:hanging="328"/>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jc w:val="both"/>
        <w:ind w:left="660" w:hanging="328"/>
        <w:spacing w:after="0" w:line="266"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To vote over the telephone, dial toll-free 1-800-690-6903 using a touch-tone phone and follow the recorded instructions. You will be asked to provide the company number and control number from the enclosed proxy card. Your telephone vote must be received by 11:59 p.m., Eastern Time on June 12, 2019, to be counted.</w:t>
      </w:r>
    </w:p>
    <w:p>
      <w:pPr>
        <w:ind w:left="660" w:hanging="328"/>
        <w:spacing w:after="0" w:line="358" w:lineRule="auto"/>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color w:val="auto"/>
        </w:rPr>
        <w:t>To vote through the internet, go to www.proxyvote.com to complete an electronic proxy card. You will be asked to provide the company number and control number from the enclosed proxy card. Your internet vote must be received by 11:59 p.m. Eastern Time on June 12, 2019 to be counted.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in person at the annual meeting, you must obtain a valid proxy from your broker, bank or other agent. Follow the instructions from your broker, bank or other agent included with these proxy materials, or contact that organization to request a proxy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742" w:right="239" w:bottom="1440" w:gutter="0" w:footer="0" w:header="0"/>
        </w:sectPr>
      </w:pPr>
    </w:p>
    <w:bookmarkStart w:id="6" w:name="page7"/>
    <w:bookmarkEnd w:id="6"/>
    <w:p>
      <w:pPr>
        <w:jc w:val="both"/>
        <w:ind w:right="1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191770</wp:posOffset>
            </wp:positionH>
            <wp:positionV relativeFrom="page">
              <wp:posOffset>637540</wp:posOffset>
            </wp:positionV>
            <wp:extent cx="71862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295" cy="8890"/>
                    </a:xfrm>
                    <a:prstGeom prst="rect">
                      <a:avLst/>
                    </a:prstGeom>
                    <a:noFill/>
                  </pic:spPr>
                </pic:pic>
              </a:graphicData>
            </a:graphic>
          </wp:anchor>
        </w:drawing>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862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On each matter to be voted upon, you have one vote for each share of common stock you own as of April 15, 2019.</w:t>
      </w:r>
    </w:p>
    <w:p>
      <w:pPr>
        <w:spacing w:after="0" w:line="235"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in person at the annual meeting, your shares will not be voted.</w:t>
      </w:r>
    </w:p>
    <w:p>
      <w:pPr>
        <w:spacing w:after="0" w:line="17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“For” the election of all three nominees for director, and “For” the ratification of selection by the Audit Committee of the Board of Directors of PricewaterhouseCoopers LLP as independent registered public accounting firm of SI-BONE for its fiscal year ending December 31, 2019. If any other matter is properly presented at the meeting, your proxyholder (one of the individuals named on your proxy card) will vote your shares using his or her best judgment.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the election of directors, is considered to be “non-routine” under NYSE rules meaning that your broker may not vote your shares on that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r>
        <w:rPr>
          <w:rFonts w:ascii="Arial" w:cs="Arial" w:eastAsia="Arial" w:hAnsi="Arial"/>
          <w:sz w:val="17"/>
          <w:szCs w:val="17"/>
          <w:color w:val="7030A0"/>
        </w:rPr>
        <w:t>.</w:t>
      </w:r>
    </w:p>
    <w:p>
      <w:pPr>
        <w:spacing w:after="0" w:line="176" w:lineRule="exact"/>
        <w:rPr>
          <w:sz w:val="20"/>
          <w:szCs w:val="20"/>
          <w:color w:val="auto"/>
        </w:rPr>
      </w:pPr>
    </w:p>
    <w:p>
      <w:pPr>
        <w:jc w:val="both"/>
        <w:ind w:right="20"/>
        <w:spacing w:after="0" w:line="360" w:lineRule="auto"/>
        <w:rPr>
          <w:sz w:val="20"/>
          <w:szCs w:val="20"/>
          <w:color w:val="auto"/>
        </w:rPr>
      </w:pPr>
      <w:r>
        <w:rPr>
          <w:rFonts w:ascii="Arial" w:cs="Arial" w:eastAsia="Arial" w:hAnsi="Arial"/>
          <w:sz w:val="16"/>
          <w:szCs w:val="16"/>
          <w:b w:val="1"/>
          <w:bCs w:val="1"/>
          <w:i w:val="1"/>
          <w:iCs w:val="1"/>
          <w:color w:val="auto"/>
        </w:rPr>
        <w:t xml:space="preserve">If you a beneficial owner of shares held in street name,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21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30" w:lineRule="exact"/>
        <w:rPr>
          <w:rFonts w:ascii="Arial" w:cs="Arial" w:eastAsia="Arial" w:hAnsi="Arial"/>
          <w:sz w:val="18"/>
          <w:szCs w:val="18"/>
          <w:color w:val="auto"/>
        </w:rPr>
      </w:pPr>
    </w:p>
    <w:p>
      <w:pPr>
        <w:ind w:left="660" w:right="20" w:hanging="328"/>
        <w:spacing w:after="0" w:line="29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our Secretary at 471 El Camino Real, Suite 101, Santa Clara, California 95050.</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attend the annual meeting and vote in person. Simply attending the meeting will not, by itself, revoke your proxy.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If your shares are held by your broker, bank or other agent, you should follow the instructions provided by your broker, bank or other agent.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To be considered for inclusion in next year’s proxy materials, your proposal must be submitted in writing by January 8, 2020, to SI-BONE, Inc., Attn: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Michael A. Pisetsky, General Counsel, 471 El Camino Real, Suite 101, Santa Clara, California 95050.</w:t>
      </w:r>
    </w:p>
    <w:p>
      <w:pPr>
        <w:spacing w:after="0" w:line="23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If you wish to submit a proposal (including a director nomination) at the meeting that is not to be included in next year’s proxy materials, your proposal must be submitted in writing and received by our Secretary at our executive offices located at 471 El Camino Real, Suite 101, Santa Clara, California 95050, not later than the close of business on March 15, 2020, nor earlier than the close of business on February 14, 2020;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that the date of the annual meeting is held earlier than May 14, 2020, or held later than July 13, 2020, notice by the stockholder to be timely must be so received not earlier than the close of business on the one hundred twentieth (120</w:t>
      </w:r>
      <w:r>
        <w:rPr>
          <w:rFonts w:ascii="Arial" w:cs="Arial" w:eastAsia="Arial" w:hAnsi="Arial"/>
          <w:sz w:val="25"/>
          <w:szCs w:val="25"/>
          <w:color w:val="auto"/>
          <w:vertAlign w:val="superscript"/>
        </w:rPr>
        <w:t>th</w:t>
      </w:r>
      <w:r>
        <w:rPr>
          <w:rFonts w:ascii="Arial" w:cs="Arial" w:eastAsia="Arial" w:hAnsi="Arial"/>
          <w:sz w:val="18"/>
          <w:szCs w:val="18"/>
          <w:color w:val="auto"/>
        </w:rPr>
        <w:t>) day prior to such annual meeting and not later than the close of business on the later of the ninetieth (90</w:t>
      </w:r>
      <w:r>
        <w:rPr>
          <w:rFonts w:ascii="Arial" w:cs="Arial" w:eastAsia="Arial" w:hAnsi="Arial"/>
          <w:sz w:val="25"/>
          <w:szCs w:val="25"/>
          <w:color w:val="auto"/>
          <w:vertAlign w:val="superscript"/>
        </w:rPr>
        <w:t>th</w:t>
      </w:r>
      <w:r>
        <w:rPr>
          <w:rFonts w:ascii="Arial" w:cs="Arial" w:eastAsia="Arial" w:hAnsi="Arial"/>
          <w:sz w:val="18"/>
          <w:szCs w:val="18"/>
          <w:color w:val="auto"/>
        </w:rPr>
        <w:t>) day prior to such annual meeting or the tenth (10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day on which public announcement of the date of such meeting is first made.</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Stockholders wishing to make stockholder proposals or nominations for directors should consult our bylaws, which contain additional requirements and information regarding these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(a) for the proposal to elect directors, votes “For,” votes “Withheld” and broker non-votes, and (b) with respect to the ratification of selection by the Audit Committee of the Board of Directors of PricewaterhouseCoopers LLP as independent registered public accounting firm of SI-BONE for its fiscal year ending December 31, 2019, or any other proposals, votes “For” and “Against,” abstentions and, if applicable, broker non-votes.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Abstentions will be counted towards the vote total for Proposal No. 2, and will have the same effect as “Against” votes. Broker non-votes have no effect and will not be counted towards the vote total for any proposal.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74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What are “broker non-votes”?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 xml:space="preserve">As a reminder, if you a beneficial owner of shares held in street name,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minimum vote needed to approve each proposal and the effect of abstentions and broker non-votes.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ind w:left="440"/>
        <w:spacing w:after="0"/>
        <w:tabs>
          <w:tab w:leader="none" w:pos="2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Proposal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22860</wp:posOffset>
            </wp:positionV>
            <wp:extent cx="3241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42" w:lineRule="exact"/>
        <w:rPr>
          <w:sz w:val="20"/>
          <w:szCs w:val="20"/>
          <w:color w:val="auto"/>
        </w:rPr>
      </w:pPr>
    </w:p>
    <w:p>
      <w:pPr>
        <w:ind w:left="1680" w:hanging="974"/>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0" w:lineRule="exact"/>
        <w:rPr>
          <w:sz w:val="20"/>
          <w:szCs w:val="20"/>
          <w:color w:val="auto"/>
        </w:rPr>
      </w:pPr>
    </w:p>
    <w:p>
      <w:pPr>
        <w:spacing w:after="0" w:line="295" w:lineRule="exact"/>
        <w:rPr>
          <w:sz w:val="20"/>
          <w:szCs w:val="20"/>
          <w:color w:val="auto"/>
        </w:rPr>
      </w:pPr>
    </w:p>
    <w:p>
      <w:pPr>
        <w:ind w:left="1680" w:hanging="974"/>
        <w:spacing w:after="0" w:line="257"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Ratification of the selection of PricewaterhouseCoopers LLP as SI-BONE’s independent registered public accounting firm for the fiscal year ending December 31, 2019</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Effect of</w:t>
            </w:r>
          </w:p>
        </w:tc>
      </w:tr>
      <w:tr>
        <w:trPr>
          <w:trHeight w:val="216"/>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340"/>
              <w:spacing w:after="0"/>
              <w:rPr>
                <w:sz w:val="20"/>
                <w:szCs w:val="20"/>
                <w:color w:val="auto"/>
              </w:rPr>
            </w:pPr>
            <w:r>
              <w:rPr>
                <w:rFonts w:ascii="Arial" w:cs="Arial" w:eastAsia="Arial" w:hAnsi="Arial"/>
                <w:sz w:val="18"/>
                <w:szCs w:val="18"/>
                <w:b w:val="1"/>
                <w:bCs w:val="1"/>
                <w:color w:val="auto"/>
              </w:rPr>
              <w:t>Effect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Broker Non-</w:t>
            </w:r>
          </w:p>
        </w:tc>
      </w:tr>
      <w:tr>
        <w:trPr>
          <w:trHeight w:val="234"/>
        </w:trPr>
        <w:tc>
          <w:tcPr>
            <w:tcW w:w="3300" w:type="dxa"/>
            <w:vAlign w:val="bottom"/>
            <w:gridSpan w:val="2"/>
          </w:tcPr>
          <w:p>
            <w:pPr>
              <w:ind w:left="460"/>
              <w:spacing w:after="0"/>
              <w:rPr>
                <w:sz w:val="20"/>
                <w:szCs w:val="20"/>
                <w:color w:val="auto"/>
              </w:rPr>
            </w:pPr>
            <w:r>
              <w:rPr>
                <w:rFonts w:ascii="Arial" w:cs="Arial" w:eastAsia="Arial" w:hAnsi="Arial"/>
                <w:sz w:val="18"/>
                <w:szCs w:val="18"/>
                <w:b w:val="1"/>
                <w:bCs w:val="1"/>
                <w:color w:val="auto"/>
              </w:rPr>
              <w:t>Vote Required for Approval</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Abstentions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Votes</w:t>
            </w:r>
          </w:p>
        </w:tc>
      </w:tr>
      <w:tr>
        <w:trPr>
          <w:trHeight w:val="27"/>
        </w:trPr>
        <w:tc>
          <w:tcPr>
            <w:tcW w:w="3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3300" w:type="dxa"/>
            <w:vAlign w:val="bottom"/>
            <w:gridSpan w:val="2"/>
          </w:tcPr>
          <w:p>
            <w:pPr>
              <w:ind w:left="80"/>
              <w:spacing w:after="0"/>
              <w:rPr>
                <w:sz w:val="20"/>
                <w:szCs w:val="20"/>
                <w:color w:val="auto"/>
              </w:rPr>
            </w:pPr>
            <w:r>
              <w:rPr>
                <w:rFonts w:ascii="Arial" w:cs="Arial" w:eastAsia="Arial" w:hAnsi="Arial"/>
                <w:sz w:val="18"/>
                <w:szCs w:val="18"/>
                <w:color w:val="auto"/>
              </w:rPr>
              <w:t>Nominees receiving the most “For”</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Not applicable</w:t>
            </w:r>
          </w:p>
        </w:tc>
        <w:tc>
          <w:tcPr>
            <w:tcW w:w="1120" w:type="dxa"/>
            <w:vAlign w:val="bottom"/>
          </w:tcPr>
          <w:p>
            <w:pPr>
              <w:ind w:left="40"/>
              <w:spacing w:after="0"/>
              <w:rPr>
                <w:sz w:val="20"/>
                <w:szCs w:val="20"/>
                <w:color w:val="auto"/>
              </w:rPr>
            </w:pPr>
            <w:r>
              <w:rPr>
                <w:rFonts w:ascii="Arial" w:cs="Arial" w:eastAsia="Arial" w:hAnsi="Arial"/>
                <w:sz w:val="18"/>
                <w:szCs w:val="18"/>
                <w:color w:val="auto"/>
              </w:rPr>
              <w:t>No effect</w:t>
            </w:r>
          </w:p>
        </w:tc>
      </w:tr>
      <w:tr>
        <w:trPr>
          <w:trHeight w:val="216"/>
        </w:trPr>
        <w:tc>
          <w:tcPr>
            <w:tcW w:w="3300" w:type="dxa"/>
            <w:vAlign w:val="bottom"/>
            <w:gridSpan w:val="2"/>
          </w:tcPr>
          <w:p>
            <w:pPr>
              <w:ind w:left="80"/>
              <w:spacing w:after="0"/>
              <w:rPr>
                <w:sz w:val="20"/>
                <w:szCs w:val="20"/>
                <w:color w:val="auto"/>
              </w:rPr>
            </w:pPr>
            <w:r>
              <w:rPr>
                <w:rFonts w:ascii="Arial" w:cs="Arial" w:eastAsia="Arial" w:hAnsi="Arial"/>
                <w:sz w:val="18"/>
                <w:szCs w:val="18"/>
                <w:color w:val="auto"/>
              </w:rPr>
              <w:t>votes; withheld votes will have no</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300" w:type="dxa"/>
            <w:vAlign w:val="bottom"/>
            <w:gridSpan w:val="2"/>
          </w:tcPr>
          <w:p>
            <w:pPr>
              <w:ind w:left="80"/>
              <w:spacing w:after="0"/>
              <w:rPr>
                <w:sz w:val="20"/>
                <w:szCs w:val="20"/>
                <w:color w:val="auto"/>
              </w:rPr>
            </w:pPr>
            <w:r>
              <w:rPr>
                <w:rFonts w:ascii="Arial" w:cs="Arial" w:eastAsia="Arial" w:hAnsi="Arial"/>
                <w:sz w:val="18"/>
                <w:szCs w:val="18"/>
                <w:color w:val="auto"/>
              </w:rPr>
              <w:t>effect</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3300" w:type="dxa"/>
            <w:vAlign w:val="bottom"/>
            <w:gridSpan w:val="2"/>
          </w:tcPr>
          <w:p>
            <w:pPr>
              <w:ind w:left="80"/>
              <w:spacing w:after="0"/>
              <w:rPr>
                <w:sz w:val="20"/>
                <w:szCs w:val="20"/>
                <w:color w:val="auto"/>
              </w:rPr>
            </w:pPr>
            <w:r>
              <w:rPr>
                <w:rFonts w:ascii="Arial" w:cs="Arial" w:eastAsia="Arial" w:hAnsi="Arial"/>
                <w:sz w:val="18"/>
                <w:szCs w:val="18"/>
                <w:color w:val="auto"/>
              </w:rPr>
              <w:t>“For” votes from the holders of a</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Against</w:t>
            </w:r>
          </w:p>
        </w:tc>
        <w:tc>
          <w:tcPr>
            <w:tcW w:w="1120" w:type="dxa"/>
            <w:vAlign w:val="bottom"/>
          </w:tcPr>
          <w:p>
            <w:pPr>
              <w:ind w:left="40"/>
              <w:spacing w:after="0"/>
              <w:rPr>
                <w:sz w:val="20"/>
                <w:szCs w:val="20"/>
                <w:color w:val="auto"/>
              </w:rPr>
            </w:pPr>
            <w:r>
              <w:rPr>
                <w:rFonts w:ascii="Arial" w:cs="Arial" w:eastAsia="Arial" w:hAnsi="Arial"/>
                <w:sz w:val="18"/>
                <w:szCs w:val="18"/>
                <w:color w:val="auto"/>
              </w:rPr>
              <w:t>No effect</w:t>
            </w:r>
          </w:p>
        </w:tc>
      </w:tr>
      <w:tr>
        <w:trPr>
          <w:trHeight w:val="216"/>
        </w:trPr>
        <w:tc>
          <w:tcPr>
            <w:tcW w:w="3300" w:type="dxa"/>
            <w:vAlign w:val="bottom"/>
            <w:gridSpan w:val="2"/>
          </w:tcPr>
          <w:p>
            <w:pPr>
              <w:ind w:left="80"/>
              <w:spacing w:after="0"/>
              <w:rPr>
                <w:sz w:val="20"/>
                <w:szCs w:val="20"/>
                <w:color w:val="auto"/>
              </w:rPr>
            </w:pPr>
            <w:r>
              <w:rPr>
                <w:rFonts w:ascii="Arial" w:cs="Arial" w:eastAsia="Arial" w:hAnsi="Arial"/>
                <w:sz w:val="18"/>
                <w:szCs w:val="18"/>
                <w:color w:val="auto"/>
              </w:rPr>
              <w:t>majority of shares present in person or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300" w:type="dxa"/>
            <w:vAlign w:val="bottom"/>
            <w:gridSpan w:val="2"/>
          </w:tcPr>
          <w:p>
            <w:pPr>
              <w:ind w:left="80"/>
              <w:spacing w:after="0"/>
              <w:rPr>
                <w:sz w:val="20"/>
                <w:szCs w:val="20"/>
                <w:color w:val="auto"/>
              </w:rPr>
            </w:pPr>
            <w:r>
              <w:rPr>
                <w:rFonts w:ascii="Arial" w:cs="Arial" w:eastAsia="Arial" w:hAnsi="Arial"/>
                <w:sz w:val="18"/>
                <w:szCs w:val="18"/>
                <w:color w:val="auto"/>
              </w:rPr>
              <w:t>represented by proxy and entitled to</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300" w:type="dxa"/>
            <w:vAlign w:val="bottom"/>
            <w:gridSpan w:val="2"/>
          </w:tcPr>
          <w:p>
            <w:pPr>
              <w:ind w:left="80"/>
              <w:spacing w:after="0"/>
              <w:rPr>
                <w:sz w:val="20"/>
                <w:szCs w:val="20"/>
                <w:color w:val="auto"/>
              </w:rPr>
            </w:pPr>
            <w:r>
              <w:rPr>
                <w:rFonts w:ascii="Arial" w:cs="Arial" w:eastAsia="Arial" w:hAnsi="Arial"/>
                <w:sz w:val="18"/>
                <w:szCs w:val="18"/>
                <w:color w:val="auto"/>
              </w:rPr>
              <w:t>vote on the matter</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429" w:lineRule="exact"/>
        <w:rPr>
          <w:sz w:val="20"/>
          <w:szCs w:val="20"/>
          <w:color w:val="auto"/>
        </w:rPr>
      </w:pPr>
    </w:p>
    <w:p>
      <w:pPr>
        <w:sectPr>
          <w:pgSz w:w="11900" w:h="16838" w:orient="portrait"/>
          <w:cols w:equalWidth="0" w:num="2">
            <w:col w:w="4920" w:space="480"/>
            <w:col w:w="6020"/>
          </w:cols>
          <w:pgMar w:left="240" w:top="742"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24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A quorum of stockholders is necessary to hold a valid meeting. A quorum will be present if stockholders holding at least a majority of the outstanding shares entitled to vote are present at the meeting in person or represented by proxy. On the record date, there were 24,502,484 shares outstanding and entitled to vote. Thus, the holders of 12,251,243 shares must be present in person or represented by proxy at the meeting to have a quorum.</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there is no quorum, the chairman of the meeting or the holders of a majority of shares present at the meeting in person or represented by proxy may adjourn the meeting to another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43"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w:t>
      </w:r>
      <w:r>
        <w:rPr>
          <w:rFonts w:ascii="MS PGothic" w:cs="MS PGothic" w:eastAsia="MS PGothic" w:hAnsi="MS PGothic"/>
          <w:sz w:val="18"/>
          <w:szCs w:val="18"/>
          <w:color w:val="auto"/>
        </w:rPr>
        <w:t>‑</w:t>
      </w:r>
      <w:r>
        <w:rPr>
          <w:rFonts w:ascii="Arial" w:cs="Arial" w:eastAsia="Arial" w:hAnsi="Arial"/>
          <w:sz w:val="18"/>
          <w:szCs w:val="18"/>
          <w:color w:val="auto"/>
        </w:rPr>
        <w:t>K to publish preliminary results and, within four business days after the final results are known to us, file an additional Form 8-K to publish the final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proxy materials are available on the internet?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Annual Report to </w:t>
      </w:r>
      <w:r>
        <w:rPr>
          <w:rFonts w:ascii="Arial" w:cs="Arial" w:eastAsia="Arial" w:hAnsi="Arial"/>
          <w:sz w:val="18"/>
          <w:szCs w:val="18"/>
          <w:b w:val="1"/>
          <w:bCs w:val="1"/>
          <w:color w:val="auto"/>
        </w:rPr>
        <w:t>S</w:t>
      </w:r>
      <w:r>
        <w:rPr>
          <w:rFonts w:ascii="Arial" w:cs="Arial" w:eastAsia="Arial" w:hAnsi="Arial"/>
          <w:sz w:val="18"/>
          <w:szCs w:val="18"/>
          <w:color w:val="auto"/>
        </w:rPr>
        <w:t xml:space="preserve">tockholders are available at </w:t>
      </w:r>
      <w:r>
        <w:rPr>
          <w:rFonts w:ascii="Arial" w:cs="Arial" w:eastAsia="Arial" w:hAnsi="Arial"/>
          <w:sz w:val="18"/>
          <w:szCs w:val="18"/>
          <w:u w:val="single" w:color="auto"/>
          <w:color w:val="0000EE"/>
        </w:rPr>
        <w:t>www.proxyvote.com</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742" w:right="23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PROPOSAL NO.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Board of Directors currently consists of nine members and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8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Our Board of Directors was elected pursuant to the provision of a voting agreement and the related provisions of our amended and restated certificate of incorporation as in effect prior to the initial public offering of our common stock. Under the terms of this voting agreement, the stockholders party thereto agreed to vote their respective shares to elect: (1) two directors designated by the holders of a majority of the then outstanding shares of Series 2 common, which were Jeffrey W. Dunn and Dr. Mark A. Reiley; (2) one director designated by Skyline Venture Partners Qualified Purchaser Fund V, L.P., Dr. John G. Freund; (3) one director designated by Montreux Equity Partners IV, LP (which was not filled); (4) four directors approved by a majority of the members of our Board and at least one of whom has relevant industry experience relating to our business, Gregory K. Hinckley, Timothy E. Davis, Jr., Karen A. Licitra, and Keith C. Valentine; (5) one director designated by OrbiMed Advisors LLC or OrbiMed Private Investments V, LP, Dr. Bonita; and (6) one director designated by Arboretum IV, LP, Timothy Petersen. The provisions of this voting agreement terminated upon the closing of our initial public offering.</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Board of Directors currently has nine members. There are three directors in the class the term of which office expires in 2019: Dr. Bonita, Dr. Reiley and Mr. Davis. Mr. Davis is currently a member of our Board and has served as a member of our Board since our inception in 2008. Each of Dr. Bonita and Dr. Reiley have declined to stand for reelection at the upcoming annual meeting. The two nominees to replace Dr. Bonita and Dr. Reiley, Heyward R. Donigan and Mark J. Foley were recommended by our Nominating and Corporate Governance Committee, following a thorough search process led by Korn Ferry, a third-party search firm. If elected at the annual meeting, each of the three nominees would serve until the 2022 annual meeting and until his or her successor has been duly elected and qualified, or, if sooner, until the director’s death, resignation or removal. It is our policy to encourage directors and nominees for director to attend the Annual Meeting. We did not hold an annual meeting of our stockholders in 2018.</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Directors are elected by a plurality of the votes of the holders of shares present in person or represented by proxy and entitled to vote on the election of directors. Accordingly, the three nominees receiving the highest number of affirmative votes will be elected.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biography of each nominee and each director whose term will continue after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FOR A THREE-YEAR TERM EXPIRING AT THE 2022 ANNUAL MEETING</w:t>
      </w:r>
    </w:p>
    <w:p>
      <w:pPr>
        <w:spacing w:after="0" w:line="2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Timothy E. Davis, Jr.</w:t>
      </w:r>
      <w:r>
        <w:rPr>
          <w:rFonts w:ascii="Arial" w:cs="Arial" w:eastAsia="Arial" w:hAnsi="Arial"/>
          <w:sz w:val="16"/>
          <w:szCs w:val="16"/>
          <w:color w:val="auto"/>
        </w:rPr>
        <w:t>, age 49, has served as a member of our Board of Directors since our inception in April 2008. Mr. Davis has served as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of Active Implants, LLC, a company that provides orthopedic implant solutions, since February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742" w:right="239" w:bottom="1440" w:gutter="0" w:footer="0" w:header="0"/>
        </w:sectPr>
      </w:pPr>
    </w:p>
    <w:bookmarkStart w:id="10" w:name="page11"/>
    <w:bookmarkEnd w:id="10"/>
    <w:p>
      <w:pPr>
        <w:jc w:val="both"/>
        <w:spacing w:after="0" w:line="308" w:lineRule="auto"/>
        <w:rPr>
          <w:sz w:val="20"/>
          <w:szCs w:val="20"/>
          <w:color w:val="auto"/>
        </w:rPr>
      </w:pPr>
      <w:r>
        <w:rPr>
          <w:rFonts w:ascii="Arial" w:cs="Arial" w:eastAsia="Arial" w:hAnsi="Arial"/>
          <w:sz w:val="16"/>
          <w:szCs w:val="16"/>
          <w:b w:val="1"/>
          <w:bCs w:val="1"/>
          <w:i w:val="1"/>
          <w:iCs w:val="1"/>
          <w:color w:val="auto"/>
        </w:rPr>
        <w:t>Heyward R. Donigan</w:t>
      </w:r>
      <w:r>
        <w:rPr>
          <w:rFonts w:ascii="Arial" w:cs="Arial" w:eastAsia="Arial" w:hAnsi="Arial"/>
          <w:sz w:val="16"/>
          <w:szCs w:val="16"/>
          <w:color w:val="auto"/>
        </w:rPr>
        <w:t>, age 58, has served as President, Chief Executive Officer and director of Sapphire Digital, formerly, Vitals, a leading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transparency company, since March 2015. From 2010 to 2014, Ms. Donigan served as President, Chief Executive Officer and a director of ValueOptions, Inc., a health improvement company specializing in mental and emotional well-being and recovery, which merged with Beacon Health Strategies during 2014. Previously, Ms. Donigan was Executive Vice President and Chief Marketing Officer of Premera Blue Cross, an insurer doing business in Washington, Alaska, and Oregon, from 2003 to 2010. Ms. Donigan is director of Kindred Healthcare, Inc., a healthcare services company, and was a director of NxStage Medical, Inc., a medical technology company, until it was acquired by Fresenius Medical Care Holdings, Inc. in February 2019. With over 30 years of experience in all facets of the health plan business, including network management, contracting, sales and marketing, product development, and operations, Ms. Donigan brings extensive knowledge of the healthcare sector, strategic insight and leadership to our Board of Directors.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Mark J. Foley</w:t>
      </w:r>
      <w:r>
        <w:rPr>
          <w:rFonts w:ascii="Arial" w:cs="Arial" w:eastAsia="Arial" w:hAnsi="Arial"/>
          <w:sz w:val="18"/>
          <w:szCs w:val="18"/>
          <w:color w:val="auto"/>
        </w:rPr>
        <w:t>, age 53, has more than 25 years of operational and investment experience in the healthcare arena. He was a Managing Director at RWI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Ventures, a venture capital firm focused on life sciences, networking, semiconductor and software investments from 2004 to 2018. Previously, Mr. Foley was Chairman, director, President and CEO of ZELTIQ Aesthetics (ZLTQ), a medical technology company, serving from 2012 through the company’s acquisition by Allergan (AGN) in April 2017. Prior to ZELTIQ, Mr. Foley held a variety of senior operating roles in large public companies and venture-backed startups, including U.S. Surgical Corporation, Guidant Corporation, Devices for Vascular Intervention (acquired by Eli Lilly), Perclose (acquired by Abbott) and Ventrica (acquired by Medtronic), where he was the founder and CEO. He is a board member at Glaukos Corporation (GKOS) where he chairs the nominating, governance and compensation committee and Revance Therapeutics, Inc. (RVNC) where he chairs the audit committee. Additionally, he serves as Chairman of uLAB, HintMD and Arrinex which was acquired by Stryker Corporation (SYK) in 2019. Mr. Foley received a Bachelor of Arts degree from the University of Notre Dame. Our Board of Directors believes that Mr. Foley’s financial expertise, experience at multiple public healthcare companies and his expertise with the development and commercialization in medical device and biotechnology industries make him qualified to serve on our Board of Directors.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IN FAVOR OF EACH NAMED NOMINEE.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2020 ANNUAL MEETING</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Jeffrey W. Dunn</w:t>
      </w:r>
      <w:r>
        <w:rPr>
          <w:rFonts w:ascii="Arial" w:cs="Arial" w:eastAsia="Arial" w:hAnsi="Arial"/>
          <w:sz w:val="17"/>
          <w:szCs w:val="17"/>
          <w:color w:val="auto"/>
        </w:rPr>
        <w:t>, age 64, has served as our President and Chief Executive Officer and as the Chairman of our Board of Directors since our inception in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2008.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746" w:right="239" w:bottom="1440" w:gutter="0" w:footer="0" w:header="0"/>
        </w:sectPr>
      </w:pPr>
    </w:p>
    <w:bookmarkStart w:id="11" w:name="page12"/>
    <w:bookmarkEnd w:id="11"/>
    <w:p>
      <w:pPr>
        <w:jc w:val="both"/>
        <w:spacing w:after="0" w:line="303" w:lineRule="auto"/>
        <w:rPr>
          <w:sz w:val="20"/>
          <w:szCs w:val="20"/>
          <w:color w:val="auto"/>
        </w:rPr>
      </w:pPr>
      <w:r>
        <w:rPr>
          <w:rFonts w:ascii="Arial" w:cs="Arial" w:eastAsia="Arial" w:hAnsi="Arial"/>
          <w:sz w:val="16"/>
          <w:szCs w:val="16"/>
          <w:b w:val="1"/>
          <w:bCs w:val="1"/>
          <w:i w:val="1"/>
          <w:iCs w:val="1"/>
          <w:color w:val="auto"/>
        </w:rPr>
        <w:t>John G. Freund, M.D.</w:t>
      </w:r>
      <w:r>
        <w:rPr>
          <w:rFonts w:ascii="Arial" w:cs="Arial" w:eastAsia="Arial" w:hAnsi="Arial"/>
          <w:sz w:val="16"/>
          <w:szCs w:val="16"/>
          <w:color w:val="auto"/>
        </w:rPr>
        <w:t>, age 65, has served as a member of our Board of Directors since January 2013. Dr. Freund founded Skyline Ventures, a venture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in October 1997 and has served as a Managing Director of Skyline since then.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Collegium Pharmaceuticals, Inc., a biotechnology company, since 2014, Tetraphase Pharmaceuticals, Inc., medical technology company, since 2012, and Proteon Therapeutics, Inc., a biotechnology company, since 2014, Sutro Biopharma, Inc., a biotechnology company, since 2014. Dr. Freund also serves on the board of directors of six U.S. registered investment funds managed by affiliates of the Capital Group, Inc. He also previously served on the board of directors of four publicly traded companies, Map Pharmaceuticals, Inc., a biopharmaceutical company, MAKO Surgical Corp., a medical device company, Concert Pharmaceuticals, Inc., a biopharmaceutical company and was Chairman of XenoPort, Inc., a biopharmaceutical company.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i w:val="1"/>
          <w:iCs w:val="1"/>
          <w:color w:val="auto"/>
        </w:rPr>
        <w:t>Gregory K. Hinckley</w:t>
      </w:r>
      <w:r>
        <w:rPr>
          <w:rFonts w:ascii="Arial" w:cs="Arial" w:eastAsia="Arial" w:hAnsi="Arial"/>
          <w:sz w:val="17"/>
          <w:szCs w:val="17"/>
          <w:color w:val="auto"/>
        </w:rPr>
        <w:t>, age 72, has served as a member of our Board of Directors since January 2011. Mr. Hinckley served as President of Mentor Graphics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an electronic design automation company, from January 1999 until his retirement in July 2017, and served on the board of directors from January 1999 to June 2016. From January 1997 to January 1999,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Hinckley received a B.A. in Physics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2021 ANNUAL MEETING</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b w:val="1"/>
          <w:bCs w:val="1"/>
          <w:i w:val="1"/>
          <w:iCs w:val="1"/>
          <w:color w:val="auto"/>
        </w:rPr>
        <w:t>Karen A. Licitra</w:t>
      </w:r>
      <w:r>
        <w:rPr>
          <w:rFonts w:ascii="Arial" w:cs="Arial" w:eastAsia="Arial" w:hAnsi="Arial"/>
          <w:sz w:val="16"/>
          <w:szCs w:val="16"/>
          <w:color w:val="auto"/>
        </w:rPr>
        <w:t>, age 59, has served as a member of our Board of Directors since August 2015. From January 2014 through August 2015, Ms. Licitra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Corporate Vice President, Worldwide Government Affairs &amp; Policy at Johnson &amp; Johnson, a medical devices, pharmaceutical, and consumer packaged goods manufacturer. From 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Ms. Licitra previously served on the board of directors of Novadaq Technologies Inc., a provider of proven comprehensive fluorescence imaging solutions, until the company was acquired by Stryker Corporation in 2017. Ms. Licitra received a B.S. in Commerce from Rider College. We believe Ms. Licitra’s experience working for medical device companies and her knowledge of our company enable her to make valuable contributions to our Board of Directors.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746" w:right="239" w:bottom="1440" w:gutter="0" w:footer="0" w:header="0"/>
        </w:sectPr>
      </w:pPr>
    </w:p>
    <w:bookmarkStart w:id="12" w:name="page13"/>
    <w:bookmarkEnd w:id="12"/>
    <w:p>
      <w:pPr>
        <w:jc w:val="both"/>
        <w:spacing w:after="0" w:line="270" w:lineRule="auto"/>
        <w:rPr>
          <w:sz w:val="20"/>
          <w:szCs w:val="20"/>
          <w:color w:val="auto"/>
        </w:rPr>
      </w:pPr>
      <w:r>
        <w:rPr>
          <w:rFonts w:ascii="Arial" w:cs="Arial" w:eastAsia="Arial" w:hAnsi="Arial"/>
          <w:sz w:val="18"/>
          <w:szCs w:val="18"/>
          <w:b w:val="1"/>
          <w:bCs w:val="1"/>
          <w:i w:val="1"/>
          <w:iCs w:val="1"/>
          <w:color w:val="auto"/>
        </w:rPr>
        <w:t>Timothy B. Petersen</w:t>
      </w:r>
      <w:r>
        <w:rPr>
          <w:rFonts w:ascii="Arial" w:cs="Arial" w:eastAsia="Arial" w:hAnsi="Arial"/>
          <w:sz w:val="18"/>
          <w:szCs w:val="18"/>
          <w:color w:val="auto"/>
        </w:rPr>
        <w:t>, age 55, has served as a member of our Board of Directors since June 2016. Since April 2002, Mr. Petersen has been employed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Arboretum Ventures, Inc. As a Managing Partner of the firm, his investments primarily target capital-efficient medical device, health IT and services companies. Mr. Petersen has led investments and held board seats for Arboretum in more than fifteen companies, including HealthMedia (acquired by Johnson &amp; Johnson), Accuri Cytometers Inc. (acquired by Becton Dickinson), IntelliCyt Corporation (acquired by Sartorius AG) and Inogen. Mr. Petersen currently serves on the boards of several private companies in addition to our Company. Mr. Petersen holds a B.A. in Economics from Williams College, an M.S. in Economics from the University of Wisconsin-Madison, and an M.B.A. from the Ross School of Business at the University of Michigan. We believe Mr. Petersen’s extensive investment experience in the healthcare industry and his experience as a public company director enable him to make valuable contributions to our Board of Directors.</w:t>
      </w:r>
    </w:p>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b w:val="1"/>
          <w:bCs w:val="1"/>
          <w:i w:val="1"/>
          <w:iCs w:val="1"/>
          <w:color w:val="auto"/>
        </w:rPr>
        <w:t>Keith C. Valentine</w:t>
      </w:r>
      <w:r>
        <w:rPr>
          <w:rFonts w:ascii="Arial" w:cs="Arial" w:eastAsia="Arial" w:hAnsi="Arial"/>
          <w:sz w:val="16"/>
          <w:szCs w:val="16"/>
          <w:color w:val="auto"/>
        </w:rPr>
        <w:t>, age 51, has served as a member of our Board of Directors since August 2015. Since June 2015, Mr. Valentine has also served as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a member of the board of directors of SeaSpine Holdings Corporation, a global medical technology company.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16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Each of our directors, other than Mr. Dunn and Dr. Reiley, is independent as defined under the Nasdaq Global Market listing standards. See “Independence of the Board of Directors” immediately below, which information is incorporated by reference here.</w:t>
      </w:r>
    </w:p>
    <w:p>
      <w:pPr>
        <w:spacing w:after="0" w:line="16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the directors and executive officers.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required under the Nasdaq Global Market (“Nasdaq”) listing standards, a majority of the members of a listed company’s Board of Directors must qualify as “independent,” as affirmatively determined by the Board. The Board consults with SI-BONE’s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Consistent with these considerations, after review of all relevant identified transactions or relationships between each director, or any of his or her family members, and SI-BONE, its senior management and its independent auditors, the Board has affirmatively determined that the following seven directors are independent directors within the meaning of the applicable Nasdaq listing standards: Dr. Bonita, Mr. Davis, Dr. Freund, Mr. Hinckley, Ms. Licitra, Mr. Petersen, and Mr. Valentine. In making this determination, the Board found that none of the directors or nominees for director other than Mr. Dunn and Dr. Reiley had a material or other disqualifying relationship with SI-BONE and that each of these directors is “independent” as that term is defined under the rules of the Nasdaq Global Market. Mr. Dunn is not independent given his position as our President and Chief Executive Officer, and Dr. Reiley is not independent given his status as the Chief Medical Officer of Reiley Pharmaceuticals, Inc., where Mr. Dunn and Mr. Valentine are members of the board of directors, and where Mr. Dunn also serves on the compensation committee. Accordingly, a majority of our directors are independent, as required under applicable Nasdaq listing rules. Each of Ms. Donigan and Mr. Foley will be independent directors within the meaning of the applicable Nasdaq listing standards upon their election.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746" w:right="23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8"/>
          <w:szCs w:val="18"/>
          <w:color w:val="auto"/>
        </w:rPr>
        <w:t>In making those independence determinations, the Board took into account certain relationships and transactions that occurred in the ordinary course of business between SI-BONE and entities with which some of our directors are or have been affiliated. The Board considered the fact that each of Arboretum Ventures, OrbiMed and Skyline Venture Partners participated in or initial public offering of our common stock, with which Mr. Petersen, Dr. Bonita and Dr. Freund, respectively, are affiliated, and determined that these transactions were not transactions or relationships that would interfere with their exercise of independent judgment in carrying out their responsibilities as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currently chaired by the President and Chief Executive Officer of SI-BONE, Mr. Dunn.</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believe that combining the positions of Chief Executive Officer and Chairman helps to ensure that the Board and management act with a common purpose. In our view, separating the positions of Chief Executive Officer and Chairman has the potential to give rise to divided leadership, which could interfere with good decision-making or weaken SI-BONE’s ability to develop and implement strategy. Instead, we believe that combining the positions of Chief Executive Officer and Chairman provides a single, clear chain of command to execute SI-BONE’s strategic initiatives and business plans. In addition, we believe that a combined Chief Executive Officer/Chairman is better positioned to act as a bridge between management and the Board, facilitating the regular flow of information. We also believe that it is advantageous to have a Chairman with an extensive history with and knowledge of SI-BONE (as is the case with our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4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In particular, our Board is responsible for monitoring and assessing strategic risk exposure. Our executive officers are responsible for the day-to-day management of the material risks we face. Our Board administers its oversight function directly as a whole, as well as through various standing committees of our Board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director succession planning, and oversight of healthcare, regulatory, and fraud and abuse compliance.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Our Board of Directors met six times during 2018. Each Board member attended 75% or more of the aggregate number of meetings of the Board and of the committees on which he or she served, held during the portion of the last fiscal year for which he or she was a director or committee member.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The following table provides membership and meeting information for fiscal 2018 for each of the Board committees (Mr. Dunn did not serve on any committees in 2018 or to date):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Nominating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3"/>
          </w:tcPr>
          <w:p>
            <w:pPr>
              <w:ind w:left="120"/>
              <w:spacing w:after="0"/>
              <w:rPr>
                <w:sz w:val="20"/>
                <w:szCs w:val="20"/>
                <w:color w:val="auto"/>
              </w:rPr>
            </w:pPr>
            <w:r>
              <w:rPr>
                <w:rFonts w:ascii="Arial" w:cs="Arial" w:eastAsia="Arial" w:hAnsi="Arial"/>
                <w:sz w:val="18"/>
                <w:szCs w:val="18"/>
                <w:b w:val="1"/>
                <w:bCs w:val="1"/>
                <w:color w:val="auto"/>
              </w:rPr>
              <w:t>Name</w:t>
            </w: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Audit</w:t>
            </w: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Compensation</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Jeffrey W. Dunn</w:t>
            </w:r>
          </w:p>
        </w:tc>
        <w:tc>
          <w:tcPr>
            <w:tcW w:w="1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David P. Bonita, M.D.</w:t>
            </w: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Timothy E. Davis</w:t>
            </w:r>
          </w:p>
        </w:tc>
        <w:tc>
          <w:tcPr>
            <w:tcW w:w="196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8"/>
                <w:szCs w:val="18"/>
                <w:color w:val="auto"/>
              </w:rPr>
              <w:t>X</w:t>
            </w:r>
          </w:p>
        </w:tc>
        <w:tc>
          <w:tcPr>
            <w:tcW w:w="22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X*</w:t>
            </w: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John G. Freund, M.D.</w:t>
            </w: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Gregory K. Hinckley</w:t>
            </w:r>
          </w:p>
        </w:tc>
        <w:tc>
          <w:tcPr>
            <w:tcW w:w="196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Karen A. Licitra</w:t>
            </w: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Timothy B. Petersen</w:t>
            </w:r>
          </w:p>
        </w:tc>
        <w:tc>
          <w:tcPr>
            <w:tcW w:w="196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720" w:type="dxa"/>
            <w:vAlign w:val="bottom"/>
            <w:gridSpan w:val="3"/>
          </w:tcPr>
          <w:p>
            <w:pPr>
              <w:ind w:left="120"/>
              <w:spacing w:after="0"/>
              <w:rPr>
                <w:sz w:val="20"/>
                <w:szCs w:val="20"/>
                <w:color w:val="auto"/>
              </w:rPr>
            </w:pPr>
            <w:r>
              <w:rPr>
                <w:rFonts w:ascii="Arial" w:cs="Arial" w:eastAsia="Arial" w:hAnsi="Arial"/>
                <w:sz w:val="18"/>
                <w:szCs w:val="18"/>
                <w:color w:val="auto"/>
              </w:rPr>
              <w:t>Keith C. Valentine</w:t>
            </w: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meetings in fiscal 2018</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440" w:type="dxa"/>
            <w:vAlign w:val="bottom"/>
            <w:shd w:val="clear" w:color="auto" w:fill="CCEEFF"/>
          </w:tcPr>
          <w:p>
            <w:pPr>
              <w:spacing w:after="0"/>
              <w:rPr>
                <w:sz w:val="21"/>
                <w:szCs w:val="21"/>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2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2020" w:type="dxa"/>
            <w:vAlign w:val="bottom"/>
            <w:tcBorders>
              <w:bottom w:val="single" w:sz="8" w:color="auto"/>
            </w:tcBorders>
            <w:gridSpan w:val="2"/>
          </w:tcPr>
          <w:p>
            <w:pPr>
              <w:spacing w:after="0"/>
              <w:rPr>
                <w:sz w:val="22"/>
                <w:szCs w:val="22"/>
                <w:color w:val="auto"/>
              </w:rPr>
            </w:pPr>
          </w:p>
        </w:tc>
        <w:tc>
          <w:tcPr>
            <w:tcW w:w="3040" w:type="dxa"/>
            <w:vAlign w:val="bottom"/>
            <w:gridSpan w:val="2"/>
            <w:vMerge w:val="restart"/>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w w:val="96"/>
              </w:rPr>
              <w:t>*  Committee Chairperson</w:t>
            </w:r>
          </w:p>
        </w:tc>
        <w:tc>
          <w:tcPr>
            <w:tcW w:w="304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80" w:type="dxa"/>
            <w:vAlign w:val="bottom"/>
            <w:gridSpan w:val="5"/>
          </w:tcPr>
          <w:p>
            <w:pPr>
              <w:spacing w:after="0"/>
              <w:rPr>
                <w:sz w:val="20"/>
                <w:szCs w:val="20"/>
                <w:color w:val="auto"/>
              </w:rPr>
            </w:pPr>
            <w:r>
              <w:rPr>
                <w:rFonts w:ascii="Arial" w:cs="Arial" w:eastAsia="Arial" w:hAnsi="Arial"/>
                <w:sz w:val="18"/>
                <w:szCs w:val="18"/>
                <w:color w:val="auto"/>
              </w:rPr>
              <w:t>Below is a description of each committee of the Board.</w:t>
            </w: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080" w:type="dxa"/>
            <w:vAlign w:val="bottom"/>
            <w:gridSpan w:val="5"/>
          </w:tcPr>
          <w:p>
            <w:pPr>
              <w:spacing w:after="0"/>
              <w:rPr>
                <w:sz w:val="20"/>
                <w:szCs w:val="20"/>
                <w:color w:val="auto"/>
              </w:rPr>
            </w:pPr>
            <w:r>
              <w:rPr>
                <w:rFonts w:ascii="Arial" w:cs="Arial" w:eastAsia="Arial" w:hAnsi="Arial"/>
                <w:sz w:val="18"/>
                <w:szCs w:val="18"/>
                <w:b w:val="1"/>
                <w:bCs w:val="1"/>
                <w:color w:val="auto"/>
              </w:rPr>
              <w:t>Audit Committee</w:t>
            </w: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Committee consists of Messrs. Davis, Hinckley, and Petersen, each of whom satisfies the independence requirements under the Nasdaq Global Market listing standards and Rule 10A-3(b)(1) of the Exchange Act. The chairman of our Audit Committee is Mr. Hinckley. Our Board has determined that each of Messrs. Davis, Hinckley, and Petersen is an “audit committee financial expert”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spacing w:after="0" w:line="191" w:lineRule="exact"/>
        <w:rPr>
          <w:sz w:val="20"/>
          <w:szCs w:val="20"/>
          <w:color w:val="auto"/>
        </w:rPr>
      </w:pPr>
    </w:p>
    <w:p>
      <w:pPr>
        <w:jc w:val="both"/>
        <w:ind w:right="20"/>
        <w:spacing w:after="0" w:line="360" w:lineRule="auto"/>
        <w:rPr>
          <w:sz w:val="20"/>
          <w:szCs w:val="20"/>
          <w:color w:val="auto"/>
        </w:rPr>
      </w:pPr>
      <w:r>
        <w:rPr>
          <w:rFonts w:ascii="Arial" w:cs="Arial" w:eastAsia="Arial" w:hAnsi="Arial"/>
          <w:sz w:val="16"/>
          <w:szCs w:val="16"/>
          <w:color w:val="auto"/>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w:t>
      </w:r>
    </w:p>
    <w:p>
      <w:pPr>
        <w:spacing w:after="0" w:line="1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42" w:right="239" w:bottom="1440" w:gutter="0" w:footer="0" w:header="0"/>
        </w:sectPr>
      </w:pPr>
    </w:p>
    <w:bookmarkStart w:id="15" w:name="page16"/>
    <w:bookmarkEnd w:id="15"/>
    <w:p>
      <w:pPr>
        <w:ind w:left="660" w:hanging="328"/>
        <w:spacing w:after="0" w:line="29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Audit Committee met five times during 2018. Our Board has adopted a written Audit Committee charter that is available to stockholders on SI-BONE’s website at www.si-bone.com.</w:t>
      </w:r>
    </w:p>
    <w:p>
      <w:pPr>
        <w:spacing w:after="0" w:line="170" w:lineRule="exact"/>
        <w:rPr>
          <w:sz w:val="20"/>
          <w:szCs w:val="20"/>
          <w:color w:val="auto"/>
        </w:rPr>
      </w:pPr>
    </w:p>
    <w:p>
      <w:pPr>
        <w:jc w:val="both"/>
        <w:spacing w:after="0" w:line="360" w:lineRule="auto"/>
        <w:rPr>
          <w:sz w:val="20"/>
          <w:szCs w:val="20"/>
          <w:color w:val="auto"/>
        </w:rPr>
      </w:pPr>
      <w:r>
        <w:rPr>
          <w:rFonts w:ascii="Arial" w:cs="Arial" w:eastAsia="Arial" w:hAnsi="Arial"/>
          <w:sz w:val="16"/>
          <w:szCs w:val="16"/>
          <w:color w:val="auto"/>
        </w:rPr>
        <w:t>Our Board reviews the Nasdaq listing standards definition of independence for Audit Committee members on an annual and has determined that all members of SI-BONE’s Audit Committee are independent (as independence is currently defined in Rule 5605(c)(2)(A)(i) and (ii) of the Nasdaq listing standards).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4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 xml:space="preserve">Our Audit Committee has reviewed and discussed the audited financial statements for the fiscal year ended December 31, 2018 with management of SI-BONE. The Audit Committee has discussed with the independent registered public accounting firm the matters required to be discussed by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as adopted by the Public Company Accounting Oversight Board (“PCAOB”).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SI-BONE’s Annual Report on Form 10-K for the fiscal year ended December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Gregory K. Hinckley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Timothy B. Petersen</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Compensation Committee consists of Dr. Bonita, Mr. Davis, and Ms. Licitra, each of whom our Board has determined to be independent under the Nasdaq Global Market listing standards and the rules and regulations of the SEC, a “non-employee director” as defined in Rule 16b-3 promulgated under the Exchange Act. The chairman of our Compensation Committee is Mr. Davis.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approve, the compensation of our executive officers;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approving, or recommending that our Board approve, the terms of compensatory arrangements with our executive officers;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660" w:right="20" w:hanging="328"/>
        <w:spacing w:after="0" w:line="29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61" w:lineRule="exact"/>
        <w:rPr>
          <w:rFonts w:ascii="Arial" w:cs="Arial" w:eastAsia="Arial" w:hAnsi="Arial"/>
          <w:sz w:val="18"/>
          <w:szCs w:val="18"/>
          <w:color w:val="auto"/>
        </w:rPr>
      </w:pPr>
    </w:p>
    <w:p>
      <w:pPr>
        <w:ind w:left="660" w:right="20" w:hanging="328"/>
        <w:spacing w:after="0" w:line="324"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6" w:right="239" w:bottom="1440" w:gutter="0" w:footer="0" w:header="0"/>
        </w:sectPr>
      </w:pPr>
    </w:p>
    <w:bookmarkStart w:id="16" w:name="page17"/>
    <w:bookmarkEnd w:id="16"/>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Compensation Committee met five times during 2018. The Board has adopted a written Compensation Committee charter that is available to stockholders on SI-BONE’s website at www.si-bone.com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23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Typically, our Compensation Committee meets at least four times annually and with greater frequency if necessary. The agenda for each meeting is usually developed by the chair of the Compensation Committee, in consultation with the General Counsel.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or her compensation or individual performance objectives. The charter of the Compensation Committee grants the Compensation Committee full access to all books, records, facilities and personnel of SI-BONE. In addition, under the charter, the Compensation Committee has the authority to obtain, at the expense of SI-BONE,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During the past fiscal year, after taking into consideration the six factors prescribed by the SEC and Nasdaq described above, the Compensation Committee engaged Compensia as compensation consultants. The Compensation Committee requested that Compensia:</w:t>
      </w:r>
    </w:p>
    <w:p>
      <w:pPr>
        <w:spacing w:after="0" w:line="170" w:lineRule="exact"/>
        <w:rPr>
          <w:sz w:val="20"/>
          <w:szCs w:val="20"/>
          <w:color w:val="auto"/>
        </w:rPr>
      </w:pPr>
    </w:p>
    <w:p>
      <w:pPr>
        <w:ind w:left="660" w:hanging="328"/>
        <w:spacing w:after="0" w:line="29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efficacy of SI-BONE’s existing compensation strategy and practices in supporting and reinforcing SI-BONE’s long-term strategic goals; and</w:t>
      </w:r>
    </w:p>
    <w:p>
      <w:pPr>
        <w:spacing w:after="0" w:line="61"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assist in refining SI-BONE’s compensation strategy and in developing and implementing an executive compensation program to execute that strategy.</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SI-BONE’s business operations and strategy, key performance metrics and strategic goals, as well as the labor markets in which SI-BONE competes. Compensia ultimately developed recommendations that were presented to the Compensation Committee for its consideration. Following an active dialogue with Compensia the Compensation Committee approved the recommendations of Compensia.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46" w:right="239" w:bottom="1440" w:gutter="0" w:footer="0" w:header="0"/>
        </w:sectPr>
      </w:pPr>
    </w:p>
    <w:bookmarkStart w:id="17" w:name="page18"/>
    <w:bookmarkEnd w:id="17"/>
    <w:p>
      <w:pPr>
        <w:jc w:val="both"/>
        <w:spacing w:after="0" w:line="304" w:lineRule="auto"/>
        <w:rPr>
          <w:sz w:val="20"/>
          <w:szCs w:val="20"/>
          <w:color w:val="auto"/>
        </w:rPr>
      </w:pPr>
      <w:r>
        <w:rPr>
          <w:rFonts w:ascii="Arial" w:cs="Arial" w:eastAsia="Arial" w:hAnsi="Arial"/>
          <w:sz w:val="16"/>
          <w:szCs w:val="16"/>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SI-BONE’s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43" w:lineRule="exact"/>
        <w:rPr>
          <w:sz w:val="20"/>
          <w:szCs w:val="20"/>
          <w:color w:val="auto"/>
        </w:rPr>
      </w:pPr>
    </w:p>
    <w:p>
      <w:pPr>
        <w:jc w:val="both"/>
        <w:spacing w:after="0" w:line="360" w:lineRule="auto"/>
        <w:rPr>
          <w:sz w:val="20"/>
          <w:szCs w:val="20"/>
          <w:color w:val="auto"/>
        </w:rPr>
      </w:pPr>
      <w:r>
        <w:rPr>
          <w:rFonts w:ascii="Arial" w:cs="Arial" w:eastAsia="Arial" w:hAnsi="Arial"/>
          <w:sz w:val="16"/>
          <w:szCs w:val="16"/>
          <w:color w:val="auto"/>
        </w:rPr>
        <w:t>Our Nominating and Corporate Governance Committee consists of Dr. Freund and Mr. Valentine, each of whom our Board of Directors has determined to be independent under the Nasdaq Global Market listing standards. The chairman of our Nominating and Corporate Governance Committee is Mr. Valentine.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3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administration of our healthcare compliance program.</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Nominating and Corporate Governance Committee met two times during 2018. The Board has adopted a written Nominating and Corporate Governance Committee charter that is available to stockholders on SI-BONE’s website and www.si-bone.com.</w:t>
      </w:r>
    </w:p>
    <w:p>
      <w:pPr>
        <w:spacing w:after="0" w:line="17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SI-BONE, demonstrated excellence in his or her field, having the ability to exercise sound business judgment and having the commitment to rigorously represent the long-term interests of SI-BONE’s stockholders. However, the Nominating and Corporate Governance Committee retains the right to modify these qualifications from time to time. Candidates for director nominees are reviewed in the context of the current composition of the Board, the operating requirements of SI-BONE and the long-term interests of its stockholders. In conducting this assessment, the Nominating and Corporate Governance Committee typically considers diversity (including gender, racial and ethnic diversity), age, skills and such other factors as it deems appropriate, given the current needs of the Board and SI-BONE, to maintain a balance of knowledge, experience and capability.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46" w:right="239" w:bottom="1440" w:gutter="0" w:footer="0" w:header="0"/>
        </w:sectPr>
      </w:pPr>
    </w:p>
    <w:bookmarkStart w:id="18" w:name="page19"/>
    <w:bookmarkEnd w:id="18"/>
    <w:p>
      <w:pPr>
        <w:jc w:val="both"/>
        <w:spacing w:after="0" w:line="285" w:lineRule="auto"/>
        <w:rPr>
          <w:sz w:val="20"/>
          <w:szCs w:val="20"/>
          <w:color w:val="auto"/>
        </w:rPr>
      </w:pPr>
      <w:r>
        <w:rPr>
          <w:rFonts w:ascii="Arial" w:cs="Arial" w:eastAsia="Arial" w:hAnsi="Arial"/>
          <w:sz w:val="17"/>
          <w:szCs w:val="17"/>
          <w:color w:val="auto"/>
        </w:rPr>
        <w:t>The Nominating and Corporate Governance Committee appreciates the value of thoughtful Board refreshment, and regularly identifies and considers qualities, skills and other director attributes that’s would enhance the composition of the Board. In the case of incumbent directors whose terms of office are set to expire, the Committee reviews these directors’ overall service to SI-BONE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fiscal 2018 and 2019, the Nominating and Corporate Governance Committee paid fees to Korn Ferry to assist in the process of identifying or evaluating director candidates.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471 El Camino Real, Suite 101, Santa Clara, CA 95050 at least 120 days prior to the anniversary date of the mailing of SI-BONE’s proxy statement for the last Annual Meeting of Stockholders and no later than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prior to this year’s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SI-BONE’s stock and has been a holder for at least one year. Any such submission must be accompanied by the written consent of the proposed nominee to be named as a nominee and to serve as a director if elected.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our directors has been excellent. Stockholders may communicate with the Board or any of our directors. Stockholders who wish to communicate with the Board may do so by sending written communications addressed as follows: SI-BONE, Inc. Board Communication, 471 El Camino Real, Suite 101, Santa Clara, CA 95050. Any communication sent must state the number of shares owned by the stockholder making the communication. The communications will be reviewed by the Chair of the Board. The Chair of the Board will forward such communication to the Board or to any individual director to whom the communication is addressed unless the communication is unduly frivolous, hostile, threatening or similarly inappropriate, in which case, the Chair of the Board shall discard the communication.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adopted the SI-BONE, Inc. Code of Business Conduct and Ethics that applies to all officers, directors and employees. The Code of Business Conduct and Ethics is available on SI-BONE’s website at www.si-bone.com. If SI-BONE makes any substantive amendments to the Code of Business Conduct and Ethics or grants any waiver from a provision of the Code to any executive officer or director, SI-BONE will promptly disclose the nature of the amendment or waiver on its website.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July 2018, the Board of Directors documented the governance practices followed by SI-BONE by adopting Corporate Governance Guidelines to assure that the Board will have the necessary authority and practices in place to review and evaluate SI-BONE’s business operations as needed and to make decisions that are independent of SI-BONE’s management. The guidelines are also intended to align the interests of directors and management with those of SI-BONE’s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may be viewed at www.si-bone.com.</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Audit Committee of the Board of Directors has selected PricewaterhouseCoopers LLP as SI-BONE’s independent registered public accounting firm for the fiscal year ending December 31, 2019, and has further directed that management submit the selection of its independent registered public accounting firm for ratification by the stockholders at the annual meeting. PricewaterhouseCoopers LLP has audited SI-BONE’s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spacing w:after="0" w:line="17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PricewaterhouseCoopers LLP as SI-BONE’s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SI-BONE and its stockholders.</w:t>
      </w:r>
    </w:p>
    <w:p>
      <w:pPr>
        <w:spacing w:after="0" w:line="16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on the matter at the annual meeting will be required to ratify the selection of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represents aggregate fees billed to SI-BONE for the fiscal years ended December 31, 2017 and 2018 by PricewaterhouseCoopers LLP, our independent registered public accounting firm.</w:t>
      </w:r>
    </w:p>
    <w:p>
      <w:pPr>
        <w:spacing w:after="0" w:line="314"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34290</wp:posOffset>
            </wp:positionV>
            <wp:extent cx="21697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7680" w:type="dxa"/>
            <w:vAlign w:val="bottom"/>
            <w:gridSpan w:val="2"/>
          </w:tcPr>
          <w:p>
            <w:pPr>
              <w:ind w:left="7300"/>
              <w:spacing w:after="0"/>
              <w:rPr>
                <w:sz w:val="20"/>
                <w:szCs w:val="20"/>
                <w:color w:val="auto"/>
              </w:rPr>
            </w:pPr>
            <w:r>
              <w:rPr>
                <w:rFonts w:ascii="Arial" w:cs="Arial" w:eastAsia="Arial" w:hAnsi="Arial"/>
                <w:sz w:val="18"/>
                <w:szCs w:val="18"/>
                <w:b w:val="1"/>
                <w:bCs w:val="1"/>
                <w:color w:val="auto"/>
                <w:w w:val="89"/>
              </w:rPr>
              <w:t>2018</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gridSpan w:val="3"/>
          </w:tcPr>
          <w:p>
            <w:pPr>
              <w:ind w:left="200"/>
              <w:spacing w:after="0"/>
              <w:rPr>
                <w:sz w:val="20"/>
                <w:szCs w:val="20"/>
                <w:color w:val="auto"/>
              </w:rPr>
            </w:pPr>
            <w:r>
              <w:rPr>
                <w:rFonts w:ascii="Arial" w:cs="Arial" w:eastAsia="Arial" w:hAnsi="Arial"/>
                <w:sz w:val="18"/>
                <w:szCs w:val="18"/>
                <w:b w:val="1"/>
                <w:bCs w:val="1"/>
                <w:color w:val="auto"/>
                <w:w w:val="91"/>
              </w:rPr>
              <w:t>(in thousands)</w:t>
            </w:r>
          </w:p>
        </w:tc>
        <w:tc>
          <w:tcPr>
            <w:tcW w:w="104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Audit Fees</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$1,017</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43"/>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Audit-related Fees (specifically describe audit-related fees incurred)</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6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Fees (specifically describe tax fees incurred)</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All Other Fees (specifically describe all other fees incurred)</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Fees</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$1,110</w:t>
            </w: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Committee has adopted a policy and procedures for the pre-approval of audit and non-audit services rendered by SI-BONE’s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Audit Committee has determined that the rendering of services other than audit services by PricewaterhouseCoopers LLP is compatible with maintaining the principal accountant’s independence.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IN FAVOR OF PROPOSAL NO. 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2" w:right="2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following table sets forth certain information regarding the ownership of SI-BONE’s common stock as of April 1, 2019, by: (i) each director and nominee for director; (ii) each of the executive officers named in the Summary Compensation Table; (iii) all executive officers and directors of SI-BONE as a group; and (iv) all those known by SI-BONE to be beneficial owners of more than five percent of its common stock.</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table is based upon information supplied by officers, directors and principal stockholders and Schedules 13G filed with the SEC. Unless otherwise indicated in the footnotes to this table and subject to community property laws where applicable, SI-BONE believes that each of the stockholders named in this table has sole voting and investment power with respect to the shares indicated as beneficially owned. Applicable percentages are based on 24,497,566 shares outstanding on April 1, 2019, adjusted as required by rules promulgated by the SEC.</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Total Beneficial Ownership</w:t>
            </w:r>
          </w:p>
        </w:tc>
        <w:tc>
          <w:tcPr>
            <w:tcW w:w="16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00" w:type="dxa"/>
            <w:vAlign w:val="bottom"/>
          </w:tcPr>
          <w:p>
            <w:pPr>
              <w:jc w:val="center"/>
              <w:ind w:right="95"/>
              <w:spacing w:after="0"/>
              <w:rPr>
                <w:sz w:val="20"/>
                <w:szCs w:val="20"/>
                <w:color w:val="auto"/>
              </w:rPr>
            </w:pPr>
            <w:r>
              <w:rPr>
                <w:rFonts w:ascii="Arial" w:cs="Arial" w:eastAsia="Arial" w:hAnsi="Arial"/>
                <w:sz w:val="18"/>
                <w:szCs w:val="18"/>
                <w:b w:val="1"/>
                <w:bCs w:val="1"/>
                <w:color w:val="auto"/>
                <w:w w:val="91"/>
              </w:rPr>
              <w:t>Right to Acquire</w:t>
            </w:r>
          </w:p>
        </w:tc>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00" w:type="dxa"/>
            <w:vAlign w:val="bottom"/>
          </w:tcPr>
          <w:p>
            <w:pPr>
              <w:jc w:val="center"/>
              <w:ind w:right="95"/>
              <w:spacing w:after="0"/>
              <w:rPr>
                <w:sz w:val="20"/>
                <w:szCs w:val="20"/>
                <w:color w:val="auto"/>
              </w:rPr>
            </w:pPr>
            <w:r>
              <w:rPr>
                <w:rFonts w:ascii="Arial" w:cs="Arial" w:eastAsia="Arial" w:hAnsi="Arial"/>
                <w:sz w:val="18"/>
                <w:szCs w:val="18"/>
                <w:b w:val="1"/>
                <w:bCs w:val="1"/>
                <w:color w:val="auto"/>
                <w:w w:val="90"/>
              </w:rPr>
              <w:t>Shares Within 60</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6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gridSpan w:val="2"/>
          </w:tcPr>
          <w:p>
            <w:pPr>
              <w:ind w:left="1100"/>
              <w:spacing w:after="0"/>
              <w:rPr>
                <w:sz w:val="20"/>
                <w:szCs w:val="20"/>
                <w:color w:val="auto"/>
              </w:rPr>
            </w:pPr>
            <w:r>
              <w:rPr>
                <w:rFonts w:ascii="Arial" w:cs="Arial" w:eastAsia="Arial" w:hAnsi="Arial"/>
                <w:sz w:val="18"/>
                <w:szCs w:val="18"/>
                <w:b w:val="1"/>
                <w:bCs w:val="1"/>
                <w:color w:val="auto"/>
              </w:rPr>
              <w:t>Name of Beneficial Owner</w:t>
            </w: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 Owned</w:t>
            </w:r>
          </w:p>
        </w:tc>
        <w:tc>
          <w:tcPr>
            <w:tcW w:w="1700" w:type="dxa"/>
            <w:vAlign w:val="bottom"/>
          </w:tcPr>
          <w:p>
            <w:pPr>
              <w:jc w:val="center"/>
              <w:ind w:right="95"/>
              <w:spacing w:after="0"/>
              <w:rPr>
                <w:sz w:val="20"/>
                <w:szCs w:val="20"/>
                <w:color w:val="auto"/>
              </w:rPr>
            </w:pPr>
            <w:r>
              <w:rPr>
                <w:rFonts w:ascii="Arial" w:cs="Arial" w:eastAsia="Arial" w:hAnsi="Arial"/>
                <w:sz w:val="18"/>
                <w:szCs w:val="18"/>
                <w:b w:val="1"/>
                <w:bCs w:val="1"/>
                <w:color w:val="auto"/>
                <w:w w:val="87"/>
              </w:rPr>
              <w:t>days</w:t>
            </w: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600" w:type="dxa"/>
            <w:vAlign w:val="bottom"/>
          </w:tcPr>
          <w:p>
            <w:pPr>
              <w:jc w:val="right"/>
              <w:ind w:right="110"/>
              <w:spacing w:after="0"/>
              <w:rPr>
                <w:sz w:val="20"/>
                <w:szCs w:val="20"/>
                <w:color w:val="auto"/>
              </w:rPr>
            </w:pPr>
            <w:r>
              <w:rPr>
                <w:rFonts w:ascii="Arial" w:cs="Arial" w:eastAsia="Arial" w:hAnsi="Arial"/>
                <w:sz w:val="18"/>
                <w:szCs w:val="18"/>
                <w:b w:val="1"/>
                <w:bCs w:val="1"/>
                <w:color w:val="auto"/>
              </w:rPr>
              <w:t>Percent of Total</w:t>
            </w:r>
          </w:p>
        </w:tc>
      </w:tr>
      <w:tr>
        <w:trPr>
          <w:trHeight w:val="108"/>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David P. Bonita, M.D.</w:t>
            </w:r>
            <w:r>
              <w:rPr>
                <w:rFonts w:ascii="Arial" w:cs="Arial" w:eastAsia="Arial" w:hAnsi="Arial"/>
                <w:sz w:val="25"/>
                <w:szCs w:val="25"/>
                <w:color w:val="auto"/>
                <w:vertAlign w:val="superscript"/>
              </w:rPr>
              <w:t>(1)</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985,368</w:t>
            </w:r>
          </w:p>
        </w:tc>
        <w:tc>
          <w:tcPr>
            <w:tcW w:w="17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22,222</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1,007,590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Timothy E. Davis, Jr.</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6,426</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55,397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61,823</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Jeffrey W. Dunn</w:t>
            </w:r>
            <w:r>
              <w:rPr>
                <w:rFonts w:ascii="Arial" w:cs="Arial" w:eastAsia="Arial" w:hAnsi="Arial"/>
                <w:sz w:val="25"/>
                <w:szCs w:val="25"/>
                <w:color w:val="auto"/>
                <w:vertAlign w:val="superscript"/>
              </w:rPr>
              <w:t>(2)</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547,540</w:t>
            </w:r>
          </w:p>
        </w:tc>
        <w:tc>
          <w:tcPr>
            <w:tcW w:w="17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631,902</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1,179,442</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John G. Freund, M.D.</w:t>
            </w:r>
            <w:r>
              <w:rPr>
                <w:rFonts w:ascii="Arial" w:cs="Arial" w:eastAsia="Arial" w:hAnsi="Arial"/>
                <w:sz w:val="25"/>
                <w:szCs w:val="25"/>
                <w:color w:val="auto"/>
                <w:vertAlign w:val="superscript"/>
              </w:rPr>
              <w:t>(3)</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4,419,985</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22,222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4,442,207</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18.1</w:t>
            </w: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Gregory K. Hinckley</w:t>
            </w:r>
            <w:r>
              <w:rPr>
                <w:rFonts w:ascii="Arial" w:cs="Arial" w:eastAsia="Arial" w:hAnsi="Arial"/>
                <w:sz w:val="25"/>
                <w:szCs w:val="25"/>
                <w:color w:val="auto"/>
                <w:vertAlign w:val="superscript"/>
              </w:rPr>
              <w:t>(4)</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116,394</w:t>
            </w:r>
          </w:p>
        </w:tc>
        <w:tc>
          <w:tcPr>
            <w:tcW w:w="17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22,222</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138,616</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Karen A. Licitra</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43,630</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43,630</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Timothy B. Petersen</w:t>
            </w:r>
            <w:r>
              <w:rPr>
                <w:rFonts w:ascii="Arial" w:cs="Arial" w:eastAsia="Arial" w:hAnsi="Arial"/>
                <w:sz w:val="25"/>
                <w:szCs w:val="25"/>
                <w:color w:val="auto"/>
                <w:vertAlign w:val="superscript"/>
              </w:rPr>
              <w:t>(5)</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1,695,036</w:t>
            </w:r>
          </w:p>
        </w:tc>
        <w:tc>
          <w:tcPr>
            <w:tcW w:w="17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22,222</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1,717,258</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Mark A. Reiley, M.D.</w:t>
            </w:r>
            <w:r>
              <w:rPr>
                <w:rFonts w:ascii="Arial" w:cs="Arial" w:eastAsia="Arial" w:hAnsi="Arial"/>
                <w:sz w:val="25"/>
                <w:szCs w:val="25"/>
                <w:color w:val="auto"/>
                <w:vertAlign w:val="superscript"/>
              </w:rPr>
              <w:t>(6)</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542,624</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542,624</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Keith C. Valentine</w:t>
            </w:r>
            <w:r>
              <w:rPr>
                <w:rFonts w:ascii="Arial" w:cs="Arial" w:eastAsia="Arial" w:hAnsi="Arial"/>
                <w:sz w:val="25"/>
                <w:szCs w:val="25"/>
                <w:color w:val="auto"/>
                <w:vertAlign w:val="superscript"/>
              </w:rPr>
              <w:t>(7)</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31,374</w:t>
            </w:r>
          </w:p>
        </w:tc>
        <w:tc>
          <w:tcPr>
            <w:tcW w:w="17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22,222</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53,596</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Heyward R. Donigan</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J. Foley</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Laura A. Francis</w:t>
            </w:r>
            <w:r>
              <w:rPr>
                <w:rFonts w:ascii="Arial" w:cs="Arial" w:eastAsia="Arial" w:hAnsi="Arial"/>
                <w:sz w:val="25"/>
                <w:szCs w:val="25"/>
                <w:color w:val="auto"/>
                <w:vertAlign w:val="superscript"/>
              </w:rPr>
              <w:t>(8)</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44,515</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212,067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256,582</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Anthony J. Recupero</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184,322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184,322</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All executive officers and directors as a group (16</w:t>
            </w:r>
          </w:p>
        </w:tc>
        <w:tc>
          <w:tcPr>
            <w:tcW w:w="1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2"/>
          </w:tcPr>
          <w:p>
            <w:pPr>
              <w:ind w:left="200"/>
              <w:spacing w:after="0"/>
              <w:rPr>
                <w:sz w:val="20"/>
                <w:szCs w:val="20"/>
                <w:color w:val="auto"/>
              </w:rPr>
            </w:pPr>
            <w:r>
              <w:rPr>
                <w:rFonts w:ascii="Arial" w:cs="Arial" w:eastAsia="Arial" w:hAnsi="Arial"/>
                <w:sz w:val="18"/>
                <w:szCs w:val="18"/>
                <w:color w:val="auto"/>
              </w:rPr>
              <w:t>persons)</w:t>
            </w:r>
            <w:r>
              <w:rPr>
                <w:rFonts w:ascii="Arial" w:cs="Arial" w:eastAsia="Arial" w:hAnsi="Arial"/>
                <w:sz w:val="25"/>
                <w:szCs w:val="25"/>
                <w:color w:val="auto"/>
                <w:vertAlign w:val="superscript"/>
              </w:rPr>
              <w:t>(9)</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8,602,656</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1,464,519</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10,067,175</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38.8</w:t>
            </w:r>
          </w:p>
        </w:tc>
      </w:tr>
      <w:tr>
        <w:trPr>
          <w:trHeight w:val="46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5% Stockholders:</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Skyline Venture Partners V, L.P.</w:t>
            </w:r>
            <w:r>
              <w:rPr>
                <w:rFonts w:ascii="Arial" w:cs="Arial" w:eastAsia="Arial" w:hAnsi="Arial"/>
                <w:sz w:val="25"/>
                <w:szCs w:val="25"/>
                <w:color w:val="auto"/>
                <w:vertAlign w:val="superscript"/>
              </w:rPr>
              <w:t>(10)</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4,419,985</w:t>
            </w:r>
          </w:p>
        </w:tc>
        <w:tc>
          <w:tcPr>
            <w:tcW w:w="1700" w:type="dxa"/>
            <w:vAlign w:val="bottom"/>
            <w:shd w:val="clear" w:color="auto" w:fill="CCEEFF"/>
          </w:tcPr>
          <w:p>
            <w:pPr>
              <w:jc w:val="right"/>
              <w:ind w:right="155"/>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4,419,985</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w:t>
            </w: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25"/>
                <w:szCs w:val="25"/>
                <w:color w:val="auto"/>
                <w:vertAlign w:val="superscript"/>
              </w:rPr>
              <w:t>(11)</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2,035,814</w:t>
            </w:r>
          </w:p>
        </w:tc>
        <w:tc>
          <w:tcPr>
            <w:tcW w:w="170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2,035,814</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8.3</w:t>
            </w: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Arboretum Ventures IV, LP</w:t>
            </w:r>
            <w:r>
              <w:rPr>
                <w:rFonts w:ascii="Arial" w:cs="Arial" w:eastAsia="Arial" w:hAnsi="Arial"/>
                <w:sz w:val="25"/>
                <w:szCs w:val="25"/>
                <w:color w:val="auto"/>
                <w:vertAlign w:val="superscript"/>
              </w:rPr>
              <w:t>(12)</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1,695,036</w:t>
            </w:r>
          </w:p>
        </w:tc>
        <w:tc>
          <w:tcPr>
            <w:tcW w:w="1700" w:type="dxa"/>
            <w:vAlign w:val="bottom"/>
            <w:shd w:val="clear" w:color="auto" w:fill="CCEEFF"/>
          </w:tcPr>
          <w:p>
            <w:pPr>
              <w:jc w:val="right"/>
              <w:ind w:right="155"/>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1,695,036</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r>
      <w:tr>
        <w:trPr>
          <w:trHeight w:val="3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RTW Investments, LP</w:t>
            </w:r>
            <w:r>
              <w:rPr>
                <w:rFonts w:ascii="Arial" w:cs="Arial" w:eastAsia="Arial" w:hAnsi="Arial"/>
                <w:sz w:val="25"/>
                <w:szCs w:val="25"/>
                <w:color w:val="auto"/>
                <w:vertAlign w:val="superscript"/>
              </w:rPr>
              <w:t>(13)</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1,234,118</w:t>
            </w:r>
          </w:p>
        </w:tc>
        <w:tc>
          <w:tcPr>
            <w:tcW w:w="170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1,234,118</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185"/>
        </w:trPr>
        <w:tc>
          <w:tcPr>
            <w:tcW w:w="400" w:type="dxa"/>
            <w:vAlign w:val="bottom"/>
            <w:gridSpan w:val="2"/>
          </w:tcPr>
          <w:p>
            <w:pPr>
              <w:spacing w:after="0"/>
              <w:rPr>
                <w:sz w:val="16"/>
                <w:szCs w:val="16"/>
                <w:color w:val="auto"/>
              </w:rPr>
            </w:pPr>
          </w:p>
        </w:tc>
        <w:tc>
          <w:tcPr>
            <w:tcW w:w="4220" w:type="dxa"/>
            <w:vAlign w:val="bottom"/>
            <w:gridSpan w:val="2"/>
          </w:tcPr>
          <w:p>
            <w:pPr>
              <w:spacing w:after="0"/>
              <w:rPr>
                <w:sz w:val="16"/>
                <w:szCs w:val="16"/>
                <w:color w:val="auto"/>
              </w:rPr>
            </w:pPr>
          </w:p>
        </w:tc>
        <w:tc>
          <w:tcPr>
            <w:tcW w:w="16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84"/>
              </w:rPr>
              <w:t>*</w:t>
            </w:r>
          </w:p>
        </w:tc>
        <w:tc>
          <w:tcPr>
            <w:tcW w:w="2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Less than one percent.</w:t>
            </w:r>
          </w:p>
        </w:tc>
        <w:tc>
          <w:tcPr>
            <w:tcW w:w="1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14" w:lineRule="exact"/>
        <w:rPr>
          <w:sz w:val="20"/>
          <w:szCs w:val="20"/>
          <w:color w:val="auto"/>
        </w:rPr>
      </w:pPr>
    </w:p>
    <w:p>
      <w:pPr>
        <w:ind w:left="500" w:hanging="492"/>
        <w:spacing w:after="0" w:line="266"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outstanding shares consist of shares held by OrbiMed Private Investments V, LP. (“OPI V”). Dr. Bonita is an employee of OrbiMed Advisors LLC, which exercises investment and voting power over the securities held by OPI V.</w:t>
      </w:r>
    </w:p>
    <w:p>
      <w:pPr>
        <w:spacing w:after="0" w:line="1" w:lineRule="exact"/>
        <w:rPr>
          <w:rFonts w:ascii="Arial" w:cs="Arial" w:eastAsia="Arial" w:hAnsi="Arial"/>
          <w:sz w:val="18"/>
          <w:szCs w:val="18"/>
          <w:color w:val="auto"/>
        </w:rPr>
      </w:pPr>
    </w:p>
    <w:p>
      <w:pPr>
        <w:ind w:left="500" w:hanging="492"/>
        <w:spacing w:after="0" w:line="266"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outstanding shares consist of shares of common stock held by Jeffrey W. Dunn as Trustee of the Jeffrey W. Dunn Living Trust Dated May 17, 2012.</w:t>
      </w: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outstanding shares consist of the shares held by the Skyline Venture Partners V, L.P. as set forth in footnote 10 below.</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2" w:right="239" w:bottom="1440" w:gutter="0" w:footer="0" w:header="0"/>
        </w:sectPr>
      </w:pPr>
    </w:p>
    <w:bookmarkStart w:id="22" w:name="page23"/>
    <w:bookmarkEnd w:id="22"/>
    <w:p>
      <w:pPr>
        <w:ind w:left="500" w:right="20" w:hanging="492"/>
        <w:spacing w:after="0" w:line="282"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outstanding shares include (i) 3,765 shares of common stock that are unvested and subject to our right of repurchase as of April 1, 2019 and (ii) 75,603 shares of common stock held by Gregory K. Hinckley and Mary C. Hinckley as Community Property with the Right of Survivorship.</w:t>
      </w: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outstanding shares consist of the shares held by Arboretum Ventures IV, L.P. as set forth in footnote 12 below.</w:t>
      </w:r>
    </w:p>
    <w:p>
      <w:pPr>
        <w:spacing w:after="0" w:line="22" w:lineRule="exact"/>
        <w:rPr>
          <w:rFonts w:ascii="Arial" w:cs="Arial" w:eastAsia="Arial" w:hAnsi="Arial"/>
          <w:sz w:val="18"/>
          <w:szCs w:val="18"/>
          <w:color w:val="auto"/>
        </w:rPr>
      </w:pPr>
    </w:p>
    <w:p>
      <w:pPr>
        <w:ind w:left="500" w:hanging="492"/>
        <w:spacing w:after="0" w:line="266"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outstanding shares include (i) 11,934 shares of common stock that are unvested and subject to our right of repurchase as of April 1, 2019 and (ii) 19,444 shares of common stock held by The Mark and Muriel Reiley Charitable Remainder Unitrust.</w:t>
      </w:r>
    </w:p>
    <w:p>
      <w:pPr>
        <w:ind w:left="500" w:hanging="492"/>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outstanding shares include 4,365 shares of common stock that are unvested and subject to our right of repurchase as of April 1, 2019.</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outstanding shares include 13,694 shares of common stock that are unvested and subject to our right of repurchase as of April 1, 2019.</w:t>
      </w:r>
    </w:p>
    <w:p>
      <w:pPr>
        <w:spacing w:after="0" w:line="34" w:lineRule="exact"/>
        <w:rPr>
          <w:rFonts w:ascii="Arial" w:cs="Arial" w:eastAsia="Arial" w:hAnsi="Arial"/>
          <w:sz w:val="17"/>
          <w:szCs w:val="17"/>
          <w:color w:val="auto"/>
        </w:rPr>
      </w:pPr>
    </w:p>
    <w:p>
      <w:pPr>
        <w:jc w:val="both"/>
        <w:ind w:left="500" w:hanging="492"/>
        <w:spacing w:after="0" w:line="281"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(i) 8,389,262 shares of common stock beneficially owned by our directors and Named Executive Officers as listed in the table, as well as 213,394 shares of common stock beneficially owned by our other three executive officers not listed in the table, of which 59,193 shares of common stock are unvested and subject to our right of repurchase as of April 1, 2019, (ii) the right to acquire 1,238,428 shares of common stock within 60 days of April 1, 2019 by our directors and Named Executive Officers listed in the table, as well as the right to acquire 226,091 shares of common stock by our other three executive officers, of which 367,781 shares would be unvested as of such date.</w:t>
      </w:r>
    </w:p>
    <w:p>
      <w:pPr>
        <w:spacing w:after="0" w:line="3" w:lineRule="exact"/>
        <w:rPr>
          <w:rFonts w:ascii="Arial" w:cs="Arial" w:eastAsia="Arial" w:hAnsi="Arial"/>
          <w:sz w:val="17"/>
          <w:szCs w:val="17"/>
          <w:color w:val="auto"/>
        </w:rPr>
      </w:pPr>
    </w:p>
    <w:p>
      <w:pPr>
        <w:jc w:val="both"/>
        <w:ind w:left="500" w:hanging="492"/>
        <w:spacing w:after="0" w:line="266"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a Schedule 13G filed February 14, 2019, reporting beneficial ownership as of December 31, 2018. Each of Skyline Venture Partners V, L.P. (“SVP V”), Skyline Venture Management V, LLC (“SVM V”), John G. Freund, M.D. and Yasunori Kaneko (collectively, the “Skyline Entities”) has shared voting and investment power over these shares. Dr. Freund, a member of our Board, is Managing Director of SVP V and Managing Member of SVM V. The address of the principal place of business of each of the entities and individuals is 525 University Avenue, Suite 1350, Palo Alto, CA 94301.</w:t>
      </w:r>
    </w:p>
    <w:p>
      <w:pPr>
        <w:jc w:val="both"/>
        <w:ind w:left="500" w:hanging="492"/>
        <w:spacing w:after="0" w:line="281"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a Schedule 13G filed February 14, 2019, reporting beneficial ownership as of December 31, 2018. Montreux Equity Partners IV, L.P. (“MEP IV”) has sole voting and investment power over 1,733,494 of these shares, and shared voting and investment power over 302,320 of these shares; Montreux IV Associates, L.L.C. (“Associates”) has sole voting and investment power over 130,391 of these shares, and shared voting and investment power over 1,905,423 of these shares; Montreux IV Associates IV, L.L.C. (“Associates IV”) has sole voting and investment power over 171,929 of these shares, and shared voting and investment power over 1,863,885 of these shares; and Daniel K. Turner III has shared voting and investment power over all of these Shares. Montreux Equity Management IV, L.L.C. (“MEM IV”) is the sole general partner of MEP IV and the manager of Associates and Associates IV. Mr. Turner is the Managing Director of MEM IV. Each of MEM IV and Mr. Turner disclaim beneficial ownership of such securities, except to the extent of their respective pecuniary interests therein. The address of the principal place of business of each of the entities and Mr. Turner is Four Embarcadero Center, Suite 3720, San Francisco, California 94111.</w:t>
      </w:r>
    </w:p>
    <w:p>
      <w:pPr>
        <w:spacing w:after="0" w:line="6" w:lineRule="exact"/>
        <w:rPr>
          <w:rFonts w:ascii="Arial" w:cs="Arial" w:eastAsia="Arial" w:hAnsi="Arial"/>
          <w:sz w:val="17"/>
          <w:szCs w:val="17"/>
          <w:color w:val="auto"/>
        </w:rPr>
      </w:pPr>
    </w:p>
    <w:p>
      <w:pPr>
        <w:jc w:val="both"/>
        <w:ind w:left="500" w:hanging="492"/>
        <w:spacing w:after="0" w:line="266"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a Schedule 13G filed February 14, 2019, reporting beneficial ownership as of December 31, 2018. Each of Arboretum Ventures IV, L.P. (“IV LP”), Arboretum Investment Manager IV, LLC (“IV GP”), Jan L. Garfinkle, Timothy B. Petersen and Paul McCreadie has shared voting and investment power over these shares. The shares are held by IV LP, for which IV GP serves as the sole general partner. Messrs. Garfinkle, Petersen and McCreadie are Managing Partners of IV LLC. The address of the principal place of business of each of the entities and individuals 303 Detroit Street, Suite 301, Ann Arbor, Michigan 48104.</w:t>
      </w:r>
    </w:p>
    <w:p>
      <w:pPr>
        <w:jc w:val="both"/>
        <w:ind w:left="500" w:hanging="492"/>
        <w:spacing w:after="0" w:line="27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a Schedule 13G filed February 15, 2019, reporting beneficial ownership as of February 6, 2019. These shares of common stock are held by one or more private funds managed by RTW Investments, LP (the "RTW"). RTW, in its capacity as the investment manager of the funds, has shared voting and investment power over these shares. Roderick Wong is the Managing Partner of RTW, and therefore also has shared voting and investment power over these shares. The address for each of RTW and Mr. Wong is RTW Investments, LP, 412 West 15th Street, Floor 9, New York, New York 10011.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Section 16(a) of the Exchange Act requires SI-BONE’s directors and executive officers, and persons who own more than ten percent of a registered class of SI-BONE’s equity securities, to file with the SEC initial reports of ownership and reports of changes in ownership of common stock and other equity securities of SI-BONE. Officers, directors and greater than ten percent stockholders are required by SEC regulation to furnish SI-BONE with copies of all Section 16(a) forms they file.</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To SI-BONE’s knowledge, based solely on a review of the copies of such reports furnished to SI-BONE and written representations that no other reports were required, during the fiscal year ended December 31, 2018, all Section 16(a) filing requirements applicable to its officers, directors and greater than ten percent beneficial owners were complied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our executive officers as of April 1, 2019.</w:t>
      </w: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Age</w:t>
            </w:r>
          </w:p>
        </w:tc>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6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37"/>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Jeffrey W. Dunn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0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w:t>
            </w: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Laura A. Francis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00" w:type="dxa"/>
            <w:vAlign w:val="bottom"/>
          </w:tcPr>
          <w:p>
            <w:pPr>
              <w:spacing w:after="0"/>
              <w:rPr>
                <w:sz w:val="23"/>
                <w:szCs w:val="23"/>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84"/>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Michael A. Pisetsky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40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General Counsel and Chief Compliance Officer</w:t>
            </w: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W. Carlton Reckling, M.D.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00" w:type="dxa"/>
            <w:vAlign w:val="bottom"/>
          </w:tcPr>
          <w:p>
            <w:pPr>
              <w:spacing w:after="0"/>
              <w:rPr>
                <w:sz w:val="23"/>
                <w:szCs w:val="23"/>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Chief Medical Officer and Vice President, Medical Affairs</w:t>
            </w: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Anthony J. Recupero.</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00" w:type="dxa"/>
            <w:vAlign w:val="bottom"/>
          </w:tcPr>
          <w:p>
            <w:pPr>
              <w:spacing w:after="0"/>
              <w:rPr>
                <w:sz w:val="23"/>
                <w:szCs w:val="23"/>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Chief Commercial Officer</w:t>
            </w: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Scott A. Yerby, Ph.D.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00" w:type="dxa"/>
            <w:vAlign w:val="bottom"/>
          </w:tcPr>
          <w:p>
            <w:pPr>
              <w:spacing w:after="0"/>
              <w:rPr>
                <w:sz w:val="23"/>
                <w:szCs w:val="23"/>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Mr. Dunn’s biography, see “Proposal No. 1 - Election of Directors - Directors Continuing in Office Until the 2020 Annual Meeting” above.</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Laura A. Francis </w:t>
      </w:r>
      <w:r>
        <w:rPr>
          <w:rFonts w:ascii="Arial" w:cs="Arial" w:eastAsia="Arial" w:hAnsi="Arial"/>
          <w:sz w:val="18"/>
          <w:szCs w:val="18"/>
          <w:color w:val="auto"/>
        </w:rPr>
        <w:t>has served as our Chief Financial Officer since May 2015. Prior to joining us, Ms. Francis was the Chief Financial Officer for Auxogyn,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January 2019, Ms. Francis has served as a member of the board of directors of ShockWave Medical, Inc, a medical device company. Ms. Francis received a B.B.A. from the University of Wisconsin and an M.B.A. from Stanford University. She is a Certified Public Accountant (inactive) in the State of California.</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Michael A. Pisetsky </w:t>
      </w:r>
      <w:r>
        <w:rPr>
          <w:rFonts w:ascii="Arial" w:cs="Arial" w:eastAsia="Arial" w:hAnsi="Arial"/>
          <w:sz w:val="18"/>
          <w:szCs w:val="18"/>
          <w:color w:val="auto"/>
        </w:rPr>
        <w:t>has served as our General Counsel and Chief Compliance Officer since August 2016. Mr. Pisetsky joined us in March 2015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Legal. From August 2011 to March 2015, Mr. Pisetsky practiced law privately advising a number of companies in the medical technology, healthcare services and real estate industries. From August 2008 to July 2011, Mr. Pisetsky was an Associate in the Business Department at Cooley LLP in Palo Alto, representing a number of medical technology, biotech, healthcare services and general technology clients, from inception to public offering or sale. Mr. Pisetsky received his B.A. with Honors from Harvard College. Mr. Pisetsky received his J.D. (magna cum laude) and M.B.A., including a certificate in Health Sector Management, concurrently from Duke University.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2" w:right="239" w:bottom="1440" w:gutter="0" w:footer="0" w:header="0"/>
        </w:sectPr>
      </w:pPr>
    </w:p>
    <w:bookmarkStart w:id="24" w:name="page25"/>
    <w:bookmarkEnd w:id="24"/>
    <w:p>
      <w:pPr>
        <w:jc w:val="both"/>
        <w:spacing w:after="0" w:line="288" w:lineRule="auto"/>
        <w:rPr>
          <w:sz w:val="20"/>
          <w:szCs w:val="20"/>
          <w:color w:val="auto"/>
        </w:rPr>
      </w:pPr>
      <w:r>
        <w:rPr>
          <w:rFonts w:ascii="Arial" w:cs="Arial" w:eastAsia="Arial" w:hAnsi="Arial"/>
          <w:sz w:val="17"/>
          <w:szCs w:val="17"/>
          <w:b w:val="1"/>
          <w:bCs w:val="1"/>
          <w:i w:val="1"/>
          <w:iCs w:val="1"/>
          <w:color w:val="auto"/>
        </w:rPr>
        <w:t xml:space="preserve">W. Carlton Reckling, M.D. </w:t>
      </w:r>
      <w:r>
        <w:rPr>
          <w:rFonts w:ascii="Arial" w:cs="Arial" w:eastAsia="Arial" w:hAnsi="Arial"/>
          <w:sz w:val="17"/>
          <w:szCs w:val="17"/>
          <w:color w:val="auto"/>
        </w:rPr>
        <w:t>has served as our Vice President, Medical Affairs since April 2012 and our Chief Medical Officer since February 2017. From July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1994 to April 2012, Dr. Reckling was a spine surgeon at the Spine Center in Loveland, Colorado, Rocky Mountain Orthopedic Specialists in Cheyenne, Wyoming, the Center for Spine &amp; Orthopedic Surgery in Cheyenne, Wyoming, Associates in Orthopedic Surgery in Cheyenne, Wyoming, and Ramsey Hospital and Clinics in St. Paul, Minnesota. Dr. Reckling received a B.S. in Chemical Engineering from Northwestern University, an M.D. from Creighton University, and an M.B.A. from the University of Wyoming. He completed his internship and his residency in orthopedic surgery at the University of Minnesota. While in the Minnesota program, he spent time at the Twin Cities Scoliosis Center. He completed his fellowship in spine surgery at Queen’s University Medical Centre in Nottingham, England. Dr. Reckling also underwent additional training in general surgery at the University of Minnesota Hospitals and Clinics in Minneapolis, Minnesota. Dr. Reckling is a board-certified orthopedic spine surgeon.</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 xml:space="preserve">Anthony J. Recupero </w:t>
      </w:r>
      <w:r>
        <w:rPr>
          <w:rFonts w:ascii="Arial" w:cs="Arial" w:eastAsia="Arial" w:hAnsi="Arial"/>
          <w:sz w:val="17"/>
          <w:szCs w:val="17"/>
          <w:color w:val="auto"/>
        </w:rPr>
        <w:t>has served as our Chief Commercial Officer since July 2016. Prior to joining us, Mr. Recupero was the President of Catalyst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 xml:space="preserve">Scott A. Yerby, Ph.D. </w:t>
      </w:r>
      <w:r>
        <w:rPr>
          <w:rFonts w:ascii="Arial" w:cs="Arial" w:eastAsia="Arial" w:hAnsi="Arial"/>
          <w:sz w:val="18"/>
          <w:szCs w:val="18"/>
          <w:color w:val="auto"/>
        </w:rPr>
        <w:t>has served as our Chief Technology Officer since January 2011. Prior to joining us, Dr. Yerby served as Vice President,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for ProMed, Inc., a medical supply company, from June 2009 to January 2011. From May 2007 to June 2009, Dr. Yerby sat on the board of several non-profit organizations. From June 2000 to May 2007, Dr. Yerby served as Vice President of Research and Development for St. Francis Medical Technologies, Inc., a spinal manufacturing company, until its acquisition by Kyphon, Inc. From June 1997 to June 2000, Dr. Yerby served as Director of Experimental Biomechanics at the Palo Alto VA Hospital. Early in his career, Dr. Yerby held appointments as Consulting Assistant Professor at Stanford University in the Department of Mechanical Engineering, Division of Biomechanical Engineering, and the Department of Functional Restoration, Division of Orthopedic Surgery. Dr. Yerby received B.S. and M.S. degrees in Mechanical Engineering and a Ph.D. in Biomedical Engineering, all from the University of California, Davis.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6"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43"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The following table shows for the fiscal years ended 2018 and 2017, compensation awarded to or paid to, or earned by, our Chief Executive Officer, Chief Financial Officer and our other most highly compensated executive officers at December 31, 2018 (the “Named Executive Officers”).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 FOR FISCAL 2018</w:t>
      </w:r>
    </w:p>
    <w:p>
      <w:pPr>
        <w:spacing w:after="0" w:line="392"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Name and Principal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Option</w:t>
            </w:r>
          </w:p>
        </w:tc>
        <w:tc>
          <w:tcPr>
            <w:tcW w:w="120" w:type="dxa"/>
            <w:vAlign w:val="bottom"/>
          </w:tcPr>
          <w:p>
            <w:pPr>
              <w:spacing w:after="0"/>
              <w:rPr>
                <w:sz w:val="17"/>
                <w:szCs w:val="17"/>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b w:val="1"/>
                <w:bCs w:val="1"/>
                <w:color w:val="auto"/>
              </w:rPr>
              <w:t>All Other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3"/>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Salary</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3"/>
              <w:spacing w:after="0" w:line="243" w:lineRule="exact"/>
              <w:rPr>
                <w:sz w:val="20"/>
                <w:szCs w:val="20"/>
                <w:color w:val="auto"/>
              </w:rPr>
            </w:pPr>
            <w:r>
              <w:rPr>
                <w:rFonts w:ascii="Arial" w:cs="Arial" w:eastAsia="Arial" w:hAnsi="Arial"/>
                <w:sz w:val="28"/>
                <w:szCs w:val="28"/>
                <w:b w:val="1"/>
                <w:bCs w:val="1"/>
                <w:color w:val="auto"/>
                <w:w w:val="84"/>
                <w:vertAlign w:val="subscript"/>
              </w:rPr>
              <w:t>Bonus</w:t>
            </w:r>
            <w:r>
              <w:rPr>
                <w:rFonts w:ascii="Arial" w:cs="Arial" w:eastAsia="Arial" w:hAnsi="Arial"/>
                <w:sz w:val="10"/>
                <w:szCs w:val="10"/>
                <w:b w:val="1"/>
                <w:bCs w:val="1"/>
                <w:color w:val="auto"/>
                <w:w w:val="84"/>
              </w:rPr>
              <w:t>(1)(2)</w:t>
            </w: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8"/>
              </w:rPr>
              <w:t>Awards</w:t>
            </w:r>
            <w:r>
              <w:rPr>
                <w:rFonts w:ascii="Arial" w:cs="Arial" w:eastAsia="Arial" w:hAnsi="Arial"/>
                <w:sz w:val="21"/>
                <w:szCs w:val="21"/>
                <w:b w:val="1"/>
                <w:bCs w:val="1"/>
                <w:color w:val="auto"/>
                <w:w w:val="88"/>
                <w:vertAlign w:val="superscript"/>
              </w:rPr>
              <w:t>(3)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0"/>
              </w:rPr>
              <w:t>Awards</w:t>
            </w:r>
            <w:r>
              <w:rPr>
                <w:rFonts w:ascii="Arial" w:cs="Arial" w:eastAsia="Arial" w:hAnsi="Arial"/>
                <w:sz w:val="21"/>
                <w:szCs w:val="21"/>
                <w:b w:val="1"/>
                <w:bCs w:val="1"/>
                <w:color w:val="auto"/>
                <w:w w:val="90"/>
                <w:vertAlign w:val="superscript"/>
              </w:rPr>
              <w:t>(3)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(4)</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1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Jeffrey W. Dunn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466,095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262,546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696,327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245,692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1,670,660</w:t>
            </w:r>
          </w:p>
        </w:tc>
      </w:tr>
      <w:tr>
        <w:trPr>
          <w:trHeight w:val="25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President and Chief</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19"/>
        </w:trPr>
        <w:tc>
          <w:tcPr>
            <w:tcW w:w="1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Executive Officer</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437,750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249,518</w:t>
            </w: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251,618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239,889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1,178,775</w:t>
            </w:r>
          </w:p>
        </w:tc>
      </w:tr>
      <w:tr>
        <w:trPr>
          <w:trHeight w:val="507"/>
        </w:trPr>
        <w:tc>
          <w:tcPr>
            <w:tcW w:w="1980" w:type="dxa"/>
            <w:vAlign w:val="bottom"/>
          </w:tcPr>
          <w:p>
            <w:pPr>
              <w:ind w:left="20"/>
              <w:spacing w:after="0"/>
              <w:rPr>
                <w:sz w:val="20"/>
                <w:szCs w:val="20"/>
                <w:color w:val="auto"/>
              </w:rPr>
            </w:pPr>
            <w:r>
              <w:rPr>
                <w:rFonts w:ascii="Arial" w:cs="Arial" w:eastAsia="Arial" w:hAnsi="Arial"/>
                <w:sz w:val="16"/>
                <w:szCs w:val="16"/>
                <w:color w:val="auto"/>
              </w:rPr>
              <w:t>Laura A. Francis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318,512</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319,418</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77,356</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19,044</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734,330</w:t>
            </w:r>
          </w:p>
        </w:tc>
      </w:tr>
      <w:tr>
        <w:trPr>
          <w:trHeight w:val="270"/>
        </w:trPr>
        <w:tc>
          <w:tcPr>
            <w:tcW w:w="198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302,315</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120,624</w:t>
            </w:r>
          </w:p>
        </w:tc>
        <w:tc>
          <w:tcPr>
            <w:tcW w:w="3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77,073</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18,458</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518,470</w:t>
            </w:r>
          </w:p>
        </w:tc>
      </w:tr>
      <w:tr>
        <w:trPr>
          <w:trHeight w:val="303"/>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Anthony J. Recupero</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323,911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145,911</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19,204</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489,026</w:t>
            </w:r>
          </w:p>
        </w:tc>
      </w:tr>
      <w:tr>
        <w:trPr>
          <w:trHeight w:val="27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 Commercial Officer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315,000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142,924</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107,503</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18,468</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583,895</w:t>
            </w:r>
          </w:p>
        </w:tc>
      </w:tr>
      <w:tr>
        <w:trPr>
          <w:trHeight w:val="33"/>
        </w:trPr>
        <w:tc>
          <w:tcPr>
            <w:tcW w:w="1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49" w:lineRule="exact"/>
        <w:rPr>
          <w:sz w:val="20"/>
          <w:szCs w:val="20"/>
          <w:color w:val="auto"/>
        </w:rPr>
      </w:pPr>
    </w:p>
    <w:p>
      <w:pPr>
        <w:jc w:val="both"/>
        <w:ind w:left="420" w:hanging="412"/>
        <w:spacing w:after="0" w:line="266"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payments upon the achievement of 2018 and 2017 corporate goals, as applicable, as well as individual objectives, which were paid in January 2019 and January 2018, respectively. Our corporate goals included revenue growth, cash flow, expense, profitability management, reimbursement progress and clinical milestones.</w:t>
      </w:r>
    </w:p>
    <w:p>
      <w:pPr>
        <w:spacing w:after="0" w:line="1" w:lineRule="exact"/>
        <w:rPr>
          <w:rFonts w:ascii="Arial" w:cs="Arial" w:eastAsia="Arial" w:hAnsi="Arial"/>
          <w:sz w:val="18"/>
          <w:szCs w:val="18"/>
          <w:color w:val="auto"/>
        </w:rPr>
      </w:pPr>
    </w:p>
    <w:p>
      <w:pPr>
        <w:ind w:left="420" w:right="20" w:hanging="412"/>
        <w:spacing w:after="0" w:line="266"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reported in 2018 for Ms. Francis and Mr. Recupero include bonus paid in connection with the completion of our initial public offering in the amounts of $200,000 and $25,000, respectively.</w:t>
      </w:r>
    </w:p>
    <w:p>
      <w:pPr>
        <w:jc w:val="both"/>
        <w:ind w:left="420" w:hanging="412"/>
        <w:spacing w:after="0" w:line="266"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restricted stock units and option awards granted to the officer and, with respect to 2017, the incremental fair value of stock options repriced in December 2017, computed in accordance with FASB ASC Topic 718. See Note 11 to our financial statements in our Annual Report on Form 10-K, filed with the SEC on March 14, 2019.</w:t>
      </w:r>
    </w:p>
    <w:p>
      <w:pPr>
        <w:ind w:left="420" w:hanging="412"/>
        <w:spacing w:after="0" w:line="292"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reported include medical and life insurance premiums paid by us on behalf of our Named Executive Officers and, with respect to our Chief Executive Officer, forgiveness of a note payable to us in 2017 ($231,914) and 2018 ($231,914).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OUTSTANDING EQUITY AWARDS AT DECEMBER 31, 2018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regarding outstanding equity awards at December 31, 2018, for our Named Executive Officers: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Number of</w:t>
            </w:r>
          </w:p>
        </w:tc>
        <w:tc>
          <w:tcPr>
            <w:tcW w:w="12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Vesting</w:t>
            </w:r>
          </w:p>
        </w:tc>
        <w:tc>
          <w:tcPr>
            <w:tcW w:w="2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Options Vested</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 Unvested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Commencement Date</w:t>
            </w:r>
          </w:p>
        </w:tc>
        <w:tc>
          <w:tcPr>
            <w:tcW w:w="2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8"/>
                <w:szCs w:val="8"/>
                <w:b w:val="1"/>
                <w:bCs w:val="1"/>
                <w:color w:val="auto"/>
                <w:w w:val="98"/>
              </w:rPr>
              <w:t>(1)(2)</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Vested</w:t>
            </w:r>
            <w:r>
              <w:rPr>
                <w:rFonts w:ascii="Arial" w:cs="Arial" w:eastAsia="Arial" w:hAnsi="Arial"/>
                <w:sz w:val="8"/>
                <w:szCs w:val="8"/>
                <w:b w:val="1"/>
                <w:bCs w:val="1"/>
                <w:color w:val="auto"/>
                <w:w w:val="93"/>
              </w:rPr>
              <w:t>(5)</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Have Not Vested</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Jeffrey W. Dunn</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07/21/14</w:t>
            </w:r>
          </w:p>
        </w:tc>
        <w:tc>
          <w:tcPr>
            <w:tcW w:w="172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07/21/14</w:t>
            </w:r>
          </w:p>
        </w:tc>
        <w:tc>
          <w:tcPr>
            <w:tcW w:w="138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272,753</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07/20/24</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26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05/26/15</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04/15/15</w:t>
            </w:r>
          </w:p>
        </w:tc>
        <w:tc>
          <w:tcPr>
            <w:tcW w:w="138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92,988</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8,452</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4.32</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05/25/25</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07/26/16</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06/02/16</w:t>
            </w:r>
          </w:p>
        </w:tc>
        <w:tc>
          <w:tcPr>
            <w:tcW w:w="138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71,818</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43,083</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4.32</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07/25/26</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03/01/17</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09/06/17</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39,460</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86,800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4.68</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03/01/27</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08/17/17</w:t>
            </w:r>
          </w:p>
        </w:tc>
        <w:tc>
          <w:tcPr>
            <w:tcW w:w="2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33,333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696,327</w:t>
            </w:r>
          </w:p>
        </w:tc>
        <w:tc>
          <w:tcPr>
            <w:tcW w:w="0" w:type="dxa"/>
            <w:vAlign w:val="bottom"/>
          </w:tcPr>
          <w:p>
            <w:pPr>
              <w:spacing w:after="0"/>
              <w:rPr>
                <w:sz w:val="1"/>
                <w:szCs w:val="1"/>
                <w:color w:val="auto"/>
              </w:rPr>
            </w:pPr>
          </w:p>
        </w:tc>
      </w:tr>
      <w:tr>
        <w:trPr>
          <w:trHeight w:val="453"/>
        </w:trPr>
        <w:tc>
          <w:tcPr>
            <w:tcW w:w="1260" w:type="dxa"/>
            <w:vAlign w:val="bottom"/>
          </w:tcPr>
          <w:p>
            <w:pPr>
              <w:ind w:left="40"/>
              <w:spacing w:after="0"/>
              <w:rPr>
                <w:sz w:val="20"/>
                <w:szCs w:val="20"/>
                <w:color w:val="auto"/>
              </w:rPr>
            </w:pPr>
            <w:r>
              <w:rPr>
                <w:rFonts w:ascii="Arial" w:cs="Arial" w:eastAsia="Arial" w:hAnsi="Arial"/>
                <w:sz w:val="16"/>
                <w:szCs w:val="16"/>
                <w:color w:val="auto"/>
              </w:rPr>
              <w:t>Laura A. Francis</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05/26/15</w:t>
            </w:r>
          </w:p>
        </w:tc>
        <w:tc>
          <w:tcPr>
            <w:tcW w:w="17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05/26/15</w:t>
            </w:r>
          </w:p>
        </w:tc>
        <w:tc>
          <w:tcPr>
            <w:tcW w:w="1380" w:type="dxa"/>
            <w:vAlign w:val="bottom"/>
            <w:gridSpan w:val="2"/>
          </w:tcPr>
          <w:p>
            <w:pPr>
              <w:jc w:val="right"/>
              <w:ind w:right="45"/>
              <w:spacing w:after="0"/>
              <w:rPr>
                <w:sz w:val="20"/>
                <w:szCs w:val="20"/>
                <w:color w:val="auto"/>
              </w:rPr>
            </w:pPr>
            <w:r>
              <w:rPr>
                <w:rFonts w:ascii="Arial" w:cs="Arial" w:eastAsia="Arial" w:hAnsi="Arial"/>
                <w:sz w:val="16"/>
                <w:szCs w:val="16"/>
                <w:color w:val="auto"/>
              </w:rPr>
              <w:t>158,017</w:t>
            </w:r>
          </w:p>
        </w:tc>
        <w:tc>
          <w:tcPr>
            <w:tcW w:w="240" w:type="dxa"/>
            <w:vAlign w:val="bottom"/>
          </w:tcPr>
          <w:p>
            <w:pPr>
              <w:spacing w:after="0"/>
              <w:rPr>
                <w:sz w:val="24"/>
                <w:szCs w:val="24"/>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19,840</w:t>
            </w:r>
          </w:p>
        </w:tc>
        <w:tc>
          <w:tcPr>
            <w:tcW w:w="12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4.32</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05/25/25</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07/26/16</w:t>
            </w:r>
          </w:p>
        </w:tc>
        <w:tc>
          <w:tcPr>
            <w:tcW w:w="17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06/02/16</w:t>
            </w:r>
          </w:p>
        </w:tc>
        <w:tc>
          <w:tcPr>
            <w:tcW w:w="1380" w:type="dxa"/>
            <w:vAlign w:val="bottom"/>
            <w:gridSpan w:val="2"/>
          </w:tcPr>
          <w:p>
            <w:pPr>
              <w:jc w:val="right"/>
              <w:ind w:right="45"/>
              <w:spacing w:after="0"/>
              <w:rPr>
                <w:sz w:val="20"/>
                <w:szCs w:val="20"/>
                <w:color w:val="auto"/>
              </w:rPr>
            </w:pPr>
            <w:r>
              <w:rPr>
                <w:rFonts w:ascii="Arial" w:cs="Arial" w:eastAsia="Arial" w:hAnsi="Arial"/>
                <w:sz w:val="16"/>
                <w:szCs w:val="16"/>
                <w:color w:val="auto"/>
              </w:rPr>
              <w:t>11,361</w:t>
            </w:r>
          </w:p>
        </w:tc>
        <w:tc>
          <w:tcPr>
            <w:tcW w:w="2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4.32</w:t>
            </w:r>
          </w:p>
        </w:tc>
        <w:tc>
          <w:tcPr>
            <w:tcW w:w="34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07/25/26</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03/01/17</w:t>
            </w:r>
          </w:p>
        </w:tc>
        <w:tc>
          <w:tcPr>
            <w:tcW w:w="17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09/06/17</w:t>
            </w:r>
          </w:p>
        </w:tc>
        <w:tc>
          <w:tcPr>
            <w:tcW w:w="220" w:type="dxa"/>
            <w:vAlign w:val="bottom"/>
          </w:tcPr>
          <w:p>
            <w:pPr>
              <w:spacing w:after="0"/>
              <w:rPr>
                <w:sz w:val="23"/>
                <w:szCs w:val="23"/>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17,307</w:t>
            </w:r>
          </w:p>
        </w:tc>
        <w:tc>
          <w:tcPr>
            <w:tcW w:w="12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4.68</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03/01/27</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08/17/17</w:t>
            </w:r>
          </w:p>
        </w:tc>
        <w:tc>
          <w:tcPr>
            <w:tcW w:w="24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3"/>
                <w:szCs w:val="23"/>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3,703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77,356</w:t>
            </w:r>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gridSpan w:val="2"/>
          </w:tcPr>
          <w:p>
            <w:pPr>
              <w:spacing w:after="0"/>
              <w:rPr>
                <w:sz w:val="24"/>
                <w:szCs w:val="24"/>
                <w:color w:val="auto"/>
              </w:rPr>
            </w:pPr>
          </w:p>
        </w:tc>
        <w:tc>
          <w:tcPr>
            <w:tcW w:w="13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Anthony J.</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07/26/16</w:t>
            </w:r>
          </w:p>
        </w:tc>
        <w:tc>
          <w:tcPr>
            <w:tcW w:w="172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07/05/16</w:t>
            </w:r>
          </w:p>
        </w:tc>
        <w:tc>
          <w:tcPr>
            <w:tcW w:w="138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75,886</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49,704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07/25/26</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Recupero</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03/01/17</w:t>
            </w:r>
          </w:p>
        </w:tc>
        <w:tc>
          <w:tcPr>
            <w:tcW w:w="172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09/06/17</w:t>
            </w:r>
          </w:p>
        </w:tc>
        <w:tc>
          <w:tcPr>
            <w:tcW w:w="138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16,860</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37,083</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4.68</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03/01/27</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2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49" w:lineRule="exact"/>
        <w:rPr>
          <w:sz w:val="20"/>
          <w:szCs w:val="20"/>
          <w:color w:val="auto"/>
        </w:rPr>
      </w:pPr>
    </w:p>
    <w:p>
      <w:pPr>
        <w:ind w:left="420" w:right="20" w:hanging="412"/>
        <w:spacing w:after="0" w:line="266"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subject to the option vests in equal monthly installments over four years commencing on the vesting commencement date specified above, subject to the continued service with us through each relevant vesting date.</w:t>
      </w:r>
    </w:p>
    <w:p>
      <w:pPr>
        <w:spacing w:after="0" w:line="1"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unvested shares subject to these options are subject to accelerated vesting as described in “Equity Acceleration” below.</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stock option was repriced in July 2016.</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stock option was repriced in December 2017.</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 restricted stock unit granted outside of our equity compensation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4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 advantaged basis. Eligible employees are able to defer eligible compensation up to certain Code limits, which are updated annually. We have the ability to make matching and discretionary contributions to the 401(k) plan, but have not done so to date. Employee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an “emerging growth company,” as defined in the JOBS Act.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during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during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24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have offer letters with each of our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The key terms of employment with our Named Executive Officers are described below. See “Executive Compensation—Outstanding Equity Awards as of December 31, 2018” for information on outstanding options as of December 31, 2018 for our Named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W. Dunn</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 December 2009, we entered into an offer letter with Jeffrey W. Dunn, our President and Chief Executive Officer. Mr. Dunn’s annual base salary as of January 1, 2017 was $437,750 and Mr. Dunn was eligible for annual variable compensation up to 50% of his base salary. As of April 1, 2018, Mr. Dunn’s annual base salary was increased to $451,320. Upon the closing of our initial public offering, Mr. Dunn’s annual base salary was increased to $540,000 and Mr. Dunn became eligible for annual variable compensation up to 75% of his base salary. Under the terms of Mr. Dunn’s offer letter, if he is subject to an “involuntary termination,” then we will continue to pay his base salary and reimburse his COBRA premiums for up to 12 months. An involuntary termination occurs if Mr. Dunn’s employment is terminated by us without “cause” at any time or if he resigns for “good reason” within 12 months after a “change in control” (as such terms are defined in the offer letter). These severance benefits are contingent on Mr. Dunn’s return of all of our property, execution of a release of claims, and resignation from our Board, if applicable.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March 2017, Mr. Dunn was granted an option to purchase 126,260 shares of common stock with an exercise price of $5.94 per share vesting in equal monthly installments over four years commencing upon the closing of our initial public offering of our common stock, subject to Mr. Dunn’s continued service with us through each relevant vesting date. In December 2017, this option was repriced with an exercise price of $4.68 per share and the vesting commencement date was set at September 6, 2017.</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August 2018, Mr. Dunn was granted 33,333 restricted stock units, 50% of which will vest on the first day of the first open trading window (as determined under our insider trading policy) that occurs after the one-year anniversary of the closing of our initial public offering, and 50% of which will vest on the first day of the first open trading window (as determined under our insider trading policy) that occurs after the two-year anniversary of the closing of our initial public offering, subject to Mr. Dunn’s continued service with us through each relevant vesting date.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jc w:val="both"/>
        <w:spacing w:after="0" w:line="303" w:lineRule="auto"/>
        <w:rPr>
          <w:sz w:val="20"/>
          <w:szCs w:val="20"/>
          <w:color w:val="auto"/>
        </w:rPr>
      </w:pPr>
      <w:r>
        <w:rPr>
          <w:rFonts w:ascii="Arial" w:cs="Arial" w:eastAsia="Arial" w:hAnsi="Arial"/>
          <w:sz w:val="17"/>
          <w:szCs w:val="17"/>
          <w:color w:val="auto"/>
        </w:rPr>
        <w:t>Mr. Dunn’s options to purchase 114,901 shares granted in July 2016 and 126,260 shares granted in March 2017 will fully vest if we are subject to a change in control before Mr. Dunn’s service terminates, provided he agrees to provide services to the acquiring company for a period not to exceed six months. Mr. Dunn’s option for 101,440 shares granted in May 2015, will vest as to 50% of the option shares if we are subject to a change in control.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Laura A. Francis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April 2015, we entered into an offer letter with Laura A. Francis, our Chief Financial Officer. Ms. Francis’ annual base salary as of January 1, 2017 was $302,315 and Ms. Francis was eligible for annual variable compensation up to 35% of her base salary. As of April 1, 2018, Ms. Francis’ annual base salary was increased to $314,106. Upon the closing of our initial public offering, Ms. Francis’s annual base salary was increased to $350,000 and Ms. Francis became eligible for annual variable compensation up to 45% of her base salary.</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her offer letter, Ms. Francis was granted an option to purchase 190,483 shares, with an exercise price of $7.92 per share. Twenty-five percent of the shares subject to this option vested on May 26, 2016, and 1/36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balance of the shares began vesting each month thereafter, subject to Ms. Francis’ continued service with us through each relevant vesting date. Ms. Francis’ offer letter provides that she will vest in 50% of the unvested option shares if (a) we are subject to a change in control (as defined in the offer letter) before her service with us terminates and (b) she is subject to an involuntary termination (as defined in the offer letter) within 12 months after the change in control. In addition, in the event of Ms. Francis’ termination for any reason other than for cause (as defined in the offer letter) we will make a lump sum payment to her equal to three months of her then-current base salary. These severance benefits are contingent on Ms. Francis’ return of all of our property and execution of a release of claims.</w:t>
      </w:r>
    </w:p>
    <w:p>
      <w:pPr>
        <w:spacing w:after="0" w:line="193" w:lineRule="exact"/>
        <w:rPr>
          <w:sz w:val="20"/>
          <w:szCs w:val="20"/>
          <w:color w:val="auto"/>
        </w:rPr>
      </w:pPr>
    </w:p>
    <w:p>
      <w:pPr>
        <w:jc w:val="both"/>
        <w:spacing w:after="0" w:line="360" w:lineRule="auto"/>
        <w:rPr>
          <w:sz w:val="20"/>
          <w:szCs w:val="20"/>
          <w:color w:val="auto"/>
        </w:rPr>
      </w:pPr>
      <w:r>
        <w:rPr>
          <w:rFonts w:ascii="Arial" w:cs="Arial" w:eastAsia="Arial" w:hAnsi="Arial"/>
          <w:sz w:val="16"/>
          <w:szCs w:val="16"/>
          <w:color w:val="auto"/>
        </w:rPr>
        <w:t>In March 2016, we entered into a severance letter agreement with Ms. Francis. This agreement provides that in the event we terminate her for any reason other than for cause (as defined in the letter agreement), we will provide her the following benefits within 60 calendar days of her termination date:</w:t>
      </w:r>
    </w:p>
    <w:p>
      <w:pPr>
        <w:spacing w:after="0" w:line="12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lump sum payment equal to three months of her then-current base salary;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This agreement further provides that in the event we terminate Ms. Francis for any reason other than for cause or if she resigns for good reason (as defined in the letter agreement) within three months prior to or 12 months following the consummation of a change in control (as defined in the letter agreement), we will provide her the following benefits within 60 calendar days of her termination date:</w:t>
      </w:r>
    </w:p>
    <w:p>
      <w:pPr>
        <w:spacing w:after="0" w:line="18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lump sum payment equal to six months of her then-current 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Accelerated vesting of any unvested option shares such that 100% of the unvested option shares shall vest as of her termination date; and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lump sum equal to her target annual bonus, prorated for partial months of service prior to her termination date.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These severance benefits are contingent on Ms. Francis returning all of our property, continued adherence to the terms and condition of the proprietary information and inventions agreement between us and Ms. Francis, resigning from our Board, if applicable, and executing and not revoking a release of claims. The severance letter agreement for Ms. Francis supersedes the acceleration provisions set forth in her offer letter.</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March 2017, we entered into an amended and restated letter agreement with Ms. Francis that provides that she will be eligible to receive a bonus of $200,000 if we complete a qualified IPO (as defined in the letter agreement) and she remains an employee in good standing through the date that is 30 trading days after such qualified IPO, which will be paid 60 days thereafter.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46" w:right="23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8"/>
          <w:szCs w:val="18"/>
          <w:color w:val="auto"/>
        </w:rPr>
        <w:t>In March 2017, Ms. Francis was granted an option to purchase 38,675 shares of common stock with an exercise price of $5.94 per share vesting in equal monthly installments over four years commencing upon the closing of our initial public offering, subject to Ms. Francis’ continued service with us through each relevant vesting date. In December 2017, this option was repriced with an exercise price of $4.68 per share and the vesting commencement date was set at September 6, 2017.</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August 2018, Ms. Francis was granted 3,703 restricted stock units, 50% of which will vest on the first day of the first open trading window (as determined under our insider trading policy) that occurs after the one-year anniversary of the closing of an initial public offering, and 50% of which will vest on the first day of the first open trading window (as determined under our insider trading policy) that occurs after the two-year anniversary of the closing of our initial public offering, subject to Ms. Francis’ continued service with us through each relevant vesting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Anthony J. Recupero</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June 2016, we entered into an offer letter with Anthony J. Recupero, our Chief Commercial Officer. Mr. Recupero’s annual base salary as of January 1, 2017 was $315,000 and Mr. Recupero was eligible for annual variable compensation up to 40% of his base salary. As of April 1, 2018, Mr. Recupero’s annual base salary was increased to $325,710. Upon the closing of our initial public offering, Mr. Recupero’s annual base salary was increased to $330,000 and Mr. Recupero became eligible for annual variable compensation up to 45% of his base salary.</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Under the terms of his offer letter, Mr. Recupero was granted an option to purchase a number of shares of common stock equal to 0.7% of the fully-diluted capitalization as of his first day of employment, or 125,590 shares, with an exercise price of $4.32 per share. Twenty-five percent of the shares subject to this option vested on the July 5, 2017 and 1/36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balance of the shares began vesting each month thereafter, subject to Mr. Recupero’s continued service with us through each relevant vesting date. Mr. Recupero’s offer letter provides that in the event we terminate him for any reason other than for cause (as defined in the letter agreement), we will provide him with the following benefits within 60 calendar days of his termination date:</w:t>
      </w:r>
    </w:p>
    <w:p>
      <w:pPr>
        <w:spacing w:after="0" w:line="19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lump sum payment equal to three months of his then-current base salary;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lump sum payment in the amount of $4,000.</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Mr. Recupero’s offer letter further provides that in the event we terminate him for any reason other than for cause or if he resigns for good reason (as defined in the letter agreement) either three months prior to or 12 months following the consummation of a change in control (as defined in the letter agreement), we will provide him with the following benefits within 60 calendar days of his termination date:</w:t>
      </w:r>
    </w:p>
    <w:p>
      <w:pPr>
        <w:spacing w:after="0" w:line="18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lump sum payment equal to six months of his then-current 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lump sum payment in the amount of $8,000;</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Accelerated vesting of any unvested option shares such that 100% of the unvested option shares shall vest as of his termination date; and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lump sum equal to his target annual bonus, prorated for partial months of service prior to his termination date.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These severance benefits are contingent on Mr. Recupero returning all of our property, continued adherence to the terms and condition of the proprietary information and inventions agreement between us and Mr. Recupero, resignation from our Board, if applicable, and execution and non-revocation of a release of claims.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March 2017, we granted to Mr. Recupero an option to purchase for 53,944 shares of common stock with an exercise price of $5.94 per share vesting in equal monthly installments over four years commencing upon the closing of our initial public offering, subject to Mr. Recupero’s continued service with us through each relevant vesting date. In December 2017, this option was repriced with an exercise price of $4.68 per share and the vesting commencement date was set at September 6, 2017.</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with respect to all of our equity compensation plans in effect as of December 31, 2018.</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securities remaining</w:t>
            </w:r>
          </w:p>
        </w:tc>
      </w:tr>
      <w:tr>
        <w:trPr>
          <w:trHeight w:val="216"/>
        </w:trPr>
        <w:tc>
          <w:tcPr>
            <w:tcW w:w="5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Weighted-</w:t>
            </w:r>
          </w:p>
        </w:tc>
        <w:tc>
          <w:tcPr>
            <w:tcW w:w="25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5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4"/>
              </w:rPr>
              <w:t>issued upon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average</w:t>
            </w:r>
          </w:p>
        </w:tc>
        <w:tc>
          <w:tcPr>
            <w:tcW w:w="25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w w:val="92"/>
              </w:rPr>
              <w:t>issuance under equity</w:t>
            </w:r>
          </w:p>
        </w:tc>
      </w:tr>
      <w:tr>
        <w:trPr>
          <w:trHeight w:val="216"/>
        </w:trPr>
        <w:tc>
          <w:tcPr>
            <w:tcW w:w="5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40" w:type="dxa"/>
            <w:vAlign w:val="bottom"/>
          </w:tcPr>
          <w:p>
            <w:pPr>
              <w:spacing w:after="0"/>
              <w:rPr>
                <w:sz w:val="18"/>
                <w:szCs w:val="18"/>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exercise price of</w:t>
            </w:r>
          </w:p>
        </w:tc>
        <w:tc>
          <w:tcPr>
            <w:tcW w:w="25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5340" w:type="dxa"/>
            <w:vAlign w:val="bottom"/>
          </w:tcPr>
          <w:p>
            <w:pPr>
              <w:spacing w:after="0"/>
              <w:rPr>
                <w:sz w:val="18"/>
                <w:szCs w:val="18"/>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3"/>
              </w:rPr>
              <w:t>outstanding</w:t>
            </w:r>
          </w:p>
        </w:tc>
        <w:tc>
          <w:tcPr>
            <w:tcW w:w="25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plans (excluding</w:t>
            </w:r>
          </w:p>
        </w:tc>
      </w:tr>
      <w:tr>
        <w:trPr>
          <w:trHeight w:val="216"/>
        </w:trPr>
        <w:tc>
          <w:tcPr>
            <w:tcW w:w="534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stock options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stock options</w:t>
            </w:r>
          </w:p>
        </w:tc>
        <w:tc>
          <w:tcPr>
            <w:tcW w:w="25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securities reflected</w:t>
            </w:r>
          </w:p>
        </w:tc>
      </w:t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5"/>
              </w:rPr>
              <w:t>(b)</w:t>
            </w:r>
          </w:p>
        </w:tc>
        <w:tc>
          <w:tcPr>
            <w:tcW w:w="25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in column (a)</w:t>
            </w:r>
          </w:p>
        </w:tc>
      </w:tr>
      <w:tr>
        <w:trPr>
          <w:trHeight w:val="27"/>
        </w:trPr>
        <w:tc>
          <w:tcPr>
            <w:tcW w:w="5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64"/>
        </w:trPr>
        <w:tc>
          <w:tcPr>
            <w:tcW w:w="53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2,657,598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line="264" w:lineRule="exact"/>
              <w:rPr>
                <w:sz w:val="20"/>
                <w:szCs w:val="20"/>
                <w:color w:val="auto"/>
              </w:rPr>
            </w:pPr>
            <w:r>
              <w:rPr>
                <w:rFonts w:ascii="Arial" w:cs="Arial" w:eastAsia="Arial" w:hAnsi="Arial"/>
                <w:sz w:val="18"/>
                <w:szCs w:val="18"/>
                <w:color w:val="auto"/>
              </w:rPr>
              <w:t xml:space="preserve">4.24  </w:t>
            </w:r>
            <w:r>
              <w:rPr>
                <w:rFonts w:ascii="Arial" w:cs="Arial" w:eastAsia="Arial" w:hAnsi="Arial"/>
                <w:sz w:val="25"/>
                <w:szCs w:val="25"/>
                <w:color w:val="auto"/>
                <w:vertAlign w:val="superscript"/>
              </w:rPr>
              <w:t>(2)</w:t>
            </w:r>
          </w:p>
        </w:tc>
        <w:tc>
          <w:tcPr>
            <w:tcW w:w="2580" w:type="dxa"/>
            <w:vAlign w:val="bottom"/>
            <w:gridSpan w:val="2"/>
            <w:shd w:val="clear" w:color="auto" w:fill="CCEEFF"/>
          </w:tcPr>
          <w:p>
            <w:pPr>
              <w:jc w:val="right"/>
              <w:ind w:right="340"/>
              <w:spacing w:after="0" w:line="264" w:lineRule="exact"/>
              <w:rPr>
                <w:sz w:val="20"/>
                <w:szCs w:val="20"/>
                <w:color w:val="auto"/>
              </w:rPr>
            </w:pPr>
            <w:r>
              <w:rPr>
                <w:rFonts w:ascii="Arial" w:cs="Arial" w:eastAsia="Arial" w:hAnsi="Arial"/>
                <w:sz w:val="18"/>
                <w:szCs w:val="18"/>
                <w:color w:val="auto"/>
              </w:rPr>
              <w:t xml:space="preserve">3,049,425  </w:t>
            </w:r>
            <w:r>
              <w:rPr>
                <w:rFonts w:ascii="Arial" w:cs="Arial" w:eastAsia="Arial" w:hAnsi="Arial"/>
                <w:sz w:val="25"/>
                <w:szCs w:val="25"/>
                <w:color w:val="auto"/>
                <w:vertAlign w:val="superscript"/>
              </w:rPr>
              <w:t>(3)(4)</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37,036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5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2,694,634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4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3,049,425</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0"/>
        </w:trPr>
        <w:tc>
          <w:tcPr>
            <w:tcW w:w="5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89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49" w:lineRule="exact"/>
        <w:rPr>
          <w:sz w:val="20"/>
          <w:szCs w:val="20"/>
          <w:color w:val="auto"/>
        </w:rPr>
      </w:pPr>
    </w:p>
    <w:p>
      <w:pPr>
        <w:ind w:left="420" w:right="20" w:hanging="412"/>
        <w:spacing w:after="0" w:line="266"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equity compensation plans approved by security holders are described in Note 11 to our financial statements included in our Annual Report on Form 10 K for the year ended December 31, 2018.</w:t>
      </w:r>
    </w:p>
    <w:p>
      <w:pPr>
        <w:spacing w:after="0" w:line="1" w:lineRule="exact"/>
        <w:rPr>
          <w:rFonts w:ascii="Arial" w:cs="Arial" w:eastAsia="Arial" w:hAnsi="Arial"/>
          <w:sz w:val="18"/>
          <w:szCs w:val="18"/>
          <w:color w:val="auto"/>
        </w:rPr>
      </w:pPr>
    </w:p>
    <w:p>
      <w:pPr>
        <w:ind w:left="420" w:hanging="412"/>
        <w:spacing w:after="0" w:line="266"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weighted-average exercise price includes 16,400 shares issuable upon vesting of outstanding awards of restricted stock units, which have no exercise price. Excluding these awards of restricted stock units, the weighted-average exercise price would be $4.27.</w:t>
      </w:r>
    </w:p>
    <w:p>
      <w:pPr>
        <w:jc w:val="both"/>
        <w:ind w:left="420" w:hanging="412"/>
        <w:spacing w:after="0" w:line="266"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2,534,118 and 515,307 shares of common stock available for issuance under the 2018 Equity Incentive Plan, or the 2018 Plan, and the 2018 Employee Stock Purchase Plan, or the ESPP, respectively, as of December 31, 2018. As of December 31, 2018, up to a maximum of 74,019 shares of our common stock may be purchased in the current purchase period. The shares issuable pursuant to our ESPP are not included in the number of shares to be issued pursuant to rights outstanding and the weighted-average exercise price of such rights as of December 31, 2018, as those numbers are not known.</w:t>
      </w:r>
    </w:p>
    <w:p>
      <w:pPr>
        <w:jc w:val="both"/>
        <w:ind w:left="420" w:hanging="412"/>
        <w:spacing w:after="0" w:line="271"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 which shall be the lesser of (i) or (ii)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BOARD MEMBERS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for the fiscal year ended December 31, 2018, certain information with respect to the compensation of all non-employee directors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SI-BONE:</w:t>
      </w:r>
    </w:p>
    <w:p>
      <w:pPr>
        <w:spacing w:after="0" w:line="382"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Fees Earned or</w:t>
            </w:r>
          </w:p>
        </w:tc>
        <w:tc>
          <w:tcPr>
            <w:tcW w:w="340" w:type="dxa"/>
            <w:vAlign w:val="bottom"/>
          </w:tcPr>
          <w:p>
            <w:pPr>
              <w:spacing w:after="0"/>
              <w:rPr>
                <w:sz w:val="18"/>
                <w:szCs w:val="18"/>
                <w:color w:val="auto"/>
              </w:rPr>
            </w:pPr>
          </w:p>
        </w:tc>
        <w:tc>
          <w:tcPr>
            <w:tcW w:w="1820" w:type="dxa"/>
            <w:vAlign w:val="bottom"/>
            <w:gridSpan w:val="2"/>
          </w:tcPr>
          <w:p>
            <w:pPr>
              <w:ind w:left="320"/>
              <w:spacing w:after="0"/>
              <w:rPr>
                <w:sz w:val="20"/>
                <w:szCs w:val="20"/>
                <w:color w:val="auto"/>
              </w:rPr>
            </w:pPr>
            <w:r>
              <w:rPr>
                <w:rFonts w:ascii="Arial" w:cs="Arial" w:eastAsia="Arial" w:hAnsi="Arial"/>
                <w:sz w:val="18"/>
                <w:szCs w:val="18"/>
                <w:b w:val="1"/>
                <w:bCs w:val="1"/>
                <w:color w:val="auto"/>
              </w:rPr>
              <w:t>Option</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1"/>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Paid in Cash</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ind w:left="240"/>
              <w:spacing w:after="0" w:line="262" w:lineRule="exact"/>
              <w:rPr>
                <w:sz w:val="20"/>
                <w:szCs w:val="20"/>
                <w:color w:val="auto"/>
              </w:rPr>
            </w:pPr>
            <w:r>
              <w:rPr>
                <w:rFonts w:ascii="Arial" w:cs="Arial" w:eastAsia="Arial" w:hAnsi="Arial"/>
                <w:sz w:val="18"/>
                <w:szCs w:val="18"/>
                <w:b w:val="1"/>
                <w:bCs w:val="1"/>
                <w:color w:val="auto"/>
              </w:rPr>
              <w:t>Awards</w:t>
            </w:r>
            <w:r>
              <w:rPr>
                <w:rFonts w:ascii="Arial" w:cs="Arial" w:eastAsia="Arial" w:hAnsi="Arial"/>
                <w:sz w:val="25"/>
                <w:szCs w:val="25"/>
                <w:b w:val="1"/>
                <w:bCs w:val="1"/>
                <w:color w:val="auto"/>
                <w:vertAlign w:val="superscript"/>
              </w:rPr>
              <w:t>(1)</w:t>
            </w:r>
          </w:p>
        </w:tc>
        <w:tc>
          <w:tcPr>
            <w:tcW w:w="2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Total</w:t>
            </w:r>
          </w:p>
        </w:tc>
      </w:tr>
      <w:tr>
        <w:trPr>
          <w:trHeight w:val="244"/>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P. Bonita, M.D.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9,522</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w:t>
            </w: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Timothy E. Davis, Jr.</w:t>
            </w: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36,073</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36,073</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G. Freund, M.D.</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9,315</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9,315</w:t>
            </w: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Gregory K. Hinckley</w:t>
            </w: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37,452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37,452</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Karen A. Licitra</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32,897</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32,897</w:t>
            </w: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Timothy B. Petersen</w:t>
            </w: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9,936</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9,936</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A. Reiley, M.D.</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8,280</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8,280</w:t>
            </w: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Keith C. Valentine</w:t>
            </w: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33,175</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33,175</w:t>
            </w:r>
          </w:p>
        </w:tc>
      </w:tr>
      <w:tr>
        <w:trPr>
          <w:trHeight w:val="467"/>
        </w:trPr>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431"/>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1" w:name="page32"/>
    <w:bookmarkEnd w:id="31"/>
    <w:p>
      <w:pPr>
        <w:ind w:left="42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did not grant any stock option to our non-employee directors in 2018. The table below lists the aggregate number of shares subject to outstanding stock options held by each of our non-employee directors as of December 31, 2018.</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r>
      <w:tr>
        <w:trPr>
          <w:trHeight w:val="203"/>
        </w:trPr>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Subject to</w:t>
            </w:r>
          </w:p>
        </w:tc>
      </w:tr>
      <w:tr>
        <w:trPr>
          <w:trHeight w:val="203"/>
        </w:trPr>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03"/>
        </w:trPr>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7"/>
              </w:rPr>
              <w:t>Options as of</w:t>
            </w:r>
          </w:p>
        </w:tc>
      </w:tr>
      <w:tr>
        <w:trPr>
          <w:trHeight w:val="210"/>
        </w:trPr>
        <w:tc>
          <w:tcPr>
            <w:tcW w:w="72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2018</w:t>
            </w:r>
          </w:p>
        </w:tc>
      </w:tr>
      <w:tr>
        <w:trPr>
          <w:trHeight w:val="33"/>
        </w:trPr>
        <w:tc>
          <w:tcPr>
            <w:tcW w:w="7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P. Bonita, M.D.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Timothy E. Davis, Jr.</w:t>
            </w:r>
          </w:p>
        </w:tc>
        <w:tc>
          <w:tcPr>
            <w:tcW w:w="1900" w:type="dxa"/>
            <w:vAlign w:val="bottom"/>
          </w:tcPr>
          <w:p>
            <w:pPr>
              <w:jc w:val="right"/>
              <w:spacing w:after="0"/>
              <w:rPr>
                <w:sz w:val="20"/>
                <w:szCs w:val="20"/>
                <w:color w:val="auto"/>
              </w:rPr>
            </w:pPr>
            <w:r>
              <w:rPr>
                <w:rFonts w:ascii="Arial" w:cs="Arial" w:eastAsia="Arial" w:hAnsi="Arial"/>
                <w:sz w:val="18"/>
                <w:szCs w:val="18"/>
                <w:color w:val="auto"/>
              </w:rPr>
              <w:t>55,397</w:t>
            </w:r>
          </w:p>
        </w:tc>
      </w:tr>
      <w:tr>
        <w:trPr>
          <w:trHeight w:val="27"/>
        </w:trPr>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G. Freund, M.D.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Gregory K. Hinckley</w:t>
            </w:r>
          </w:p>
        </w:tc>
        <w:tc>
          <w:tcPr>
            <w:tcW w:w="1900" w:type="dxa"/>
            <w:vAlign w:val="bottom"/>
          </w:tcPr>
          <w:p>
            <w:pPr>
              <w:jc w:val="right"/>
              <w:spacing w:after="0"/>
              <w:rPr>
                <w:sz w:val="20"/>
                <w:szCs w:val="20"/>
                <w:color w:val="auto"/>
              </w:rPr>
            </w:pPr>
            <w:r>
              <w:rPr>
                <w:rFonts w:ascii="Arial" w:cs="Arial" w:eastAsia="Arial" w:hAnsi="Arial"/>
                <w:sz w:val="18"/>
                <w:szCs w:val="18"/>
                <w:color w:val="auto"/>
              </w:rPr>
              <w:t>22,222</w:t>
            </w:r>
          </w:p>
        </w:tc>
      </w:tr>
      <w:tr>
        <w:trPr>
          <w:trHeight w:val="27"/>
        </w:trPr>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Karen A. Licitra</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43,630</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Timothy B. Petersen</w:t>
            </w:r>
          </w:p>
        </w:tc>
        <w:tc>
          <w:tcPr>
            <w:tcW w:w="1900" w:type="dxa"/>
            <w:vAlign w:val="bottom"/>
          </w:tcPr>
          <w:p>
            <w:pPr>
              <w:jc w:val="right"/>
              <w:spacing w:after="0"/>
              <w:rPr>
                <w:sz w:val="20"/>
                <w:szCs w:val="20"/>
                <w:color w:val="auto"/>
              </w:rPr>
            </w:pPr>
            <w:r>
              <w:rPr>
                <w:rFonts w:ascii="Arial" w:cs="Arial" w:eastAsia="Arial" w:hAnsi="Arial"/>
                <w:sz w:val="18"/>
                <w:szCs w:val="18"/>
                <w:color w:val="auto"/>
              </w:rPr>
              <w:t>22,222</w:t>
            </w:r>
          </w:p>
        </w:tc>
      </w:tr>
      <w:tr>
        <w:trPr>
          <w:trHeight w:val="27"/>
        </w:trPr>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A. Reiley, M.D.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Keith C. Valentine</w:t>
            </w:r>
          </w:p>
        </w:tc>
        <w:tc>
          <w:tcPr>
            <w:tcW w:w="1900" w:type="dxa"/>
            <w:vAlign w:val="bottom"/>
          </w:tcPr>
          <w:p>
            <w:pPr>
              <w:jc w:val="right"/>
              <w:spacing w:after="0"/>
              <w:rPr>
                <w:sz w:val="20"/>
                <w:szCs w:val="20"/>
                <w:color w:val="auto"/>
              </w:rPr>
            </w:pPr>
            <w:r>
              <w:rPr>
                <w:rFonts w:ascii="Arial" w:cs="Arial" w:eastAsia="Arial" w:hAnsi="Arial"/>
                <w:sz w:val="18"/>
                <w:szCs w:val="18"/>
                <w:color w:val="auto"/>
              </w:rPr>
              <w:t>22,222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4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have adopted a non-employee director compensation policy, pursuant to which our non-employee directors will be eligible to receive cash compensation for service on our Board and committees of our Board.</w:t>
      </w:r>
    </w:p>
    <w:p>
      <w:pPr>
        <w:spacing w:after="0" w:line="17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Prior to our initial public offering we paid our non-employee directors who are not representatives of our stockholders a fee of $2,000 per month as compensation for their service on our Board. In addition, from time to time we have granted stock options to certain of our non-employee directors.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Commencing with the closing of our initial public offering, each non-employee director receives an annual cash retainer of $40,000 for serving on our Board.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chairperson and members of the three committees of our Board are entitled to the following additional annual cash retainers:</w:t>
      </w:r>
    </w:p>
    <w:p>
      <w:pPr>
        <w:spacing w:after="0" w:line="383"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5380" w:type="dxa"/>
            <w:vAlign w:val="bottom"/>
            <w:gridSpan w:val="2"/>
          </w:tcPr>
          <w:p>
            <w:pPr>
              <w:ind w:left="20"/>
              <w:spacing w:after="0"/>
              <w:rPr>
                <w:sz w:val="20"/>
                <w:szCs w:val="20"/>
                <w:color w:val="auto"/>
              </w:rPr>
            </w:pPr>
            <w:r>
              <w:rPr>
                <w:rFonts w:ascii="Arial" w:cs="Arial" w:eastAsia="Arial" w:hAnsi="Arial"/>
                <w:sz w:val="18"/>
                <w:szCs w:val="18"/>
                <w:b w:val="1"/>
                <w:bCs w:val="1"/>
                <w:color w:val="auto"/>
              </w:rPr>
              <w:t>Board Committee</w:t>
            </w:r>
          </w:p>
        </w:tc>
        <w:tc>
          <w:tcPr>
            <w:tcW w:w="2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Chairperson Fee</w:t>
            </w:r>
          </w:p>
        </w:tc>
        <w:tc>
          <w:tcPr>
            <w:tcW w:w="20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Member Fee</w:t>
            </w:r>
          </w:p>
        </w:tc>
      </w:tr>
      <w:tr>
        <w:trPr>
          <w:trHeight w:val="27"/>
        </w:trPr>
        <w:tc>
          <w:tcPr>
            <w:tcW w:w="5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Audit Committee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Compensation Committee</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5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Each new non-employee director who joins our Board will receive an option to purchase 22,222 shares of our common stock under the 2018 Plan. The shares subject to this option will vest on a monthly basis over 12 months commencing on the grant date, subject to the non-employee director’s continuous service with us on each applicable vesting date.</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the date of each annual meeting of our stockholders, each continuing non-employee director may receive an option to purchase 12,778 shares of our common stock under the 2018 Plan, vesting on a monthly basis over 12 months commencing on the grant date, subject to the non-employee director’s continuous service with us on each applicable vesting date.</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event of a change of control (as defined in the 2018 Plan), any unvested shares subject to these options will fully vest and become exercisable immediately prior to the effective date of such change of control, subject to the non-employee director’s continuous service with us on the effective date of the change of control.</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962" w:right="2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the closing price of our common stock as reported by the Nasdaq Global Market on the date of grant. Each stock option will have a term of ten years from the date of grant, subject to earlier termination in connection with a termination of the non-employee director’s continuous service with us.</w:t>
      </w:r>
    </w:p>
    <w:p>
      <w:pPr>
        <w:spacing w:after="0" w:line="16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 AND PROCEDURES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RELATED-PERSON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description of transactions since January 1, 2017,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7 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and March 2017, we issued and sold an aggregate of 540,874 shares of Series 7 preferred stock at a purchase price of $10.03 per share for an aggregate purchase price of $5,426,717.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purchases of shares of Series 7 preferred stock in 2017 by our executive officers, directors, and then holders of more than 5% of our capital stock.</w:t>
      </w:r>
    </w:p>
    <w:p>
      <w:pPr>
        <w:spacing w:after="0" w:line="32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6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Shares of Series 7 Preferred Stock</w:t>
            </w:r>
          </w:p>
        </w:tc>
      </w:tr>
      <w:tr>
        <w:trPr>
          <w:trHeight w:val="27"/>
        </w:trPr>
        <w:tc>
          <w:tcPr>
            <w:tcW w:w="67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6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Aggregate Gross</w:t>
            </w:r>
          </w:p>
        </w:tc>
      </w:t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Purchaser</w:t>
            </w:r>
          </w:p>
        </w:tc>
        <w:tc>
          <w:tcPr>
            <w:tcW w:w="186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 of Shares</w:t>
            </w:r>
          </w:p>
        </w:tc>
        <w:tc>
          <w:tcPr>
            <w:tcW w:w="180" w:type="dxa"/>
            <w:vAlign w:val="bottom"/>
          </w:tcPr>
          <w:p>
            <w:pPr>
              <w:spacing w:after="0"/>
              <w:rPr>
                <w:sz w:val="20"/>
                <w:szCs w:val="20"/>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67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67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Arboretum Ventures IV, LP</w:t>
            </w:r>
            <w:r>
              <w:rPr>
                <w:rFonts w:ascii="Arial" w:cs="Arial" w:eastAsia="Arial" w:hAnsi="Arial"/>
                <w:sz w:val="25"/>
                <w:szCs w:val="25"/>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1,495,036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70"/>
        </w:trPr>
        <w:tc>
          <w:tcPr>
            <w:tcW w:w="6760" w:type="dxa"/>
            <w:vAlign w:val="bottom"/>
          </w:tcPr>
          <w:p>
            <w:pPr>
              <w:ind w:left="20"/>
              <w:spacing w:after="0" w:line="270" w:lineRule="exact"/>
              <w:rPr>
                <w:sz w:val="20"/>
                <w:szCs w:val="20"/>
                <w:color w:val="auto"/>
              </w:rPr>
            </w:pPr>
            <w:r>
              <w:rPr>
                <w:rFonts w:ascii="Arial" w:cs="Arial" w:eastAsia="Arial" w:hAnsi="Arial"/>
                <w:sz w:val="18"/>
                <w:szCs w:val="18"/>
                <w:color w:val="auto"/>
              </w:rPr>
              <w:t>Skyline Venture Partners V, L.P.</w:t>
            </w:r>
            <w:r>
              <w:rPr>
                <w:rFonts w:ascii="Arial" w:cs="Arial" w:eastAsia="Arial" w:hAnsi="Arial"/>
                <w:sz w:val="25"/>
                <w:szCs w:val="25"/>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398,676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4,000,000</w:t>
            </w:r>
          </w:p>
        </w:tc>
      </w:tr>
      <w:tr>
        <w:trPr>
          <w:trHeight w:val="270"/>
        </w:trPr>
        <w:tc>
          <w:tcPr>
            <w:tcW w:w="67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25"/>
                <w:szCs w:val="25"/>
                <w:color w:val="auto"/>
                <w:vertAlign w:val="superscript"/>
              </w:rPr>
              <w:t>(3)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70"/>
        </w:trPr>
        <w:tc>
          <w:tcPr>
            <w:tcW w:w="6760" w:type="dxa"/>
            <w:vAlign w:val="bottom"/>
          </w:tcPr>
          <w:p>
            <w:pPr>
              <w:ind w:left="20"/>
              <w:spacing w:after="0" w:line="270" w:lineRule="exact"/>
              <w:rPr>
                <w:sz w:val="20"/>
                <w:szCs w:val="20"/>
                <w:color w:val="auto"/>
              </w:rPr>
            </w:pPr>
            <w:r>
              <w:rPr>
                <w:rFonts w:ascii="Arial" w:cs="Arial" w:eastAsia="Arial" w:hAnsi="Arial"/>
                <w:sz w:val="18"/>
                <w:szCs w:val="18"/>
                <w:color w:val="auto"/>
              </w:rPr>
              <w:t>OrbiMed Private Investments V, LP</w:t>
            </w:r>
            <w:r>
              <w:rPr>
                <w:rFonts w:ascii="Arial" w:cs="Arial" w:eastAsia="Arial" w:hAnsi="Arial"/>
                <w:sz w:val="25"/>
                <w:szCs w:val="25"/>
                <w:color w:val="auto"/>
                <w:vertAlign w:val="superscript"/>
              </w:rPr>
              <w:t>(4)</w:t>
            </w:r>
          </w:p>
        </w:tc>
        <w:tc>
          <w:tcPr>
            <w:tcW w:w="1740" w:type="dxa"/>
            <w:vAlign w:val="bottom"/>
          </w:tcPr>
          <w:p>
            <w:pPr>
              <w:jc w:val="right"/>
              <w:spacing w:after="0"/>
              <w:rPr>
                <w:sz w:val="20"/>
                <w:szCs w:val="20"/>
                <w:color w:val="auto"/>
              </w:rPr>
            </w:pPr>
            <w:r>
              <w:rPr>
                <w:rFonts w:ascii="Arial" w:cs="Arial" w:eastAsia="Arial" w:hAnsi="Arial"/>
                <w:sz w:val="18"/>
                <w:szCs w:val="18"/>
                <w:color w:val="auto"/>
              </w:rPr>
              <w:t>179,404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1,800,000</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Redline Capital Management S.A.</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r>
      <w:tr>
        <w:trPr>
          <w:trHeight w:val="270"/>
        </w:trPr>
        <w:tc>
          <w:tcPr>
            <w:tcW w:w="6760" w:type="dxa"/>
            <w:vAlign w:val="bottom"/>
          </w:tcPr>
          <w:p>
            <w:pPr>
              <w:ind w:left="20"/>
              <w:spacing w:after="0" w:line="270" w:lineRule="exact"/>
              <w:rPr>
                <w:sz w:val="20"/>
                <w:szCs w:val="20"/>
                <w:color w:val="auto"/>
              </w:rPr>
            </w:pPr>
            <w:r>
              <w:rPr>
                <w:rFonts w:ascii="Arial" w:cs="Arial" w:eastAsia="Arial" w:hAnsi="Arial"/>
                <w:sz w:val="18"/>
                <w:szCs w:val="18"/>
                <w:color w:val="auto"/>
              </w:rPr>
              <w:t>Gregory K. Hinckley</w:t>
            </w:r>
            <w:r>
              <w:rPr>
                <w:rFonts w:ascii="Arial" w:cs="Arial" w:eastAsia="Arial" w:hAnsi="Arial"/>
                <w:sz w:val="25"/>
                <w:szCs w:val="25"/>
                <w:color w:val="auto"/>
                <w:vertAlign w:val="superscript"/>
              </w:rPr>
              <w:t>(5)</w:t>
            </w:r>
          </w:p>
        </w:tc>
        <w:tc>
          <w:tcPr>
            <w:tcW w:w="1740" w:type="dxa"/>
            <w:vAlign w:val="bottom"/>
          </w:tcPr>
          <w:p>
            <w:pPr>
              <w:jc w:val="right"/>
              <w:spacing w:after="0"/>
              <w:rPr>
                <w:sz w:val="20"/>
                <w:szCs w:val="20"/>
                <w:color w:val="auto"/>
              </w:rPr>
            </w:pPr>
            <w:r>
              <w:rPr>
                <w:rFonts w:ascii="Arial" w:cs="Arial" w:eastAsia="Arial" w:hAnsi="Arial"/>
                <w:sz w:val="18"/>
                <w:szCs w:val="18"/>
                <w:color w:val="auto"/>
              </w:rPr>
              <w:t>44,851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450,000</w:t>
            </w:r>
          </w:p>
        </w:tc>
      </w:tr>
      <w:tr>
        <w:trPr>
          <w:trHeight w:val="270"/>
        </w:trPr>
        <w:tc>
          <w:tcPr>
            <w:tcW w:w="67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Keith C. Valentine</w:t>
            </w:r>
            <w:r>
              <w:rPr>
                <w:rFonts w:ascii="Arial" w:cs="Arial" w:eastAsia="Arial" w:hAnsi="Arial"/>
                <w:sz w:val="25"/>
                <w:szCs w:val="25"/>
                <w:color w:val="auto"/>
                <w:vertAlign w:val="superscript"/>
              </w:rPr>
              <w:t>(6)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57"/>
        </w:trPr>
        <w:tc>
          <w:tcPr>
            <w:tcW w:w="6760" w:type="dxa"/>
            <w:vAlign w:val="bottom"/>
          </w:tcPr>
          <w:p>
            <w:pPr>
              <w:ind w:left="28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2,433,907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24,450,000</w:t>
            </w:r>
          </w:p>
        </w:tc>
      </w:tr>
      <w:tr>
        <w:trPr>
          <w:trHeight w:val="20"/>
        </w:trPr>
        <w:tc>
          <w:tcPr>
            <w:tcW w:w="67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398"/>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Timothy B. Petersen, a member of our board of directors, is a Managing Director at Arboretum Ventures, Inc.</w:t>
      </w:r>
    </w:p>
    <w:p>
      <w:pPr>
        <w:spacing w:after="0" w:line="23" w:lineRule="exact"/>
        <w:rPr>
          <w:rFonts w:ascii="Arial" w:cs="Arial" w:eastAsia="Arial" w:hAnsi="Arial"/>
          <w:sz w:val="18"/>
          <w:szCs w:val="18"/>
          <w:color w:val="auto"/>
        </w:rPr>
      </w:pPr>
    </w:p>
    <w:p>
      <w:pPr>
        <w:ind w:left="420" w:hanging="398"/>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9" w:lineRule="exact"/>
        <w:rPr>
          <w:rFonts w:ascii="Arial" w:cs="Arial" w:eastAsia="Arial" w:hAnsi="Arial"/>
          <w:sz w:val="18"/>
          <w:szCs w:val="18"/>
          <w:color w:val="auto"/>
        </w:rPr>
      </w:pPr>
    </w:p>
    <w:p>
      <w:pPr>
        <w:ind w:left="420" w:hanging="398"/>
        <w:spacing w:after="0" w:line="250"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(a) 27,409 shares of Series 7 preferred stock held by Montreux Equity Partners IV, L.P. and (b) 171,929 shares of Series 7 preferred stock held by Montreux IV Associates IV, L.L.C.</w:t>
      </w:r>
    </w:p>
    <w:p>
      <w:pPr>
        <w:ind w:left="420" w:hanging="398"/>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David P. Bonita, M.D., a member of our board of directors, is a Private Equity Partner at OrbiMed Advisors LLC.</w:t>
      </w:r>
    </w:p>
    <w:p>
      <w:pPr>
        <w:spacing w:after="0" w:line="9" w:lineRule="exact"/>
        <w:rPr>
          <w:rFonts w:ascii="Arial" w:cs="Arial" w:eastAsia="Arial" w:hAnsi="Arial"/>
          <w:sz w:val="18"/>
          <w:szCs w:val="18"/>
          <w:color w:val="auto"/>
        </w:rPr>
      </w:pPr>
    </w:p>
    <w:p>
      <w:pPr>
        <w:ind w:left="420" w:hanging="398"/>
        <w:spacing w:after="0" w:line="250"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shares held by Gregory K. Hinckley and Mary C. Hinckley as Community Property with the Right of Survivorship. Mr. Hinckley is a member of our board of directors.</w:t>
      </w:r>
    </w:p>
    <w:p>
      <w:pPr>
        <w:ind w:left="420" w:hanging="398"/>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Valentine is a member of our board of directors.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74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Loans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2013, we loaned Daniel P. Murray, our then current Chief Financial Officer, $200,000 in connection with the exercise of options to purchase 152,106 shares of our common stock, or the Murray Purchased Shares. The loan was evidenced by a full recourse promissory note, accrued interest on the outstanding principal amount at the rate of 1.09% per annum and was secured by a pledge of the Murray Purchased Shares and Mr. Murray’s personal assets. In November 2016, the loan amount was partially repaid in the amount of $116,000 (including principal of $113,000 and interest of $3,000). The remainder of the principal balance of this loan, together with all interest accrued, was fully paid in December 2017.</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2014, we loaned Jeffrey W. Dunn, $437,000 in connection with the exercise of options to purchase 174,110 shares of our common stock, or the 2014 Exercised Options, and Mr. Dunn’s personal assets. The loan was evidenced by a full recourse promissory note, accrued interest on the outstanding principal amount at the rate of 1.97% per annum and was secured by a pledge of the 2014 Exercised Options. In March 2017, we forgave $231,914 (including principal of $218,500 and interest of $13,414) of this loan. As of December 31, 2017, the outstanding balance of this loan was $231,914, including principal of $219,500, which was forgiven on January 1,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AND PROXY MATERIALS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year, a number of brokers with account holders who are SI-BONE, Inc. stockholders will be “householding” SI-BONE’s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SI-BONE, Inc. Direct your written request to SI-BONE, Inc, Attn: Michael A. Pisetsky, General Counsel, 471 El Camino Real, Suite 101, Santa Clara, California 95050. Stockholders who currently receive multiple copies of the Annual Meeting materials at their addresses and would like to request “householding” of their communications should contact their brokers.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29"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Order of the Board of Directors</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17151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Michael A. Pisetsky</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April 30, 2019</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copy of SI-BONE, Inc.’s Annual Report to the Securities and Exchange Commission on Form 10-K for the fiscal year ended December 31, 2018 is available without charge upon written request to: Corporate Secretary, SI-BONE, Inc, 471 El Camino Real, Suite 101, Santa Clara, California 95050.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29"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474980</wp:posOffset>
            </wp:positionV>
            <wp:extent cx="5763260" cy="7452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763260" cy="745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9019"/>
          </w:cols>
          <w:pgMar w:left="14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474980</wp:posOffset>
            </wp:positionV>
            <wp:extent cx="5763260" cy="7452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763260" cy="745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lowerRoman"/>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bullet"/>
      <w:start w:val="1"/>
    </w:lvl>
  </w:abstractNum>
  <w:abstractNum w:abstractNumId="10">
    <w:nsid w:val="257130A3"/>
    <w:multiLevelType w:val="hybridMultilevel"/>
    <w:lvl w:ilvl="0">
      <w:lvlJc w:val="left"/>
      <w:lvlText w:val="2"/>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4"/>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2019-12-03T01:58:48Z</dcterms:created>
  <dcterms:modified xsi:type="dcterms:W3CDTF">2019-12-03T01:58:48Z</dcterms:modified>
</cp:coreProperties>
</file>