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20"/>
        <w:spacing w:after="0"/>
        <w:rPr>
          <w:sz w:val="20"/>
          <w:szCs w:val="20"/>
          <w:color w:val="auto"/>
        </w:rPr>
      </w:pPr>
      <w:r>
        <w:rPr>
          <w:rFonts w:ascii="Arial" w:cs="Arial" w:eastAsia="Arial" w:hAnsi="Arial"/>
          <w:sz w:val="16"/>
          <w:szCs w:val="16"/>
          <w:b w:val="1"/>
          <w:bCs w:val="1"/>
          <w:color w:val="auto"/>
        </w:rPr>
        <w:t>UNITED STATES</w:t>
      </w:r>
    </w:p>
    <w:p>
      <w:pPr>
        <w:spacing w:after="0" w:line="68"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SECURITIES AND EXCHANGE COMMISSION</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2589530</wp:posOffset>
            </wp:positionH>
            <wp:positionV relativeFrom="paragraph">
              <wp:posOffset>31750</wp:posOffset>
            </wp:positionV>
            <wp:extent cx="199453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94535" cy="12700"/>
                    </a:xfrm>
                    <a:prstGeom prst="rect">
                      <a:avLst/>
                    </a:prstGeom>
                    <a:noFill/>
                  </pic:spPr>
                </pic:pic>
              </a:graphicData>
            </a:graphic>
          </wp:anchor>
        </w:drawing>
      </w:r>
    </w:p>
    <w:p>
      <w:pPr>
        <w:spacing w:after="0" w:line="276"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2589530</wp:posOffset>
            </wp:positionH>
            <wp:positionV relativeFrom="paragraph">
              <wp:posOffset>95250</wp:posOffset>
            </wp:positionV>
            <wp:extent cx="1994535" cy="12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94535" cy="12700"/>
                    </a:xfrm>
                    <a:prstGeom prst="rect">
                      <a:avLst/>
                    </a:prstGeom>
                    <a:noFill/>
                  </pic:spPr>
                </pic:pic>
              </a:graphicData>
            </a:graphic>
          </wp:anchor>
        </w:drawing>
      </w:r>
    </w:p>
    <w:p>
      <w:pPr>
        <w:spacing w:after="0" w:line="389" w:lineRule="exact"/>
        <w:rPr>
          <w:sz w:val="24"/>
          <w:szCs w:val="24"/>
          <w:color w:val="auto"/>
        </w:rPr>
      </w:pPr>
    </w:p>
    <w:p>
      <w:pPr>
        <w:jc w:val="center"/>
        <w:ind w:right="-39"/>
        <w:spacing w:after="0"/>
        <w:rPr>
          <w:sz w:val="20"/>
          <w:szCs w:val="20"/>
          <w:color w:val="auto"/>
        </w:rPr>
      </w:pPr>
      <w:r>
        <w:rPr>
          <w:rFonts w:ascii="Arial" w:cs="Arial" w:eastAsia="Arial" w:hAnsi="Arial"/>
          <w:sz w:val="11"/>
          <w:szCs w:val="11"/>
          <w:color w:val="auto"/>
        </w:rPr>
        <w:t>(Mark one)</w:t>
      </w:r>
    </w:p>
    <w:p>
      <w:pPr>
        <w:spacing w:after="0" w:line="7" w:lineRule="exact"/>
        <w:rPr>
          <w:sz w:val="24"/>
          <w:szCs w:val="24"/>
          <w:color w:val="auto"/>
        </w:rPr>
      </w:pPr>
    </w:p>
    <w:p>
      <w:pPr>
        <w:ind w:left="2660" w:hanging="165"/>
        <w:spacing w:after="0"/>
        <w:tabs>
          <w:tab w:leader="none" w:pos="2660" w:val="left"/>
        </w:tabs>
        <w:numPr>
          <w:ilvl w:val="0"/>
          <w:numId w:val="1"/>
        </w:numPr>
        <w:rPr>
          <w:rFonts w:ascii="MS PGothic" w:cs="MS PGothic" w:eastAsia="MS PGothic" w:hAnsi="MS PGothic"/>
          <w:sz w:val="13"/>
          <w:szCs w:val="13"/>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For the quarterly period ended June 30, 2021</w:t>
      </w:r>
    </w:p>
    <w:p>
      <w:pPr>
        <w:spacing w:after="0" w:line="186"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OR</w:t>
      </w:r>
    </w:p>
    <w:p>
      <w:pPr>
        <w:spacing w:after="0" w:line="194" w:lineRule="exact"/>
        <w:rPr>
          <w:sz w:val="24"/>
          <w:szCs w:val="24"/>
          <w:color w:val="auto"/>
        </w:rPr>
      </w:pPr>
    </w:p>
    <w:p>
      <w:pPr>
        <w:ind w:left="2640" w:hanging="150"/>
        <w:spacing w:after="0"/>
        <w:tabs>
          <w:tab w:leader="none" w:pos="2640" w:val="left"/>
        </w:tabs>
        <w:numPr>
          <w:ilvl w:val="0"/>
          <w:numId w:val="2"/>
        </w:numPr>
        <w:rPr>
          <w:rFonts w:ascii="MS PGothic" w:cs="MS PGothic" w:eastAsia="MS PGothic" w:hAnsi="MS PGothic"/>
          <w:sz w:val="13"/>
          <w:szCs w:val="13"/>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18" w:lineRule="exact"/>
        <w:rPr>
          <w:rFonts w:ascii="MS PGothic" w:cs="MS PGothic" w:eastAsia="MS PGothic" w:hAnsi="MS PGothic"/>
          <w:sz w:val="13"/>
          <w:szCs w:val="13"/>
          <w:color w:val="auto"/>
        </w:rPr>
      </w:pPr>
    </w:p>
    <w:p>
      <w:pPr>
        <w:ind w:left="4320"/>
        <w:spacing w:after="0"/>
        <w:rPr>
          <w:rFonts w:ascii="MS PGothic" w:cs="MS PGothic" w:eastAsia="MS PGothic" w:hAnsi="MS PGothic"/>
          <w:sz w:val="13"/>
          <w:szCs w:val="13"/>
          <w:color w:val="auto"/>
        </w:rPr>
      </w:pPr>
      <w:r>
        <w:rPr>
          <w:rFonts w:ascii="Arial" w:cs="Arial" w:eastAsia="Arial" w:hAnsi="Arial"/>
          <w:sz w:val="11"/>
          <w:szCs w:val="11"/>
          <w:b w:val="1"/>
          <w:bCs w:val="1"/>
          <w:color w:val="auto"/>
        </w:rPr>
        <w:t>For the transition period from __________ to __________</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2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140" w:type="dxa"/>
            <w:vAlign w:val="bottom"/>
            <w:gridSpan w:val="4"/>
          </w:tcPr>
          <w:p>
            <w:pPr>
              <w:jc w:val="center"/>
              <w:spacing w:after="0"/>
              <w:rPr>
                <w:sz w:val="20"/>
                <w:szCs w:val="20"/>
                <w:color w:val="auto"/>
              </w:rPr>
            </w:pPr>
            <w:r>
              <w:rPr>
                <w:rFonts w:ascii="Arial" w:cs="Arial" w:eastAsia="Arial" w:hAnsi="Arial"/>
                <w:sz w:val="11"/>
                <w:szCs w:val="11"/>
                <w:b w:val="1"/>
                <w:bCs w:val="1"/>
                <w:color w:val="auto"/>
                <w:w w:val="88"/>
              </w:rPr>
              <w:t>Commission File Number: 001-38701</w:t>
            </w: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2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40" w:type="dxa"/>
            <w:vAlign w:val="bottom"/>
            <w:gridSpan w:val="4"/>
          </w:tcPr>
          <w:p>
            <w:pPr>
              <w:jc w:val="center"/>
              <w:ind w:right="20"/>
              <w:spacing w:after="0"/>
              <w:rPr>
                <w:sz w:val="20"/>
                <w:szCs w:val="20"/>
                <w:color w:val="auto"/>
              </w:rPr>
            </w:pPr>
            <w:r>
              <w:rPr>
                <w:rFonts w:ascii="Arial" w:cs="Arial" w:eastAsia="Arial" w:hAnsi="Arial"/>
                <w:sz w:val="21"/>
                <w:szCs w:val="21"/>
                <w:b w:val="1"/>
                <w:bCs w:val="1"/>
                <w:color w:val="auto"/>
              </w:rPr>
              <w:t>SI-BONE, INC.</w:t>
            </w:r>
          </w:p>
        </w:tc>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140" w:type="dxa"/>
            <w:vAlign w:val="bottom"/>
            <w:gridSpan w:val="4"/>
          </w:tcPr>
          <w:p>
            <w:pPr>
              <w:jc w:val="center"/>
              <w:ind w:right="20"/>
              <w:spacing w:after="0"/>
              <w:rPr>
                <w:sz w:val="20"/>
                <w:szCs w:val="20"/>
                <w:color w:val="auto"/>
              </w:rPr>
            </w:pPr>
            <w:r>
              <w:rPr>
                <w:rFonts w:ascii="Arial" w:cs="Arial" w:eastAsia="Arial" w:hAnsi="Arial"/>
                <w:sz w:val="9"/>
                <w:szCs w:val="9"/>
                <w:b w:val="1"/>
                <w:bCs w:val="1"/>
                <w:color w:val="auto"/>
                <w:w w:val="94"/>
              </w:rPr>
              <w:t>(Exact Name of Registrant as Specified in its Charter)</w:t>
            </w:r>
          </w:p>
        </w:tc>
        <w:tc>
          <w:tcPr>
            <w:tcW w:w="4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080" w:type="dxa"/>
            <w:vAlign w:val="bottom"/>
            <w:gridSpan w:val="3"/>
            <w:vMerge w:val="restart"/>
          </w:tcPr>
          <w:p>
            <w:pPr>
              <w:jc w:val="center"/>
              <w:ind w:left="844"/>
              <w:spacing w:after="0"/>
              <w:rPr>
                <w:sz w:val="20"/>
                <w:szCs w:val="20"/>
                <w:color w:val="auto"/>
              </w:rPr>
            </w:pPr>
            <w:r>
              <w:rPr>
                <w:rFonts w:ascii="Arial" w:cs="Arial" w:eastAsia="Arial" w:hAnsi="Arial"/>
                <w:sz w:val="12"/>
                <w:szCs w:val="12"/>
                <w:b w:val="1"/>
                <w:bCs w:val="1"/>
                <w:color w:val="auto"/>
                <w:w w:val="94"/>
              </w:rPr>
              <w:t>Delaware</w:t>
            </w:r>
          </w:p>
        </w:tc>
        <w:tc>
          <w:tcPr>
            <w:tcW w:w="13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20" w:type="dxa"/>
            <w:vAlign w:val="bottom"/>
            <w:gridSpan w:val="2"/>
            <w:vMerge w:val="restart"/>
          </w:tcPr>
          <w:p>
            <w:pPr>
              <w:jc w:val="center"/>
              <w:ind w:left="1042"/>
              <w:spacing w:after="0"/>
              <w:rPr>
                <w:sz w:val="20"/>
                <w:szCs w:val="20"/>
                <w:color w:val="auto"/>
              </w:rPr>
            </w:pPr>
            <w:r>
              <w:rPr>
                <w:rFonts w:ascii="Arial" w:cs="Arial" w:eastAsia="Arial" w:hAnsi="Arial"/>
                <w:sz w:val="12"/>
                <w:szCs w:val="12"/>
                <w:b w:val="1"/>
                <w:bCs w:val="1"/>
                <w:color w:val="auto"/>
                <w:w w:val="93"/>
              </w:rPr>
              <w:t>26-2216351</w:t>
            </w:r>
          </w:p>
        </w:tc>
        <w:tc>
          <w:tcPr>
            <w:tcW w:w="0" w:type="dxa"/>
            <w:vAlign w:val="bottom"/>
          </w:tcPr>
          <w:p>
            <w:pPr>
              <w:spacing w:after="0"/>
              <w:rPr>
                <w:sz w:val="1"/>
                <w:szCs w:val="1"/>
                <w:color w:val="auto"/>
              </w:rPr>
            </w:pPr>
          </w:p>
        </w:tc>
      </w:tr>
      <w:tr>
        <w:trPr>
          <w:trHeight w:val="436"/>
        </w:trPr>
        <w:tc>
          <w:tcPr>
            <w:tcW w:w="4080" w:type="dxa"/>
            <w:vAlign w:val="bottom"/>
            <w:gridSpan w:val="3"/>
            <w:vMerge w:val="continue"/>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80" w:type="dxa"/>
            <w:vAlign w:val="bottom"/>
            <w:gridSpan w:val="3"/>
          </w:tcPr>
          <w:p>
            <w:pPr>
              <w:jc w:val="center"/>
              <w:ind w:left="844"/>
              <w:spacing w:after="0" w:line="108" w:lineRule="exact"/>
              <w:rPr>
                <w:sz w:val="20"/>
                <w:szCs w:val="20"/>
                <w:color w:val="auto"/>
              </w:rPr>
            </w:pPr>
            <w:r>
              <w:rPr>
                <w:rFonts w:ascii="Arial" w:cs="Arial" w:eastAsia="Arial" w:hAnsi="Arial"/>
                <w:sz w:val="11"/>
                <w:szCs w:val="11"/>
                <w:b w:val="1"/>
                <w:bCs w:val="1"/>
                <w:color w:val="auto"/>
                <w:w w:val="88"/>
              </w:rPr>
              <w:t>(State or Other Jurisdiction of</w:t>
            </w:r>
          </w:p>
        </w:tc>
        <w:tc>
          <w:tcPr>
            <w:tcW w:w="1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0" w:type="dxa"/>
            <w:vAlign w:val="bottom"/>
          </w:tcPr>
          <w:p>
            <w:pPr>
              <w:jc w:val="center"/>
              <w:ind w:left="626"/>
              <w:spacing w:after="0" w:line="108" w:lineRule="exact"/>
              <w:rPr>
                <w:sz w:val="20"/>
                <w:szCs w:val="20"/>
                <w:color w:val="auto"/>
              </w:rPr>
            </w:pPr>
            <w:r>
              <w:rPr>
                <w:rFonts w:ascii="Arial" w:cs="Arial" w:eastAsia="Arial" w:hAnsi="Arial"/>
                <w:sz w:val="11"/>
                <w:szCs w:val="11"/>
                <w:b w:val="1"/>
                <w:bCs w:val="1"/>
                <w:color w:val="auto"/>
                <w:w w:val="90"/>
              </w:rPr>
              <w:t>(I.R.S. Employer</w:t>
            </w:r>
          </w:p>
        </w:tc>
        <w:tc>
          <w:tcPr>
            <w:tcW w:w="0" w:type="dxa"/>
            <w:vAlign w:val="bottom"/>
          </w:tcPr>
          <w:p>
            <w:pPr>
              <w:spacing w:after="0"/>
              <w:rPr>
                <w:sz w:val="1"/>
                <w:szCs w:val="1"/>
                <w:color w:val="auto"/>
              </w:rPr>
            </w:pPr>
          </w:p>
        </w:tc>
      </w:tr>
      <w:tr>
        <w:trPr>
          <w:trHeight w:val="140"/>
        </w:trPr>
        <w:tc>
          <w:tcPr>
            <w:tcW w:w="4080" w:type="dxa"/>
            <w:vAlign w:val="bottom"/>
            <w:gridSpan w:val="3"/>
          </w:tcPr>
          <w:p>
            <w:pPr>
              <w:jc w:val="center"/>
              <w:ind w:left="864"/>
              <w:spacing w:after="0"/>
              <w:rPr>
                <w:sz w:val="20"/>
                <w:szCs w:val="20"/>
                <w:color w:val="auto"/>
              </w:rPr>
            </w:pPr>
            <w:r>
              <w:rPr>
                <w:rFonts w:ascii="Arial" w:cs="Arial" w:eastAsia="Arial" w:hAnsi="Arial"/>
                <w:sz w:val="11"/>
                <w:szCs w:val="11"/>
                <w:b w:val="1"/>
                <w:bCs w:val="1"/>
                <w:color w:val="auto"/>
                <w:w w:val="90"/>
              </w:rPr>
              <w:t>Incorporation or Organization)</w:t>
            </w:r>
          </w:p>
        </w:tc>
        <w:tc>
          <w:tcPr>
            <w:tcW w:w="1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jc w:val="center"/>
              <w:ind w:left="626"/>
              <w:spacing w:after="0"/>
              <w:rPr>
                <w:sz w:val="20"/>
                <w:szCs w:val="20"/>
                <w:color w:val="auto"/>
              </w:rPr>
            </w:pPr>
            <w:r>
              <w:rPr>
                <w:rFonts w:ascii="Arial" w:cs="Arial" w:eastAsia="Arial" w:hAnsi="Arial"/>
                <w:sz w:val="11"/>
                <w:szCs w:val="11"/>
                <w:b w:val="1"/>
                <w:bCs w:val="1"/>
                <w:color w:val="auto"/>
                <w:w w:val="92"/>
              </w:rPr>
              <w:t>Identification Number)</w:t>
            </w:r>
          </w:p>
        </w:tc>
        <w:tc>
          <w:tcPr>
            <w:tcW w:w="0" w:type="dxa"/>
            <w:vAlign w:val="bottom"/>
          </w:tcPr>
          <w:p>
            <w:pPr>
              <w:spacing w:after="0"/>
              <w:rPr>
                <w:sz w:val="1"/>
                <w:szCs w:val="1"/>
                <w:color w:val="auto"/>
              </w:rPr>
            </w:pPr>
          </w:p>
        </w:tc>
      </w:tr>
      <w:tr>
        <w:trPr>
          <w:trHeight w:val="236"/>
        </w:trPr>
        <w:tc>
          <w:tcPr>
            <w:tcW w:w="4080" w:type="dxa"/>
            <w:vAlign w:val="bottom"/>
            <w:gridSpan w:val="3"/>
          </w:tcPr>
          <w:p>
            <w:pPr>
              <w:jc w:val="center"/>
              <w:ind w:left="864"/>
              <w:spacing w:after="0"/>
              <w:rPr>
                <w:sz w:val="20"/>
                <w:szCs w:val="20"/>
                <w:color w:val="auto"/>
              </w:rPr>
            </w:pPr>
            <w:r>
              <w:rPr>
                <w:rFonts w:ascii="Arial" w:cs="Arial" w:eastAsia="Arial" w:hAnsi="Arial"/>
                <w:sz w:val="12"/>
                <w:szCs w:val="12"/>
                <w:b w:val="1"/>
                <w:bCs w:val="1"/>
                <w:color w:val="auto"/>
                <w:w w:val="93"/>
              </w:rPr>
              <w:t>471 El Camino Real, Suite 101, Santa Clara, California</w:t>
            </w: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2"/>
          </w:tcPr>
          <w:p>
            <w:pPr>
              <w:jc w:val="right"/>
              <w:ind w:right="446"/>
              <w:spacing w:after="0"/>
              <w:rPr>
                <w:sz w:val="20"/>
                <w:szCs w:val="20"/>
                <w:color w:val="auto"/>
              </w:rPr>
            </w:pPr>
            <w:r>
              <w:rPr>
                <w:rFonts w:ascii="Arial" w:cs="Arial" w:eastAsia="Arial" w:hAnsi="Arial"/>
                <w:sz w:val="12"/>
                <w:szCs w:val="12"/>
                <w:b w:val="1"/>
                <w:bCs w:val="1"/>
                <w:color w:val="auto"/>
              </w:rPr>
              <w:t>95050</w:t>
            </w:r>
          </w:p>
        </w:tc>
        <w:tc>
          <w:tcPr>
            <w:tcW w:w="0" w:type="dxa"/>
            <w:vAlign w:val="bottom"/>
          </w:tcPr>
          <w:p>
            <w:pPr>
              <w:spacing w:after="0"/>
              <w:rPr>
                <w:sz w:val="1"/>
                <w:szCs w:val="1"/>
                <w:color w:val="auto"/>
              </w:rPr>
            </w:pPr>
          </w:p>
        </w:tc>
      </w:tr>
      <w:tr>
        <w:trPr>
          <w:trHeight w:val="140"/>
        </w:trPr>
        <w:tc>
          <w:tcPr>
            <w:tcW w:w="4080" w:type="dxa"/>
            <w:vAlign w:val="bottom"/>
            <w:gridSpan w:val="3"/>
          </w:tcPr>
          <w:p>
            <w:pPr>
              <w:jc w:val="center"/>
              <w:ind w:left="844"/>
              <w:spacing w:after="0"/>
              <w:rPr>
                <w:sz w:val="20"/>
                <w:szCs w:val="20"/>
                <w:color w:val="auto"/>
              </w:rPr>
            </w:pPr>
            <w:r>
              <w:rPr>
                <w:rFonts w:ascii="Arial" w:cs="Arial" w:eastAsia="Arial" w:hAnsi="Arial"/>
                <w:sz w:val="11"/>
                <w:szCs w:val="11"/>
                <w:b w:val="1"/>
                <w:bCs w:val="1"/>
                <w:color w:val="auto"/>
                <w:w w:val="86"/>
              </w:rPr>
              <w:t>(Address of principal executive offices)</w:t>
            </w:r>
          </w:p>
        </w:tc>
        <w:tc>
          <w:tcPr>
            <w:tcW w:w="1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jc w:val="center"/>
              <w:ind w:left="646"/>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232"/>
        </w:trPr>
        <w:tc>
          <w:tcPr>
            <w:tcW w:w="2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140" w:type="dxa"/>
            <w:vAlign w:val="bottom"/>
            <w:gridSpan w:val="4"/>
          </w:tcPr>
          <w:p>
            <w:pPr>
              <w:jc w:val="center"/>
              <w:spacing w:after="0"/>
              <w:rPr>
                <w:sz w:val="20"/>
                <w:szCs w:val="20"/>
                <w:color w:val="auto"/>
              </w:rPr>
            </w:pPr>
            <w:r>
              <w:rPr>
                <w:rFonts w:ascii="Arial" w:cs="Arial" w:eastAsia="Arial" w:hAnsi="Arial"/>
                <w:sz w:val="11"/>
                <w:szCs w:val="11"/>
                <w:b w:val="1"/>
                <w:bCs w:val="1"/>
                <w:color w:val="auto"/>
                <w:w w:val="87"/>
              </w:rPr>
              <w:t>Registrant's telephone number, including area code</w:t>
            </w:r>
            <w:r>
              <w:rPr>
                <w:rFonts w:ascii="Arial" w:cs="Arial" w:eastAsia="Arial" w:hAnsi="Arial"/>
                <w:sz w:val="11"/>
                <w:szCs w:val="11"/>
                <w:color w:val="auto"/>
                <w:w w:val="87"/>
              </w:rPr>
              <w:t>:</w:t>
            </w:r>
            <w:r>
              <w:rPr>
                <w:rFonts w:ascii="Arial" w:cs="Arial" w:eastAsia="Arial" w:hAnsi="Arial"/>
                <w:sz w:val="11"/>
                <w:szCs w:val="11"/>
                <w:b w:val="1"/>
                <w:bCs w:val="1"/>
                <w:color w:val="auto"/>
                <w:w w:val="87"/>
              </w:rPr>
              <w:t xml:space="preserve"> (408) 207-0700</w:t>
            </w:r>
          </w:p>
        </w:tc>
        <w:tc>
          <w:tcPr>
            <w:tcW w:w="4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
        </w:trPr>
        <w:tc>
          <w:tcPr>
            <w:tcW w:w="4080" w:type="dxa"/>
            <w:vAlign w:val="bottom"/>
            <w:gridSpan w:val="3"/>
            <w:vMerge w:val="restart"/>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13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4080" w:type="dxa"/>
            <w:vAlign w:val="bottom"/>
            <w:gridSpan w:val="3"/>
            <w:vMerge w:val="continue"/>
          </w:tcPr>
          <w:p>
            <w:pPr>
              <w:spacing w:after="0"/>
              <w:rPr>
                <w:sz w:val="23"/>
                <w:szCs w:val="23"/>
                <w:color w:val="auto"/>
              </w:rPr>
            </w:pPr>
          </w:p>
        </w:tc>
        <w:tc>
          <w:tcPr>
            <w:tcW w:w="1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86"/>
              </w:rPr>
              <w:t>Title of each class</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0" w:type="dxa"/>
            <w:vAlign w:val="bottom"/>
            <w:gridSpan w:val="3"/>
          </w:tcPr>
          <w:p>
            <w:pPr>
              <w:jc w:val="center"/>
              <w:ind w:right="960"/>
              <w:spacing w:after="0"/>
              <w:rPr>
                <w:sz w:val="20"/>
                <w:szCs w:val="20"/>
                <w:color w:val="auto"/>
              </w:rPr>
            </w:pPr>
            <w:r>
              <w:rPr>
                <w:rFonts w:ascii="Arial" w:cs="Arial" w:eastAsia="Arial" w:hAnsi="Arial"/>
                <w:sz w:val="11"/>
                <w:szCs w:val="11"/>
                <w:b w:val="1"/>
                <w:bCs w:val="1"/>
                <w:color w:val="auto"/>
                <w:w w:val="86"/>
              </w:rPr>
              <w:t>Trading Symbol(s)</w:t>
            </w:r>
          </w:p>
        </w:tc>
        <w:tc>
          <w:tcPr>
            <w:tcW w:w="2420" w:type="dxa"/>
            <w:vAlign w:val="bottom"/>
            <w:gridSpan w:val="2"/>
          </w:tcPr>
          <w:p>
            <w:pPr>
              <w:jc w:val="center"/>
              <w:ind w:left="362"/>
              <w:spacing w:after="0"/>
              <w:rPr>
                <w:sz w:val="20"/>
                <w:szCs w:val="20"/>
                <w:color w:val="auto"/>
              </w:rPr>
            </w:pPr>
            <w:r>
              <w:rPr>
                <w:rFonts w:ascii="Arial" w:cs="Arial" w:eastAsia="Arial" w:hAnsi="Arial"/>
                <w:sz w:val="11"/>
                <w:szCs w:val="11"/>
                <w:b w:val="1"/>
                <w:bCs w:val="1"/>
                <w:color w:val="auto"/>
                <w:w w:val="86"/>
              </w:rPr>
              <w:t>Name of each exchange on which registered</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80" w:type="dxa"/>
            <w:vAlign w:val="bottom"/>
            <w:gridSpan w:val="3"/>
          </w:tcPr>
          <w:p>
            <w:pPr>
              <w:jc w:val="center"/>
              <w:ind w:left="1564"/>
              <w:spacing w:after="0"/>
              <w:rPr>
                <w:sz w:val="20"/>
                <w:szCs w:val="20"/>
                <w:color w:val="auto"/>
              </w:rPr>
            </w:pPr>
            <w:r>
              <w:rPr>
                <w:rFonts w:ascii="Arial" w:cs="Arial" w:eastAsia="Arial" w:hAnsi="Arial"/>
                <w:sz w:val="11"/>
                <w:szCs w:val="11"/>
                <w:color w:val="auto"/>
                <w:w w:val="86"/>
              </w:rPr>
              <w:t>Common Stock, par value $0.0001 per share</w:t>
            </w:r>
          </w:p>
        </w:tc>
        <w:tc>
          <w:tcPr>
            <w:tcW w:w="1340" w:type="dxa"/>
            <w:vAlign w:val="bottom"/>
          </w:tcPr>
          <w:p>
            <w:pPr>
              <w:spacing w:after="0"/>
              <w:rPr>
                <w:sz w:val="12"/>
                <w:szCs w:val="12"/>
                <w:color w:val="auto"/>
              </w:rPr>
            </w:pPr>
          </w:p>
        </w:tc>
        <w:tc>
          <w:tcPr>
            <w:tcW w:w="1800" w:type="dxa"/>
            <w:vAlign w:val="bottom"/>
            <w:gridSpan w:val="3"/>
          </w:tcPr>
          <w:p>
            <w:pPr>
              <w:jc w:val="center"/>
              <w:ind w:right="960"/>
              <w:spacing w:after="0"/>
              <w:rPr>
                <w:sz w:val="20"/>
                <w:szCs w:val="20"/>
                <w:color w:val="auto"/>
              </w:rPr>
            </w:pPr>
            <w:r>
              <w:rPr>
                <w:rFonts w:ascii="Arial" w:cs="Arial" w:eastAsia="Arial" w:hAnsi="Arial"/>
                <w:sz w:val="11"/>
                <w:szCs w:val="11"/>
                <w:color w:val="auto"/>
                <w:w w:val="93"/>
              </w:rPr>
              <w:t>SIBN</w:t>
            </w:r>
          </w:p>
        </w:tc>
        <w:tc>
          <w:tcPr>
            <w:tcW w:w="42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The Nasdaq Global Market</w:t>
            </w:r>
          </w:p>
        </w:tc>
        <w:tc>
          <w:tcPr>
            <w:tcW w:w="0" w:type="dxa"/>
            <w:vAlign w:val="bottom"/>
          </w:tcPr>
          <w:p>
            <w:pPr>
              <w:spacing w:after="0"/>
              <w:rPr>
                <w:sz w:val="1"/>
                <w:szCs w:val="1"/>
                <w:color w:val="auto"/>
              </w:rPr>
            </w:pPr>
          </w:p>
        </w:tc>
      </w:tr>
    </w:tbl>
    <w:p>
      <w:pPr>
        <w:spacing w:after="0" w:line="317" w:lineRule="exact"/>
        <w:rPr>
          <w:sz w:val="24"/>
          <w:szCs w:val="24"/>
          <w:color w:val="auto"/>
        </w:rPr>
      </w:pPr>
    </w:p>
    <w:p>
      <w:pPr>
        <w:jc w:val="center"/>
        <w:ind w:left="340" w:right="140"/>
        <w:spacing w:after="0" w:line="265"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3" w:lineRule="exact"/>
        <w:rPr>
          <w:sz w:val="24"/>
          <w:szCs w:val="24"/>
          <w:color w:val="auto"/>
        </w:rPr>
      </w:pPr>
    </w:p>
    <w:p>
      <w:pPr>
        <w:jc w:val="center"/>
        <w:ind w:left="340"/>
        <w:spacing w:after="0" w:line="265" w:lineRule="auto"/>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3" w:lineRule="exact"/>
        <w:rPr>
          <w:sz w:val="24"/>
          <w:szCs w:val="24"/>
          <w:color w:val="auto"/>
        </w:rPr>
      </w:pPr>
    </w:p>
    <w:p>
      <w:pPr>
        <w:ind w:left="180"/>
        <w:spacing w:after="0"/>
        <w:rPr>
          <w:sz w:val="20"/>
          <w:szCs w:val="20"/>
          <w:color w:val="auto"/>
        </w:rPr>
      </w:pPr>
      <w:r>
        <w:rPr>
          <w:rFonts w:ascii="Arial" w:cs="Arial" w:eastAsia="Arial" w:hAnsi="Arial"/>
          <w:sz w:val="9"/>
          <w:szCs w:val="9"/>
          <w:color w:val="auto"/>
        </w:rPr>
        <w:t>Indicate by check mark whether the registrant is a large accelerated filer, an accelerated filer, a non-accelerated filer, a smaller reporting company or an emerging growth company. See the definitions of “large accelerated filer,” “accelerated filer,” “smaller</w:t>
      </w:r>
    </w:p>
    <w:p>
      <w:pPr>
        <w:spacing w:after="0" w:line="25" w:lineRule="exact"/>
        <w:rPr>
          <w:sz w:val="24"/>
          <w:szCs w:val="24"/>
          <w:color w:val="auto"/>
        </w:rPr>
      </w:pPr>
    </w:p>
    <w:tbl>
      <w:tblPr>
        <w:tblLayout w:type="fixed"/>
        <w:tblInd w:w="1900" w:type="dxa"/>
        <w:tblCellMar>
          <w:top w:w="0" w:type="dxa"/>
          <w:left w:w="0" w:type="dxa"/>
          <w:bottom w:w="0" w:type="dxa"/>
          <w:right w:w="0" w:type="dxa"/>
        </w:tblCellMar>
      </w:tblPr>
      <w:tr>
        <w:trPr>
          <w:trHeight w:val="136"/>
        </w:trPr>
        <w:tc>
          <w:tcPr>
            <w:tcW w:w="1460" w:type="dxa"/>
            <w:vAlign w:val="bottom"/>
          </w:tcPr>
          <w:p>
            <w:pPr>
              <w:spacing w:after="0"/>
              <w:rPr>
                <w:sz w:val="11"/>
                <w:szCs w:val="11"/>
                <w:color w:val="auto"/>
              </w:rPr>
            </w:pPr>
          </w:p>
        </w:tc>
        <w:tc>
          <w:tcPr>
            <w:tcW w:w="4440" w:type="dxa"/>
            <w:vAlign w:val="bottom"/>
            <w:gridSpan w:val="3"/>
          </w:tcPr>
          <w:p>
            <w:pPr>
              <w:ind w:left="340"/>
              <w:spacing w:after="0"/>
              <w:rPr>
                <w:sz w:val="20"/>
                <w:szCs w:val="20"/>
                <w:color w:val="auto"/>
              </w:rPr>
            </w:pPr>
            <w:r>
              <w:rPr>
                <w:rFonts w:ascii="Arial" w:cs="Arial" w:eastAsia="Arial" w:hAnsi="Arial"/>
                <w:sz w:val="11"/>
                <w:szCs w:val="11"/>
                <w:color w:val="auto"/>
                <w:w w:val="95"/>
              </w:rPr>
              <w:t>reporting company” and “emerging growth company” in Rule 12b-2 of the Exchange Act.</w:t>
            </w:r>
          </w:p>
        </w:tc>
        <w:tc>
          <w:tcPr>
            <w:tcW w:w="150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209"/>
        </w:trPr>
        <w:tc>
          <w:tcPr>
            <w:tcW w:w="1460" w:type="dxa"/>
            <w:vAlign w:val="bottom"/>
          </w:tcPr>
          <w:p>
            <w:pPr>
              <w:jc w:val="center"/>
              <w:ind w:right="226"/>
              <w:spacing w:after="0"/>
              <w:rPr>
                <w:sz w:val="20"/>
                <w:szCs w:val="20"/>
                <w:color w:val="auto"/>
              </w:rPr>
            </w:pPr>
            <w:r>
              <w:rPr>
                <w:rFonts w:ascii="Arial" w:cs="Arial" w:eastAsia="Arial" w:hAnsi="Arial"/>
                <w:sz w:val="11"/>
                <w:szCs w:val="11"/>
                <w:color w:val="auto"/>
                <w:w w:val="90"/>
              </w:rPr>
              <w:t>Large accelerated filer</w:t>
            </w:r>
          </w:p>
        </w:tc>
        <w:tc>
          <w:tcPr>
            <w:tcW w:w="960" w:type="dxa"/>
            <w:vAlign w:val="bottom"/>
          </w:tcPr>
          <w:p>
            <w:pPr>
              <w:ind w:left="300"/>
              <w:spacing w:after="0" w:line="111" w:lineRule="exact"/>
              <w:rPr>
                <w:sz w:val="20"/>
                <w:szCs w:val="20"/>
                <w:color w:val="auto"/>
              </w:rPr>
            </w:pPr>
            <w:r>
              <w:rPr>
                <w:rFonts w:ascii="MS PGothic" w:cs="MS PGothic" w:eastAsia="MS PGothic" w:hAnsi="MS PGothic"/>
                <w:sz w:val="11"/>
                <w:szCs w:val="11"/>
                <w:color w:val="auto"/>
              </w:rPr>
              <w:t>☐</w:t>
            </w:r>
          </w:p>
        </w:tc>
        <w:tc>
          <w:tcPr>
            <w:tcW w:w="2040" w:type="dxa"/>
            <w:vAlign w:val="bottom"/>
          </w:tcPr>
          <w:p>
            <w:pPr>
              <w:jc w:val="center"/>
              <w:ind w:left="226"/>
              <w:spacing w:after="0"/>
              <w:rPr>
                <w:sz w:val="20"/>
                <w:szCs w:val="20"/>
                <w:color w:val="auto"/>
              </w:rPr>
            </w:pPr>
            <w:r>
              <w:rPr>
                <w:rFonts w:ascii="Arial" w:cs="Arial" w:eastAsia="Arial" w:hAnsi="Arial"/>
                <w:sz w:val="11"/>
                <w:szCs w:val="11"/>
                <w:color w:val="auto"/>
                <w:w w:val="91"/>
              </w:rPr>
              <w:t>Accelerated filer</w:t>
            </w:r>
          </w:p>
        </w:tc>
        <w:tc>
          <w:tcPr>
            <w:tcW w:w="1440" w:type="dxa"/>
            <w:vAlign w:val="bottom"/>
          </w:tcPr>
          <w:p>
            <w:pPr>
              <w:ind w:left="300"/>
              <w:spacing w:after="0" w:line="111" w:lineRule="exact"/>
              <w:rPr>
                <w:sz w:val="20"/>
                <w:szCs w:val="20"/>
                <w:color w:val="auto"/>
              </w:rPr>
            </w:pPr>
            <w:r>
              <w:rPr>
                <w:rFonts w:ascii="MS PGothic" w:cs="MS PGothic" w:eastAsia="MS PGothic" w:hAnsi="MS PGothic"/>
                <w:sz w:val="11"/>
                <w:szCs w:val="11"/>
                <w:color w:val="auto"/>
              </w:rPr>
              <w:t>☐</w:t>
            </w:r>
          </w:p>
        </w:tc>
        <w:tc>
          <w:tcPr>
            <w:tcW w:w="1500" w:type="dxa"/>
            <w:vAlign w:val="bottom"/>
          </w:tcPr>
          <w:p>
            <w:pPr>
              <w:ind w:left="220"/>
              <w:spacing w:after="0"/>
              <w:rPr>
                <w:sz w:val="20"/>
                <w:szCs w:val="20"/>
                <w:color w:val="auto"/>
              </w:rPr>
            </w:pPr>
            <w:r>
              <w:rPr>
                <w:rFonts w:ascii="Arial" w:cs="Arial" w:eastAsia="Arial" w:hAnsi="Arial"/>
                <w:sz w:val="11"/>
                <w:szCs w:val="11"/>
                <w:color w:val="auto"/>
              </w:rPr>
              <w:t>Non-accelerated filer</w:t>
            </w:r>
          </w:p>
        </w:tc>
        <w:tc>
          <w:tcPr>
            <w:tcW w:w="460" w:type="dxa"/>
            <w:vAlign w:val="bottom"/>
          </w:tcPr>
          <w:p>
            <w:pPr>
              <w:ind w:left="3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6"/>
        </w:trPr>
        <w:tc>
          <w:tcPr>
            <w:tcW w:w="1460" w:type="dxa"/>
            <w:vAlign w:val="bottom"/>
          </w:tcPr>
          <w:p>
            <w:pPr>
              <w:jc w:val="center"/>
              <w:ind w:right="226"/>
              <w:spacing w:after="0"/>
              <w:rPr>
                <w:sz w:val="20"/>
                <w:szCs w:val="20"/>
                <w:color w:val="auto"/>
              </w:rPr>
            </w:pPr>
            <w:r>
              <w:rPr>
                <w:rFonts w:ascii="Arial" w:cs="Arial" w:eastAsia="Arial" w:hAnsi="Arial"/>
                <w:sz w:val="11"/>
                <w:szCs w:val="11"/>
                <w:color w:val="auto"/>
                <w:w w:val="89"/>
              </w:rPr>
              <w:t>Smaller reporting company</w:t>
            </w:r>
          </w:p>
        </w:tc>
        <w:tc>
          <w:tcPr>
            <w:tcW w:w="960" w:type="dxa"/>
            <w:vAlign w:val="bottom"/>
          </w:tcPr>
          <w:p>
            <w:pPr>
              <w:ind w:left="300"/>
              <w:spacing w:after="0" w:line="111" w:lineRule="exact"/>
              <w:rPr>
                <w:sz w:val="20"/>
                <w:szCs w:val="20"/>
                <w:color w:val="auto"/>
              </w:rPr>
            </w:pPr>
            <w:r>
              <w:rPr>
                <w:rFonts w:ascii="MS PGothic" w:cs="MS PGothic" w:eastAsia="MS PGothic" w:hAnsi="MS PGothic"/>
                <w:sz w:val="11"/>
                <w:szCs w:val="11"/>
                <w:color w:val="auto"/>
              </w:rPr>
              <w:t>☒</w:t>
            </w:r>
          </w:p>
        </w:tc>
        <w:tc>
          <w:tcPr>
            <w:tcW w:w="2040" w:type="dxa"/>
            <w:vAlign w:val="bottom"/>
          </w:tcPr>
          <w:p>
            <w:pPr>
              <w:jc w:val="center"/>
              <w:ind w:left="226"/>
              <w:spacing w:after="0"/>
              <w:rPr>
                <w:sz w:val="20"/>
                <w:szCs w:val="20"/>
                <w:color w:val="auto"/>
              </w:rPr>
            </w:pPr>
            <w:r>
              <w:rPr>
                <w:rFonts w:ascii="Arial" w:cs="Arial" w:eastAsia="Arial" w:hAnsi="Arial"/>
                <w:sz w:val="11"/>
                <w:szCs w:val="11"/>
                <w:color w:val="auto"/>
                <w:w w:val="88"/>
              </w:rPr>
              <w:t>Emerging growth company</w:t>
            </w:r>
          </w:p>
        </w:tc>
        <w:tc>
          <w:tcPr>
            <w:tcW w:w="1440" w:type="dxa"/>
            <w:vAlign w:val="bottom"/>
          </w:tcPr>
          <w:p>
            <w:pPr>
              <w:ind w:left="300"/>
              <w:spacing w:after="0" w:line="111" w:lineRule="exact"/>
              <w:rPr>
                <w:sz w:val="20"/>
                <w:szCs w:val="20"/>
                <w:color w:val="auto"/>
              </w:rPr>
            </w:pPr>
            <w:r>
              <w:rPr>
                <w:rFonts w:ascii="MS PGothic" w:cs="MS PGothic" w:eastAsia="MS PGothic" w:hAnsi="MS PGothic"/>
                <w:sz w:val="11"/>
                <w:szCs w:val="11"/>
                <w:color w:val="auto"/>
              </w:rPr>
              <w:t>☒</w:t>
            </w: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r>
    </w:tbl>
    <w:p>
      <w:pPr>
        <w:spacing w:after="0" w:line="126" w:lineRule="exact"/>
        <w:rPr>
          <w:sz w:val="24"/>
          <w:szCs w:val="24"/>
          <w:color w:val="auto"/>
        </w:rPr>
      </w:pPr>
    </w:p>
    <w:p>
      <w:pPr>
        <w:jc w:val="center"/>
        <w:ind w:left="340" w:right="20"/>
        <w:spacing w:after="0" w:line="190"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x</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1"/>
          <w:szCs w:val="11"/>
          <w:color w:val="auto"/>
        </w:rPr>
        <w:t>The number of shares outstanding of the registrant’s Common Stock was 33,271,020 as of July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349885</wp:posOffset>
            </wp:positionV>
            <wp:extent cx="719264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40"/>
          </w:cols>
          <w:pgMar w:left="300" w:top="743" w:right="359" w:bottom="1440" w:gutter="0" w:footer="0" w:header="0"/>
        </w:sectPr>
      </w:pPr>
    </w:p>
    <w:bookmarkStart w:id="1" w:name="page2"/>
    <w:bookmarkEnd w:id="1"/>
    <w:p>
      <w:pPr>
        <w:spacing w:after="0"/>
        <w:rPr>
          <w:sz w:val="20"/>
          <w:szCs w:val="20"/>
          <w:color w:val="auto"/>
        </w:rPr>
      </w:pPr>
      <w:r>
        <w:rPr>
          <w:rFonts w:ascii="Arial" w:cs="Arial" w:eastAsia="Arial" w:hAnsi="Arial"/>
          <w:sz w:val="13"/>
          <w:szCs w:val="13"/>
          <w:b w:val="1"/>
          <w:bCs w:val="1"/>
          <w:color w:val="auto"/>
        </w:rPr>
        <w:t>TABLE OF CONTENTS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2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1"/>
                <w:szCs w:val="11"/>
                <w:b w:val="1"/>
                <w:bCs w:val="1"/>
                <w:color w:val="auto"/>
              </w:rPr>
              <w:t>Page</w:t>
            </w:r>
          </w:p>
        </w:tc>
      </w:tr>
      <w:tr>
        <w:trPr>
          <w:trHeight w:val="169"/>
        </w:trPr>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20" w:type="dxa"/>
            <w:vAlign w:val="bottom"/>
            <w:gridSpan w:val="9"/>
          </w:tcPr>
          <w:p>
            <w:pPr>
              <w:jc w:val="center"/>
              <w:ind w:right="3280"/>
              <w:spacing w:after="0"/>
              <w:rPr>
                <w:sz w:val="20"/>
                <w:szCs w:val="20"/>
                <w:color w:val="auto"/>
              </w:rPr>
            </w:pPr>
            <w:r>
              <w:rPr>
                <w:rFonts w:ascii="Arial" w:cs="Arial" w:eastAsia="Arial" w:hAnsi="Arial"/>
                <w:sz w:val="13"/>
                <w:szCs w:val="13"/>
                <w:b w:val="1"/>
                <w:bCs w:val="1"/>
                <w:color w:val="auto"/>
              </w:rPr>
              <w:t>PART I-FINANCIAL INFORMATION</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80" w:type="dxa"/>
            <w:vAlign w:val="bottom"/>
          </w:tcPr>
          <w:p>
            <w:pPr>
              <w:spacing w:after="0" w:line="142" w:lineRule="exact"/>
              <w:rPr>
                <w:rFonts w:ascii="Arial" w:cs="Arial" w:eastAsia="Arial" w:hAnsi="Arial"/>
                <w:sz w:val="13"/>
                <w:szCs w:val="13"/>
                <w:color w:val="0000FF"/>
                <w:w w:val="90"/>
              </w:rPr>
            </w:pPr>
            <w:hyperlink w:anchor="page4">
              <w:r>
                <w:rPr>
                  <w:rFonts w:ascii="Arial" w:cs="Arial" w:eastAsia="Arial" w:hAnsi="Arial"/>
                  <w:sz w:val="13"/>
                  <w:szCs w:val="13"/>
                  <w:color w:val="0000FF"/>
                  <w:w w:val="90"/>
                </w:rPr>
                <w:t>Item 1.</w:t>
              </w:r>
            </w:hyperlink>
          </w:p>
        </w:tc>
        <w:tc>
          <w:tcPr>
            <w:tcW w:w="440" w:type="dxa"/>
            <w:vAlign w:val="bottom"/>
            <w:gridSpan w:val="2"/>
          </w:tcPr>
          <w:p>
            <w:pPr>
              <w:spacing w:after="0"/>
              <w:rPr>
                <w:sz w:val="12"/>
                <w:szCs w:val="12"/>
                <w:color w:val="auto"/>
              </w:rPr>
            </w:pPr>
          </w:p>
        </w:tc>
        <w:tc>
          <w:tcPr>
            <w:tcW w:w="9920" w:type="dxa"/>
            <w:vAlign w:val="bottom"/>
            <w:gridSpan w:val="24"/>
          </w:tcPr>
          <w:p>
            <w:pPr>
              <w:ind w:left="440"/>
              <w:spacing w:after="0" w:line="142" w:lineRule="exact"/>
              <w:rPr>
                <w:rFonts w:ascii="Arial" w:cs="Arial" w:eastAsia="Arial" w:hAnsi="Arial"/>
                <w:sz w:val="13"/>
                <w:szCs w:val="13"/>
                <w:color w:val="0000FF"/>
              </w:rPr>
            </w:pPr>
            <w:hyperlink w:anchor="page4">
              <w:r>
                <w:rPr>
                  <w:rFonts w:ascii="Arial" w:cs="Arial" w:eastAsia="Arial" w:hAnsi="Arial"/>
                  <w:sz w:val="13"/>
                  <w:szCs w:val="13"/>
                  <w:color w:val="0000FF"/>
                </w:rPr>
                <w:t>Financial Statements</w:t>
              </w:r>
            </w:hyperlink>
          </w:p>
        </w:tc>
        <w:tc>
          <w:tcPr>
            <w:tcW w:w="520" w:type="dxa"/>
            <w:vAlign w:val="bottom"/>
            <w:gridSpan w:val="2"/>
          </w:tcPr>
          <w:p>
            <w:pPr>
              <w:jc w:val="right"/>
              <w:spacing w:after="0" w:line="142" w:lineRule="exact"/>
              <w:rPr>
                <w:rFonts w:ascii="Arial" w:cs="Arial" w:eastAsia="Arial" w:hAnsi="Arial"/>
                <w:sz w:val="13"/>
                <w:szCs w:val="13"/>
                <w:color w:val="0000FF"/>
              </w:rPr>
            </w:pPr>
            <w:hyperlink w:anchor="page4">
              <w:r>
                <w:rPr>
                  <w:rFonts w:ascii="Arial" w:cs="Arial" w:eastAsia="Arial" w:hAnsi="Arial"/>
                  <w:sz w:val="13"/>
                  <w:szCs w:val="13"/>
                  <w:color w:val="0000FF"/>
                </w:rPr>
                <w:t>4</w:t>
              </w:r>
            </w:hyperlink>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1"/>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40" w:type="dxa"/>
            <w:vAlign w:val="bottom"/>
            <w:gridSpan w:val="22"/>
          </w:tcPr>
          <w:p>
            <w:pPr>
              <w:spacing w:after="0"/>
              <w:rPr>
                <w:rFonts w:ascii="Arial" w:cs="Arial" w:eastAsia="Arial" w:hAnsi="Arial"/>
                <w:sz w:val="13"/>
                <w:szCs w:val="13"/>
                <w:color w:val="0000FF"/>
              </w:rPr>
            </w:pPr>
            <w:hyperlink w:anchor="page5">
              <w:r>
                <w:rPr>
                  <w:rFonts w:ascii="Arial" w:cs="Arial" w:eastAsia="Arial" w:hAnsi="Arial"/>
                  <w:sz w:val="13"/>
                  <w:szCs w:val="13"/>
                  <w:color w:val="0000FF"/>
                </w:rPr>
                <w:t xml:space="preserve">Condensed Consolidated Balance Sheets </w:t>
              </w:r>
            </w:hyperlink>
            <w:hyperlink w:anchor="page4">
              <w:r>
                <w:rPr>
                  <w:rFonts w:ascii="Arial" w:cs="Arial" w:eastAsia="Arial" w:hAnsi="Arial"/>
                  <w:sz w:val="13"/>
                  <w:szCs w:val="13"/>
                  <w:color w:val="0000FF"/>
                </w:rPr>
                <w:t>(Unaudited)</w:t>
              </w:r>
            </w:hyperlink>
          </w:p>
        </w:tc>
        <w:tc>
          <w:tcPr>
            <w:tcW w:w="520" w:type="dxa"/>
            <w:vAlign w:val="bottom"/>
            <w:gridSpan w:val="2"/>
          </w:tcPr>
          <w:p>
            <w:pPr>
              <w:jc w:val="right"/>
              <w:spacing w:after="0"/>
              <w:rPr>
                <w:rFonts w:ascii="Arial" w:cs="Arial" w:eastAsia="Arial" w:hAnsi="Arial"/>
                <w:sz w:val="13"/>
                <w:szCs w:val="13"/>
                <w:color w:val="0000FF"/>
              </w:rPr>
            </w:pPr>
            <w:hyperlink w:anchor="page5">
              <w:r>
                <w:rPr>
                  <w:rFonts w:ascii="Arial" w:cs="Arial" w:eastAsia="Arial" w:hAnsi="Arial"/>
                  <w:sz w:val="13"/>
                  <w:szCs w:val="13"/>
                  <w:color w:val="0000FF"/>
                </w:rPr>
                <w:t>4</w:t>
              </w:r>
            </w:hyperlink>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1"/>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40" w:type="dxa"/>
            <w:vAlign w:val="bottom"/>
            <w:gridSpan w:val="22"/>
          </w:tcPr>
          <w:p>
            <w:pPr>
              <w:spacing w:after="0"/>
              <w:rPr>
                <w:rFonts w:ascii="Arial" w:cs="Arial" w:eastAsia="Arial" w:hAnsi="Arial"/>
                <w:sz w:val="13"/>
                <w:szCs w:val="13"/>
                <w:color w:val="0000FF"/>
              </w:rPr>
            </w:pPr>
            <w:hyperlink w:anchor="page5">
              <w:r>
                <w:rPr>
                  <w:rFonts w:ascii="Arial" w:cs="Arial" w:eastAsia="Arial" w:hAnsi="Arial"/>
                  <w:sz w:val="13"/>
                  <w:szCs w:val="13"/>
                  <w:color w:val="0000FF"/>
                </w:rPr>
                <w:t xml:space="preserve">Condensed Consolidated Statements of Operations and Comprehensive Loss </w:t>
              </w:r>
            </w:hyperlink>
            <w:hyperlink w:anchor="page4">
              <w:r>
                <w:rPr>
                  <w:rFonts w:ascii="Arial" w:cs="Arial" w:eastAsia="Arial" w:hAnsi="Arial"/>
                  <w:sz w:val="13"/>
                  <w:szCs w:val="13"/>
                  <w:color w:val="0000FF"/>
                </w:rPr>
                <w:t>(Unaudited)</w:t>
              </w:r>
            </w:hyperlink>
          </w:p>
        </w:tc>
        <w:tc>
          <w:tcPr>
            <w:tcW w:w="520" w:type="dxa"/>
            <w:vAlign w:val="bottom"/>
            <w:gridSpan w:val="2"/>
          </w:tcPr>
          <w:p>
            <w:pPr>
              <w:jc w:val="right"/>
              <w:spacing w:after="0"/>
              <w:rPr>
                <w:rFonts w:ascii="Arial" w:cs="Arial" w:eastAsia="Arial" w:hAnsi="Arial"/>
                <w:sz w:val="13"/>
                <w:szCs w:val="13"/>
                <w:color w:val="0000FF"/>
              </w:rPr>
            </w:pPr>
            <w:hyperlink w:anchor="page5">
              <w:r>
                <w:rPr>
                  <w:rFonts w:ascii="Arial" w:cs="Arial" w:eastAsia="Arial" w:hAnsi="Arial"/>
                  <w:sz w:val="13"/>
                  <w:szCs w:val="13"/>
                  <w:color w:val="0000FF"/>
                </w:rPr>
                <w:t>5</w:t>
              </w:r>
            </w:hyperlink>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1"/>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40" w:type="dxa"/>
            <w:vAlign w:val="bottom"/>
            <w:gridSpan w:val="22"/>
          </w:tcPr>
          <w:p>
            <w:pPr>
              <w:spacing w:after="0"/>
              <w:rPr>
                <w:rFonts w:ascii="Arial" w:cs="Arial" w:eastAsia="Arial" w:hAnsi="Arial"/>
                <w:sz w:val="13"/>
                <w:szCs w:val="13"/>
                <w:color w:val="0000FF"/>
              </w:rPr>
            </w:pPr>
            <w:hyperlink w:anchor="page6">
              <w:r>
                <w:rPr>
                  <w:rFonts w:ascii="Arial" w:cs="Arial" w:eastAsia="Arial" w:hAnsi="Arial"/>
                  <w:sz w:val="13"/>
                  <w:szCs w:val="13"/>
                  <w:color w:val="0000FF"/>
                </w:rPr>
                <w:t xml:space="preserve">Condensed Consolidated Statements of Changes in Stockholders' Equity </w:t>
              </w:r>
            </w:hyperlink>
            <w:hyperlink w:anchor="page4">
              <w:r>
                <w:rPr>
                  <w:rFonts w:ascii="Arial" w:cs="Arial" w:eastAsia="Arial" w:hAnsi="Arial"/>
                  <w:sz w:val="13"/>
                  <w:szCs w:val="13"/>
                  <w:color w:val="0000FF"/>
                </w:rPr>
                <w:t>(Unaudited)</w:t>
              </w:r>
            </w:hyperlink>
          </w:p>
        </w:tc>
        <w:tc>
          <w:tcPr>
            <w:tcW w:w="520" w:type="dxa"/>
            <w:vAlign w:val="bottom"/>
            <w:gridSpan w:val="2"/>
          </w:tcPr>
          <w:p>
            <w:pPr>
              <w:jc w:val="right"/>
              <w:spacing w:after="0"/>
              <w:rPr>
                <w:rFonts w:ascii="Arial" w:cs="Arial" w:eastAsia="Arial" w:hAnsi="Arial"/>
                <w:sz w:val="13"/>
                <w:szCs w:val="13"/>
                <w:color w:val="0000FF"/>
              </w:rPr>
            </w:pPr>
            <w:hyperlink w:anchor="page6">
              <w:r>
                <w:rPr>
                  <w:rFonts w:ascii="Arial" w:cs="Arial" w:eastAsia="Arial" w:hAnsi="Arial"/>
                  <w:sz w:val="13"/>
                  <w:szCs w:val="13"/>
                  <w:color w:val="0000FF"/>
                </w:rPr>
                <w:t>6</w:t>
              </w:r>
            </w:hyperlink>
          </w:p>
        </w:tc>
      </w:tr>
      <w:tr>
        <w:trPr>
          <w:trHeight w:val="151"/>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80" w:type="dxa"/>
            <w:vAlign w:val="bottom"/>
            <w:tcBorders>
              <w:top w:val="single" w:sz="8" w:color="0000FF"/>
            </w:tcBorders>
            <w:gridSpan w:val="16"/>
          </w:tcPr>
          <w:p>
            <w:pPr>
              <w:spacing w:after="0"/>
              <w:rPr>
                <w:rFonts w:ascii="Arial" w:cs="Arial" w:eastAsia="Arial" w:hAnsi="Arial"/>
                <w:sz w:val="13"/>
                <w:szCs w:val="13"/>
                <w:color w:val="0000FF"/>
              </w:rPr>
            </w:pPr>
            <w:hyperlink w:anchor="page8">
              <w:r>
                <w:rPr>
                  <w:rFonts w:ascii="Arial" w:cs="Arial" w:eastAsia="Arial" w:hAnsi="Arial"/>
                  <w:sz w:val="13"/>
                  <w:szCs w:val="13"/>
                  <w:color w:val="0000FF"/>
                </w:rPr>
                <w:t xml:space="preserve">Condensed Consolidated Statements of Cash Flows </w:t>
              </w:r>
            </w:hyperlink>
            <w:hyperlink w:anchor="page4">
              <w:r>
                <w:rPr>
                  <w:rFonts w:ascii="Arial" w:cs="Arial" w:eastAsia="Arial" w:hAnsi="Arial"/>
                  <w:sz w:val="13"/>
                  <w:szCs w:val="13"/>
                  <w:color w:val="0000FF"/>
                </w:rPr>
                <w:t>(Unaudited)</w:t>
              </w:r>
            </w:hyperlink>
          </w:p>
        </w:tc>
        <w:tc>
          <w:tcPr>
            <w:tcW w:w="40" w:type="dxa"/>
            <w:vAlign w:val="bottom"/>
          </w:tcPr>
          <w:p>
            <w:pPr>
              <w:spacing w:after="0"/>
              <w:rPr>
                <w:sz w:val="13"/>
                <w:szCs w:val="13"/>
                <w:color w:val="auto"/>
              </w:rPr>
            </w:pPr>
          </w:p>
        </w:tc>
        <w:tc>
          <w:tcPr>
            <w:tcW w:w="640" w:type="dxa"/>
            <w:vAlign w:val="bottom"/>
            <w:tcBorders>
              <w:top w:val="single" w:sz="8" w:color="0000FF"/>
            </w:tcBorders>
            <w:gridSpan w:val="3"/>
          </w:tcPr>
          <w:p>
            <w:pPr>
              <w:spacing w:after="0"/>
              <w:rPr>
                <w:sz w:val="13"/>
                <w:szCs w:val="13"/>
                <w:color w:val="auto"/>
              </w:rPr>
            </w:pPr>
          </w:p>
        </w:tc>
        <w:tc>
          <w:tcPr>
            <w:tcW w:w="468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top w:val="single" w:sz="8" w:color="0000FF"/>
            </w:tcBorders>
          </w:tcPr>
          <w:p>
            <w:pPr>
              <w:jc w:val="right"/>
              <w:spacing w:after="0"/>
              <w:rPr>
                <w:rFonts w:ascii="Arial" w:cs="Arial" w:eastAsia="Arial" w:hAnsi="Arial"/>
                <w:sz w:val="13"/>
                <w:szCs w:val="13"/>
                <w:color w:val="0000FF"/>
                <w:w w:val="82"/>
              </w:rPr>
            </w:pPr>
            <w:hyperlink w:anchor="page8">
              <w:r>
                <w:rPr>
                  <w:rFonts w:ascii="Arial" w:cs="Arial" w:eastAsia="Arial" w:hAnsi="Arial"/>
                  <w:sz w:val="13"/>
                  <w:szCs w:val="13"/>
                  <w:color w:val="0000FF"/>
                  <w:w w:val="82"/>
                </w:rPr>
                <w:t>8</w:t>
              </w:r>
            </w:hyperlink>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1"/>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40" w:type="dxa"/>
            <w:vAlign w:val="bottom"/>
            <w:gridSpan w:val="22"/>
          </w:tcPr>
          <w:p>
            <w:pPr>
              <w:spacing w:after="0"/>
              <w:rPr>
                <w:rFonts w:ascii="Arial" w:cs="Arial" w:eastAsia="Arial" w:hAnsi="Arial"/>
                <w:sz w:val="13"/>
                <w:szCs w:val="13"/>
                <w:color w:val="0000FF"/>
              </w:rPr>
            </w:pPr>
            <w:hyperlink w:anchor="page9">
              <w:r>
                <w:rPr>
                  <w:rFonts w:ascii="Arial" w:cs="Arial" w:eastAsia="Arial" w:hAnsi="Arial"/>
                  <w:sz w:val="13"/>
                  <w:szCs w:val="13"/>
                  <w:color w:val="0000FF"/>
                </w:rPr>
                <w:t xml:space="preserve">Notes to Condensed Consolidated Financial Statements </w:t>
              </w:r>
            </w:hyperlink>
            <w:hyperlink w:anchor="page4">
              <w:r>
                <w:rPr>
                  <w:rFonts w:ascii="Arial" w:cs="Arial" w:eastAsia="Arial" w:hAnsi="Arial"/>
                  <w:sz w:val="13"/>
                  <w:szCs w:val="13"/>
                  <w:color w:val="0000FF"/>
                </w:rPr>
                <w:t>(Unaudited)</w:t>
              </w:r>
            </w:hyperlink>
          </w:p>
        </w:tc>
        <w:tc>
          <w:tcPr>
            <w:tcW w:w="520" w:type="dxa"/>
            <w:vAlign w:val="bottom"/>
            <w:gridSpan w:val="2"/>
          </w:tcPr>
          <w:p>
            <w:pPr>
              <w:jc w:val="right"/>
              <w:spacing w:after="0"/>
              <w:rPr>
                <w:rFonts w:ascii="Arial" w:cs="Arial" w:eastAsia="Arial" w:hAnsi="Arial"/>
                <w:sz w:val="13"/>
                <w:szCs w:val="13"/>
                <w:color w:val="0000FF"/>
              </w:rPr>
            </w:pPr>
            <w:hyperlink w:anchor="page9">
              <w:r>
                <w:rPr>
                  <w:rFonts w:ascii="Arial" w:cs="Arial" w:eastAsia="Arial" w:hAnsi="Arial"/>
                  <w:sz w:val="13"/>
                  <w:szCs w:val="13"/>
                  <w:color w:val="0000FF"/>
                </w:rPr>
                <w:t>9</w:t>
              </w:r>
            </w:hyperlink>
          </w:p>
        </w:tc>
      </w:tr>
      <w:tr>
        <w:trPr>
          <w:trHeight w:val="20"/>
        </w:trPr>
        <w:tc>
          <w:tcPr>
            <w:tcW w:w="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1"/>
        </w:trPr>
        <w:tc>
          <w:tcPr>
            <w:tcW w:w="380" w:type="dxa"/>
            <w:vAlign w:val="bottom"/>
          </w:tcPr>
          <w:p>
            <w:pPr>
              <w:spacing w:after="0"/>
              <w:rPr>
                <w:rFonts w:ascii="Arial" w:cs="Arial" w:eastAsia="Arial" w:hAnsi="Arial"/>
                <w:sz w:val="13"/>
                <w:szCs w:val="13"/>
                <w:color w:val="0000FF"/>
                <w:w w:val="90"/>
              </w:rPr>
            </w:pPr>
            <w:hyperlink w:anchor="page21">
              <w:r>
                <w:rPr>
                  <w:rFonts w:ascii="Arial" w:cs="Arial" w:eastAsia="Arial" w:hAnsi="Arial"/>
                  <w:sz w:val="13"/>
                  <w:szCs w:val="13"/>
                  <w:color w:val="0000FF"/>
                  <w:w w:val="90"/>
                </w:rPr>
                <w:t>Item 2.</w:t>
              </w:r>
            </w:hyperlink>
          </w:p>
        </w:tc>
        <w:tc>
          <w:tcPr>
            <w:tcW w:w="440" w:type="dxa"/>
            <w:vAlign w:val="bottom"/>
            <w:gridSpan w:val="2"/>
          </w:tcPr>
          <w:p>
            <w:pPr>
              <w:spacing w:after="0"/>
              <w:rPr>
                <w:sz w:val="13"/>
                <w:szCs w:val="13"/>
                <w:color w:val="auto"/>
              </w:rPr>
            </w:pPr>
          </w:p>
        </w:tc>
        <w:tc>
          <w:tcPr>
            <w:tcW w:w="9920" w:type="dxa"/>
            <w:vAlign w:val="bottom"/>
            <w:gridSpan w:val="24"/>
          </w:tcPr>
          <w:p>
            <w:pPr>
              <w:ind w:left="440"/>
              <w:spacing w:after="0"/>
              <w:rPr>
                <w:rFonts w:ascii="Arial" w:cs="Arial" w:eastAsia="Arial" w:hAnsi="Arial"/>
                <w:sz w:val="13"/>
                <w:szCs w:val="13"/>
                <w:color w:val="0000FF"/>
              </w:rPr>
            </w:pPr>
            <w:hyperlink w:anchor="page21">
              <w:r>
                <w:rPr>
                  <w:rFonts w:ascii="Arial" w:cs="Arial" w:eastAsia="Arial" w:hAnsi="Arial"/>
                  <w:sz w:val="13"/>
                  <w:szCs w:val="13"/>
                  <w:color w:val="0000FF"/>
                </w:rPr>
                <w:t>Management’s Discussion and Analysis of Financial Condition and Results of Operations</w:t>
              </w:r>
            </w:hyperlink>
          </w:p>
        </w:tc>
        <w:tc>
          <w:tcPr>
            <w:tcW w:w="520" w:type="dxa"/>
            <w:vAlign w:val="bottom"/>
            <w:gridSpan w:val="2"/>
          </w:tcPr>
          <w:p>
            <w:pPr>
              <w:jc w:val="right"/>
              <w:spacing w:after="0"/>
              <w:rPr>
                <w:rFonts w:ascii="Arial" w:cs="Arial" w:eastAsia="Arial" w:hAnsi="Arial"/>
                <w:sz w:val="13"/>
                <w:szCs w:val="13"/>
                <w:color w:val="0000FF"/>
              </w:rPr>
            </w:pPr>
            <w:hyperlink w:anchor="page21">
              <w:r>
                <w:rPr>
                  <w:rFonts w:ascii="Arial" w:cs="Arial" w:eastAsia="Arial" w:hAnsi="Arial"/>
                  <w:sz w:val="13"/>
                  <w:szCs w:val="13"/>
                  <w:color w:val="0000FF"/>
                </w:rPr>
                <w:t>21</w:t>
              </w:r>
            </w:hyperlink>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1"/>
        </w:trPr>
        <w:tc>
          <w:tcPr>
            <w:tcW w:w="380" w:type="dxa"/>
            <w:vAlign w:val="bottom"/>
          </w:tcPr>
          <w:p>
            <w:pPr>
              <w:spacing w:after="0"/>
              <w:rPr>
                <w:rFonts w:ascii="Arial" w:cs="Arial" w:eastAsia="Arial" w:hAnsi="Arial"/>
                <w:sz w:val="13"/>
                <w:szCs w:val="13"/>
                <w:color w:val="0000FF"/>
                <w:w w:val="90"/>
              </w:rPr>
            </w:pPr>
            <w:hyperlink w:anchor="page34">
              <w:r>
                <w:rPr>
                  <w:rFonts w:ascii="Arial" w:cs="Arial" w:eastAsia="Arial" w:hAnsi="Arial"/>
                  <w:sz w:val="13"/>
                  <w:szCs w:val="13"/>
                  <w:color w:val="0000FF"/>
                  <w:w w:val="90"/>
                </w:rPr>
                <w:t>Item 3.</w:t>
              </w:r>
            </w:hyperlink>
          </w:p>
        </w:tc>
        <w:tc>
          <w:tcPr>
            <w:tcW w:w="440" w:type="dxa"/>
            <w:vAlign w:val="bottom"/>
            <w:gridSpan w:val="2"/>
          </w:tcPr>
          <w:p>
            <w:pPr>
              <w:spacing w:after="0"/>
              <w:rPr>
                <w:sz w:val="13"/>
                <w:szCs w:val="13"/>
                <w:color w:val="auto"/>
              </w:rPr>
            </w:pPr>
          </w:p>
        </w:tc>
        <w:tc>
          <w:tcPr>
            <w:tcW w:w="9920" w:type="dxa"/>
            <w:vAlign w:val="bottom"/>
            <w:gridSpan w:val="24"/>
          </w:tcPr>
          <w:p>
            <w:pPr>
              <w:ind w:left="440"/>
              <w:spacing w:after="0"/>
              <w:rPr>
                <w:rFonts w:ascii="Arial" w:cs="Arial" w:eastAsia="Arial" w:hAnsi="Arial"/>
                <w:sz w:val="13"/>
                <w:szCs w:val="13"/>
                <w:color w:val="0000FF"/>
              </w:rPr>
            </w:pPr>
            <w:hyperlink w:anchor="page34">
              <w:r>
                <w:rPr>
                  <w:rFonts w:ascii="Arial" w:cs="Arial" w:eastAsia="Arial" w:hAnsi="Arial"/>
                  <w:sz w:val="13"/>
                  <w:szCs w:val="13"/>
                  <w:color w:val="0000FF"/>
                </w:rPr>
                <w:t>Quantitative and Qualitative Disclosures About Market Risk</w:t>
              </w:r>
            </w:hyperlink>
          </w:p>
        </w:tc>
        <w:tc>
          <w:tcPr>
            <w:tcW w:w="520" w:type="dxa"/>
            <w:vAlign w:val="bottom"/>
            <w:gridSpan w:val="2"/>
          </w:tcPr>
          <w:p>
            <w:pPr>
              <w:jc w:val="right"/>
              <w:spacing w:after="0"/>
              <w:rPr>
                <w:rFonts w:ascii="Arial" w:cs="Arial" w:eastAsia="Arial" w:hAnsi="Arial"/>
                <w:sz w:val="13"/>
                <w:szCs w:val="13"/>
                <w:color w:val="0000FF"/>
              </w:rPr>
            </w:pPr>
            <w:hyperlink w:anchor="page34">
              <w:r>
                <w:rPr>
                  <w:rFonts w:ascii="Arial" w:cs="Arial" w:eastAsia="Arial" w:hAnsi="Arial"/>
                  <w:sz w:val="13"/>
                  <w:szCs w:val="13"/>
                  <w:color w:val="0000FF"/>
                </w:rPr>
                <w:t>33</w:t>
              </w:r>
            </w:hyperlink>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20" w:type="dxa"/>
            <w:vAlign w:val="bottom"/>
            <w:gridSpan w:val="9"/>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1"/>
        </w:trPr>
        <w:tc>
          <w:tcPr>
            <w:tcW w:w="380" w:type="dxa"/>
            <w:vAlign w:val="bottom"/>
          </w:tcPr>
          <w:p>
            <w:pPr>
              <w:spacing w:after="0"/>
              <w:rPr>
                <w:rFonts w:ascii="Arial" w:cs="Arial" w:eastAsia="Arial" w:hAnsi="Arial"/>
                <w:sz w:val="13"/>
                <w:szCs w:val="13"/>
                <w:color w:val="0000FF"/>
                <w:w w:val="90"/>
              </w:rPr>
            </w:pPr>
            <w:hyperlink w:anchor="page34">
              <w:r>
                <w:rPr>
                  <w:rFonts w:ascii="Arial" w:cs="Arial" w:eastAsia="Arial" w:hAnsi="Arial"/>
                  <w:sz w:val="13"/>
                  <w:szCs w:val="13"/>
                  <w:color w:val="0000FF"/>
                  <w:w w:val="90"/>
                </w:rPr>
                <w:t>Item 4.</w:t>
              </w:r>
            </w:hyperlink>
          </w:p>
        </w:tc>
        <w:tc>
          <w:tcPr>
            <w:tcW w:w="440" w:type="dxa"/>
            <w:vAlign w:val="bottom"/>
            <w:gridSpan w:val="2"/>
          </w:tcPr>
          <w:p>
            <w:pPr>
              <w:spacing w:after="0"/>
              <w:rPr>
                <w:sz w:val="13"/>
                <w:szCs w:val="13"/>
                <w:color w:val="auto"/>
              </w:rPr>
            </w:pPr>
          </w:p>
        </w:tc>
        <w:tc>
          <w:tcPr>
            <w:tcW w:w="9920" w:type="dxa"/>
            <w:vAlign w:val="bottom"/>
            <w:gridSpan w:val="24"/>
          </w:tcPr>
          <w:p>
            <w:pPr>
              <w:ind w:left="440"/>
              <w:spacing w:after="0"/>
              <w:rPr>
                <w:rFonts w:ascii="Arial" w:cs="Arial" w:eastAsia="Arial" w:hAnsi="Arial"/>
                <w:sz w:val="13"/>
                <w:szCs w:val="13"/>
                <w:color w:val="0000FF"/>
              </w:rPr>
            </w:pPr>
            <w:hyperlink w:anchor="page34">
              <w:r>
                <w:rPr>
                  <w:rFonts w:ascii="Arial" w:cs="Arial" w:eastAsia="Arial" w:hAnsi="Arial"/>
                  <w:sz w:val="13"/>
                  <w:szCs w:val="13"/>
                  <w:color w:val="0000FF"/>
                </w:rPr>
                <w:t>Controls and Procedures</w:t>
              </w:r>
            </w:hyperlink>
          </w:p>
        </w:tc>
        <w:tc>
          <w:tcPr>
            <w:tcW w:w="520" w:type="dxa"/>
            <w:vAlign w:val="bottom"/>
            <w:gridSpan w:val="2"/>
          </w:tcPr>
          <w:p>
            <w:pPr>
              <w:jc w:val="right"/>
              <w:spacing w:after="0"/>
              <w:rPr>
                <w:rFonts w:ascii="Arial" w:cs="Arial" w:eastAsia="Arial" w:hAnsi="Arial"/>
                <w:sz w:val="13"/>
                <w:szCs w:val="13"/>
                <w:color w:val="0000FF"/>
              </w:rPr>
            </w:pPr>
            <w:hyperlink w:anchor="page34">
              <w:r>
                <w:rPr>
                  <w:rFonts w:ascii="Arial" w:cs="Arial" w:eastAsia="Arial" w:hAnsi="Arial"/>
                  <w:sz w:val="13"/>
                  <w:szCs w:val="13"/>
                  <w:color w:val="0000FF"/>
                </w:rPr>
                <w:t>33</w:t>
              </w:r>
            </w:hyperlink>
          </w:p>
        </w:tc>
      </w:tr>
      <w:tr>
        <w:trPr>
          <w:trHeight w:val="352"/>
        </w:trPr>
        <w:tc>
          <w:tcPr>
            <w:tcW w:w="3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0" w:type="dxa"/>
            <w:vAlign w:val="bottom"/>
            <w:gridSpan w:val="8"/>
          </w:tcPr>
          <w:p>
            <w:pPr>
              <w:jc w:val="center"/>
              <w:ind w:right="3680"/>
              <w:spacing w:after="0"/>
              <w:rPr>
                <w:sz w:val="20"/>
                <w:szCs w:val="20"/>
                <w:color w:val="auto"/>
              </w:rPr>
            </w:pPr>
            <w:r>
              <w:rPr>
                <w:rFonts w:ascii="Arial" w:cs="Arial" w:eastAsia="Arial" w:hAnsi="Arial"/>
                <w:sz w:val="13"/>
                <w:szCs w:val="13"/>
                <w:b w:val="1"/>
                <w:bCs w:val="1"/>
                <w:color w:val="auto"/>
              </w:rPr>
              <w:t>PART II-OTHER INFORMATION</w:t>
            </w:r>
          </w:p>
        </w:tc>
        <w:tc>
          <w:tcPr>
            <w:tcW w:w="4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42"/>
        </w:trPr>
        <w:tc>
          <w:tcPr>
            <w:tcW w:w="380" w:type="dxa"/>
            <w:vAlign w:val="bottom"/>
          </w:tcPr>
          <w:p>
            <w:pPr>
              <w:spacing w:after="0" w:line="142" w:lineRule="exact"/>
              <w:rPr>
                <w:rFonts w:ascii="Arial" w:cs="Arial" w:eastAsia="Arial" w:hAnsi="Arial"/>
                <w:sz w:val="13"/>
                <w:szCs w:val="13"/>
                <w:color w:val="0000FF"/>
                <w:w w:val="90"/>
              </w:rPr>
            </w:pPr>
            <w:hyperlink w:anchor="page35">
              <w:r>
                <w:rPr>
                  <w:rFonts w:ascii="Arial" w:cs="Arial" w:eastAsia="Arial" w:hAnsi="Arial"/>
                  <w:sz w:val="13"/>
                  <w:szCs w:val="13"/>
                  <w:color w:val="0000FF"/>
                  <w:w w:val="90"/>
                </w:rPr>
                <w:t>Item 1.</w:t>
              </w:r>
            </w:hyperlink>
          </w:p>
        </w:tc>
        <w:tc>
          <w:tcPr>
            <w:tcW w:w="440" w:type="dxa"/>
            <w:vAlign w:val="bottom"/>
            <w:gridSpan w:val="2"/>
          </w:tcPr>
          <w:p>
            <w:pPr>
              <w:spacing w:after="0"/>
              <w:rPr>
                <w:sz w:val="12"/>
                <w:szCs w:val="12"/>
                <w:color w:val="auto"/>
              </w:rPr>
            </w:pPr>
          </w:p>
        </w:tc>
        <w:tc>
          <w:tcPr>
            <w:tcW w:w="9920" w:type="dxa"/>
            <w:vAlign w:val="bottom"/>
            <w:gridSpan w:val="24"/>
          </w:tcPr>
          <w:p>
            <w:pPr>
              <w:ind w:left="440"/>
              <w:spacing w:after="0" w:line="142" w:lineRule="exact"/>
              <w:rPr>
                <w:rFonts w:ascii="Arial" w:cs="Arial" w:eastAsia="Arial" w:hAnsi="Arial"/>
                <w:sz w:val="13"/>
                <w:szCs w:val="13"/>
                <w:color w:val="0000FF"/>
              </w:rPr>
            </w:pPr>
            <w:hyperlink w:anchor="page35">
              <w:r>
                <w:rPr>
                  <w:rFonts w:ascii="Arial" w:cs="Arial" w:eastAsia="Arial" w:hAnsi="Arial"/>
                  <w:sz w:val="13"/>
                  <w:szCs w:val="13"/>
                  <w:color w:val="0000FF"/>
                </w:rPr>
                <w:t>Legal Proceedings</w:t>
              </w:r>
            </w:hyperlink>
          </w:p>
        </w:tc>
        <w:tc>
          <w:tcPr>
            <w:tcW w:w="520" w:type="dxa"/>
            <w:vAlign w:val="bottom"/>
            <w:gridSpan w:val="2"/>
          </w:tcPr>
          <w:p>
            <w:pPr>
              <w:jc w:val="right"/>
              <w:spacing w:after="0" w:line="142" w:lineRule="exact"/>
              <w:rPr>
                <w:rFonts w:ascii="Arial" w:cs="Arial" w:eastAsia="Arial" w:hAnsi="Arial"/>
                <w:sz w:val="13"/>
                <w:szCs w:val="13"/>
                <w:color w:val="0000FF"/>
              </w:rPr>
            </w:pPr>
            <w:hyperlink w:anchor="page35">
              <w:r>
                <w:rPr>
                  <w:rFonts w:ascii="Arial" w:cs="Arial" w:eastAsia="Arial" w:hAnsi="Arial"/>
                  <w:sz w:val="13"/>
                  <w:szCs w:val="13"/>
                  <w:color w:val="0000FF"/>
                </w:rPr>
                <w:t>34</w:t>
              </w:r>
            </w:hyperlink>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1"/>
        </w:trPr>
        <w:tc>
          <w:tcPr>
            <w:tcW w:w="480" w:type="dxa"/>
            <w:vAlign w:val="bottom"/>
            <w:gridSpan w:val="2"/>
          </w:tcPr>
          <w:p>
            <w:pPr>
              <w:spacing w:after="0"/>
              <w:rPr>
                <w:rFonts w:ascii="Arial" w:cs="Arial" w:eastAsia="Arial" w:hAnsi="Arial"/>
                <w:sz w:val="13"/>
                <w:szCs w:val="13"/>
                <w:color w:val="0000FF"/>
                <w:w w:val="94"/>
              </w:rPr>
            </w:pPr>
            <w:hyperlink w:anchor="page36">
              <w:r>
                <w:rPr>
                  <w:rFonts w:ascii="Arial" w:cs="Arial" w:eastAsia="Arial" w:hAnsi="Arial"/>
                  <w:sz w:val="13"/>
                  <w:szCs w:val="13"/>
                  <w:color w:val="0000FF"/>
                  <w:w w:val="94"/>
                </w:rPr>
                <w:t>Item 1A.</w:t>
              </w:r>
            </w:hyperlink>
          </w:p>
        </w:tc>
        <w:tc>
          <w:tcPr>
            <w:tcW w:w="340" w:type="dxa"/>
            <w:vAlign w:val="bottom"/>
          </w:tcPr>
          <w:p>
            <w:pPr>
              <w:spacing w:after="0"/>
              <w:rPr>
                <w:sz w:val="13"/>
                <w:szCs w:val="13"/>
                <w:color w:val="auto"/>
              </w:rPr>
            </w:pPr>
          </w:p>
        </w:tc>
        <w:tc>
          <w:tcPr>
            <w:tcW w:w="9920" w:type="dxa"/>
            <w:vAlign w:val="bottom"/>
            <w:gridSpan w:val="24"/>
          </w:tcPr>
          <w:p>
            <w:pPr>
              <w:ind w:left="440"/>
              <w:spacing w:after="0"/>
              <w:rPr>
                <w:rFonts w:ascii="Arial" w:cs="Arial" w:eastAsia="Arial" w:hAnsi="Arial"/>
                <w:sz w:val="13"/>
                <w:szCs w:val="13"/>
                <w:color w:val="0000FF"/>
              </w:rPr>
            </w:pPr>
            <w:hyperlink w:anchor="page36">
              <w:r>
                <w:rPr>
                  <w:rFonts w:ascii="Arial" w:cs="Arial" w:eastAsia="Arial" w:hAnsi="Arial"/>
                  <w:sz w:val="13"/>
                  <w:szCs w:val="13"/>
                  <w:color w:val="0000FF"/>
                </w:rPr>
                <w:t>Risk Factors</w:t>
              </w:r>
            </w:hyperlink>
          </w:p>
        </w:tc>
        <w:tc>
          <w:tcPr>
            <w:tcW w:w="520" w:type="dxa"/>
            <w:vAlign w:val="bottom"/>
            <w:gridSpan w:val="2"/>
          </w:tcPr>
          <w:p>
            <w:pPr>
              <w:jc w:val="right"/>
              <w:spacing w:after="0"/>
              <w:rPr>
                <w:rFonts w:ascii="Arial" w:cs="Arial" w:eastAsia="Arial" w:hAnsi="Arial"/>
                <w:sz w:val="13"/>
                <w:szCs w:val="13"/>
                <w:color w:val="0000FF"/>
              </w:rPr>
            </w:pPr>
            <w:hyperlink w:anchor="page36">
              <w:r>
                <w:rPr>
                  <w:rFonts w:ascii="Arial" w:cs="Arial" w:eastAsia="Arial" w:hAnsi="Arial"/>
                  <w:sz w:val="13"/>
                  <w:szCs w:val="13"/>
                  <w:color w:val="0000FF"/>
                </w:rPr>
                <w:t>35</w:t>
              </w:r>
            </w:hyperlink>
          </w:p>
        </w:tc>
      </w:tr>
      <w:tr>
        <w:trPr>
          <w:trHeight w:val="20"/>
        </w:trPr>
        <w:tc>
          <w:tcPr>
            <w:tcW w:w="4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1"/>
        </w:trPr>
        <w:tc>
          <w:tcPr>
            <w:tcW w:w="380" w:type="dxa"/>
            <w:vAlign w:val="bottom"/>
          </w:tcPr>
          <w:p>
            <w:pPr>
              <w:spacing w:after="0"/>
              <w:rPr>
                <w:rFonts w:ascii="Arial" w:cs="Arial" w:eastAsia="Arial" w:hAnsi="Arial"/>
                <w:sz w:val="13"/>
                <w:szCs w:val="13"/>
                <w:color w:val="0000FF"/>
                <w:w w:val="90"/>
              </w:rPr>
            </w:pPr>
            <w:hyperlink w:anchor="page68">
              <w:r>
                <w:rPr>
                  <w:rFonts w:ascii="Arial" w:cs="Arial" w:eastAsia="Arial" w:hAnsi="Arial"/>
                  <w:sz w:val="13"/>
                  <w:szCs w:val="13"/>
                  <w:color w:val="0000FF"/>
                  <w:w w:val="90"/>
                </w:rPr>
                <w:t>Item 2.</w:t>
              </w:r>
            </w:hyperlink>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920" w:type="dxa"/>
            <w:vAlign w:val="bottom"/>
            <w:gridSpan w:val="24"/>
          </w:tcPr>
          <w:p>
            <w:pPr>
              <w:ind w:left="440"/>
              <w:spacing w:after="0"/>
              <w:rPr>
                <w:rFonts w:ascii="Arial" w:cs="Arial" w:eastAsia="Arial" w:hAnsi="Arial"/>
                <w:sz w:val="13"/>
                <w:szCs w:val="13"/>
                <w:color w:val="0000FF"/>
              </w:rPr>
            </w:pPr>
            <w:hyperlink w:anchor="page68">
              <w:r>
                <w:rPr>
                  <w:rFonts w:ascii="Arial" w:cs="Arial" w:eastAsia="Arial" w:hAnsi="Arial"/>
                  <w:sz w:val="13"/>
                  <w:szCs w:val="13"/>
                  <w:color w:val="0000FF"/>
                </w:rPr>
                <w:t>Unregistered Sales of Equity Securities and Use of Proceeds</w:t>
              </w:r>
            </w:hyperlink>
          </w:p>
        </w:tc>
        <w:tc>
          <w:tcPr>
            <w:tcW w:w="520" w:type="dxa"/>
            <w:vAlign w:val="bottom"/>
            <w:gridSpan w:val="2"/>
          </w:tcPr>
          <w:p>
            <w:pPr>
              <w:jc w:val="right"/>
              <w:spacing w:after="0"/>
              <w:rPr>
                <w:rFonts w:ascii="Arial" w:cs="Arial" w:eastAsia="Arial" w:hAnsi="Arial"/>
                <w:sz w:val="13"/>
                <w:szCs w:val="13"/>
                <w:color w:val="0000FF"/>
              </w:rPr>
            </w:pPr>
            <w:hyperlink w:anchor="page68">
              <w:r>
                <w:rPr>
                  <w:rFonts w:ascii="Arial" w:cs="Arial" w:eastAsia="Arial" w:hAnsi="Arial"/>
                  <w:sz w:val="13"/>
                  <w:szCs w:val="13"/>
                  <w:color w:val="0000FF"/>
                </w:rPr>
                <w:t>67</w:t>
              </w:r>
            </w:hyperlink>
          </w:p>
        </w:tc>
      </w:tr>
      <w:tr>
        <w:trPr>
          <w:trHeight w:val="20"/>
        </w:trPr>
        <w:tc>
          <w:tcPr>
            <w:tcW w:w="3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1"/>
        </w:trPr>
        <w:tc>
          <w:tcPr>
            <w:tcW w:w="380" w:type="dxa"/>
            <w:vAlign w:val="bottom"/>
          </w:tcPr>
          <w:p>
            <w:pPr>
              <w:spacing w:after="0"/>
              <w:rPr>
                <w:rFonts w:ascii="Arial" w:cs="Arial" w:eastAsia="Arial" w:hAnsi="Arial"/>
                <w:sz w:val="13"/>
                <w:szCs w:val="13"/>
                <w:color w:val="0000FF"/>
                <w:w w:val="90"/>
              </w:rPr>
            </w:pPr>
            <w:hyperlink w:anchor="page68">
              <w:r>
                <w:rPr>
                  <w:rFonts w:ascii="Arial" w:cs="Arial" w:eastAsia="Arial" w:hAnsi="Arial"/>
                  <w:sz w:val="13"/>
                  <w:szCs w:val="13"/>
                  <w:color w:val="0000FF"/>
                  <w:w w:val="90"/>
                </w:rPr>
                <w:t>Item 3.</w:t>
              </w:r>
            </w:hyperlink>
          </w:p>
        </w:tc>
        <w:tc>
          <w:tcPr>
            <w:tcW w:w="440" w:type="dxa"/>
            <w:vAlign w:val="bottom"/>
            <w:gridSpan w:val="2"/>
          </w:tcPr>
          <w:p>
            <w:pPr>
              <w:spacing w:after="0"/>
              <w:rPr>
                <w:sz w:val="13"/>
                <w:szCs w:val="13"/>
                <w:color w:val="auto"/>
              </w:rPr>
            </w:pPr>
          </w:p>
        </w:tc>
        <w:tc>
          <w:tcPr>
            <w:tcW w:w="9920" w:type="dxa"/>
            <w:vAlign w:val="bottom"/>
            <w:gridSpan w:val="24"/>
          </w:tcPr>
          <w:p>
            <w:pPr>
              <w:ind w:left="440"/>
              <w:spacing w:after="0"/>
              <w:rPr>
                <w:rFonts w:ascii="Arial" w:cs="Arial" w:eastAsia="Arial" w:hAnsi="Arial"/>
                <w:sz w:val="13"/>
                <w:szCs w:val="13"/>
                <w:color w:val="0000FF"/>
              </w:rPr>
            </w:pPr>
            <w:hyperlink w:anchor="page68">
              <w:r>
                <w:rPr>
                  <w:rFonts w:ascii="Arial" w:cs="Arial" w:eastAsia="Arial" w:hAnsi="Arial"/>
                  <w:sz w:val="13"/>
                  <w:szCs w:val="13"/>
                  <w:color w:val="0000FF"/>
                </w:rPr>
                <w:t>Defaults Upon Senior Securities</w:t>
              </w:r>
            </w:hyperlink>
          </w:p>
        </w:tc>
        <w:tc>
          <w:tcPr>
            <w:tcW w:w="520" w:type="dxa"/>
            <w:vAlign w:val="bottom"/>
            <w:gridSpan w:val="2"/>
          </w:tcPr>
          <w:p>
            <w:pPr>
              <w:jc w:val="right"/>
              <w:spacing w:after="0"/>
              <w:rPr>
                <w:rFonts w:ascii="Arial" w:cs="Arial" w:eastAsia="Arial" w:hAnsi="Arial"/>
                <w:sz w:val="13"/>
                <w:szCs w:val="13"/>
                <w:color w:val="0000FF"/>
              </w:rPr>
            </w:pPr>
            <w:hyperlink w:anchor="page68">
              <w:r>
                <w:rPr>
                  <w:rFonts w:ascii="Arial" w:cs="Arial" w:eastAsia="Arial" w:hAnsi="Arial"/>
                  <w:sz w:val="13"/>
                  <w:szCs w:val="13"/>
                  <w:color w:val="0000FF"/>
                </w:rPr>
                <w:t>67</w:t>
              </w:r>
            </w:hyperlink>
          </w:p>
        </w:tc>
      </w:tr>
      <w:tr>
        <w:trPr>
          <w:trHeight w:val="20"/>
        </w:trPr>
        <w:tc>
          <w:tcPr>
            <w:tcW w:w="3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7760" w:type="dxa"/>
            <w:vAlign w:val="bottom"/>
            <w:gridSpan w:val="16"/>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1"/>
        </w:trPr>
        <w:tc>
          <w:tcPr>
            <w:tcW w:w="380" w:type="dxa"/>
            <w:vAlign w:val="bottom"/>
          </w:tcPr>
          <w:p>
            <w:pPr>
              <w:spacing w:after="0"/>
              <w:rPr>
                <w:rFonts w:ascii="Arial" w:cs="Arial" w:eastAsia="Arial" w:hAnsi="Arial"/>
                <w:sz w:val="13"/>
                <w:szCs w:val="13"/>
                <w:color w:val="0000FF"/>
                <w:w w:val="90"/>
              </w:rPr>
            </w:pPr>
            <w:hyperlink w:anchor="page68">
              <w:r>
                <w:rPr>
                  <w:rFonts w:ascii="Arial" w:cs="Arial" w:eastAsia="Arial" w:hAnsi="Arial"/>
                  <w:sz w:val="13"/>
                  <w:szCs w:val="13"/>
                  <w:color w:val="0000FF"/>
                  <w:w w:val="90"/>
                </w:rPr>
                <w:t>Item 4.</w:t>
              </w:r>
            </w:hyperlink>
          </w:p>
        </w:tc>
        <w:tc>
          <w:tcPr>
            <w:tcW w:w="440" w:type="dxa"/>
            <w:vAlign w:val="bottom"/>
            <w:gridSpan w:val="2"/>
          </w:tcPr>
          <w:p>
            <w:pPr>
              <w:spacing w:after="0"/>
              <w:rPr>
                <w:sz w:val="13"/>
                <w:szCs w:val="13"/>
                <w:color w:val="auto"/>
              </w:rPr>
            </w:pPr>
          </w:p>
        </w:tc>
        <w:tc>
          <w:tcPr>
            <w:tcW w:w="9920" w:type="dxa"/>
            <w:vAlign w:val="bottom"/>
            <w:gridSpan w:val="24"/>
          </w:tcPr>
          <w:p>
            <w:pPr>
              <w:ind w:left="440"/>
              <w:spacing w:after="0"/>
              <w:rPr>
                <w:rFonts w:ascii="Arial" w:cs="Arial" w:eastAsia="Arial" w:hAnsi="Arial"/>
                <w:sz w:val="13"/>
                <w:szCs w:val="13"/>
                <w:color w:val="0000FF"/>
              </w:rPr>
            </w:pPr>
            <w:hyperlink w:anchor="page68">
              <w:r>
                <w:rPr>
                  <w:rFonts w:ascii="Arial" w:cs="Arial" w:eastAsia="Arial" w:hAnsi="Arial"/>
                  <w:sz w:val="13"/>
                  <w:szCs w:val="13"/>
                  <w:color w:val="0000FF"/>
                </w:rPr>
                <w:t>Mine Safety Disclosures</w:t>
              </w:r>
            </w:hyperlink>
          </w:p>
        </w:tc>
        <w:tc>
          <w:tcPr>
            <w:tcW w:w="520" w:type="dxa"/>
            <w:vAlign w:val="bottom"/>
            <w:gridSpan w:val="2"/>
          </w:tcPr>
          <w:p>
            <w:pPr>
              <w:jc w:val="right"/>
              <w:spacing w:after="0"/>
              <w:rPr>
                <w:rFonts w:ascii="Arial" w:cs="Arial" w:eastAsia="Arial" w:hAnsi="Arial"/>
                <w:sz w:val="13"/>
                <w:szCs w:val="13"/>
                <w:color w:val="0000FF"/>
              </w:rPr>
            </w:pPr>
            <w:hyperlink w:anchor="page68">
              <w:r>
                <w:rPr>
                  <w:rFonts w:ascii="Arial" w:cs="Arial" w:eastAsia="Arial" w:hAnsi="Arial"/>
                  <w:sz w:val="13"/>
                  <w:szCs w:val="13"/>
                  <w:color w:val="0000FF"/>
                </w:rPr>
                <w:t>67</w:t>
              </w:r>
            </w:hyperlink>
          </w:p>
        </w:tc>
      </w:tr>
      <w:tr>
        <w:trPr>
          <w:trHeight w:val="20"/>
        </w:trPr>
        <w:tc>
          <w:tcPr>
            <w:tcW w:w="3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160" w:type="dxa"/>
            <w:vAlign w:val="bottom"/>
            <w:gridSpan w:val="17"/>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1"/>
        </w:trPr>
        <w:tc>
          <w:tcPr>
            <w:tcW w:w="380" w:type="dxa"/>
            <w:vAlign w:val="bottom"/>
          </w:tcPr>
          <w:p>
            <w:pPr>
              <w:spacing w:after="0"/>
              <w:rPr>
                <w:rFonts w:ascii="Arial" w:cs="Arial" w:eastAsia="Arial" w:hAnsi="Arial"/>
                <w:sz w:val="13"/>
                <w:szCs w:val="13"/>
                <w:color w:val="0000FF"/>
                <w:w w:val="90"/>
              </w:rPr>
            </w:pPr>
            <w:hyperlink w:anchor="page68">
              <w:r>
                <w:rPr>
                  <w:rFonts w:ascii="Arial" w:cs="Arial" w:eastAsia="Arial" w:hAnsi="Arial"/>
                  <w:sz w:val="13"/>
                  <w:szCs w:val="13"/>
                  <w:color w:val="0000FF"/>
                  <w:w w:val="90"/>
                </w:rPr>
                <w:t>Item 5.</w:t>
              </w:r>
            </w:hyperlink>
          </w:p>
        </w:tc>
        <w:tc>
          <w:tcPr>
            <w:tcW w:w="440" w:type="dxa"/>
            <w:vAlign w:val="bottom"/>
            <w:gridSpan w:val="2"/>
          </w:tcPr>
          <w:p>
            <w:pPr>
              <w:spacing w:after="0"/>
              <w:rPr>
                <w:sz w:val="13"/>
                <w:szCs w:val="13"/>
                <w:color w:val="auto"/>
              </w:rPr>
            </w:pPr>
          </w:p>
        </w:tc>
        <w:tc>
          <w:tcPr>
            <w:tcW w:w="9920" w:type="dxa"/>
            <w:vAlign w:val="bottom"/>
            <w:gridSpan w:val="24"/>
          </w:tcPr>
          <w:p>
            <w:pPr>
              <w:ind w:left="440"/>
              <w:spacing w:after="0"/>
              <w:rPr>
                <w:rFonts w:ascii="Arial" w:cs="Arial" w:eastAsia="Arial" w:hAnsi="Arial"/>
                <w:sz w:val="13"/>
                <w:szCs w:val="13"/>
                <w:color w:val="0000FF"/>
              </w:rPr>
            </w:pPr>
            <w:hyperlink w:anchor="page68">
              <w:r>
                <w:rPr>
                  <w:rFonts w:ascii="Arial" w:cs="Arial" w:eastAsia="Arial" w:hAnsi="Arial"/>
                  <w:sz w:val="13"/>
                  <w:szCs w:val="13"/>
                  <w:color w:val="0000FF"/>
                </w:rPr>
                <w:t>Other Information</w:t>
              </w:r>
            </w:hyperlink>
          </w:p>
        </w:tc>
        <w:tc>
          <w:tcPr>
            <w:tcW w:w="520" w:type="dxa"/>
            <w:vAlign w:val="bottom"/>
            <w:gridSpan w:val="2"/>
          </w:tcPr>
          <w:p>
            <w:pPr>
              <w:jc w:val="right"/>
              <w:spacing w:after="0"/>
              <w:rPr>
                <w:rFonts w:ascii="Arial" w:cs="Arial" w:eastAsia="Arial" w:hAnsi="Arial"/>
                <w:sz w:val="13"/>
                <w:szCs w:val="13"/>
                <w:color w:val="0000FF"/>
              </w:rPr>
            </w:pPr>
            <w:hyperlink w:anchor="page68">
              <w:r>
                <w:rPr>
                  <w:rFonts w:ascii="Arial" w:cs="Arial" w:eastAsia="Arial" w:hAnsi="Arial"/>
                  <w:sz w:val="13"/>
                  <w:szCs w:val="13"/>
                  <w:color w:val="0000FF"/>
                </w:rPr>
                <w:t>68</w:t>
              </w:r>
            </w:hyperlink>
          </w:p>
        </w:tc>
      </w:tr>
      <w:tr>
        <w:trPr>
          <w:trHeight w:val="20"/>
        </w:trPr>
        <w:tc>
          <w:tcPr>
            <w:tcW w:w="3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500" w:type="dxa"/>
            <w:vAlign w:val="bottom"/>
            <w:gridSpan w:val="19"/>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1"/>
        </w:trPr>
        <w:tc>
          <w:tcPr>
            <w:tcW w:w="380" w:type="dxa"/>
            <w:vAlign w:val="bottom"/>
          </w:tcPr>
          <w:p>
            <w:pPr>
              <w:spacing w:after="0"/>
              <w:rPr>
                <w:rFonts w:ascii="Arial" w:cs="Arial" w:eastAsia="Arial" w:hAnsi="Arial"/>
                <w:sz w:val="13"/>
                <w:szCs w:val="13"/>
                <w:color w:val="0000FF"/>
                <w:w w:val="90"/>
              </w:rPr>
            </w:pPr>
            <w:hyperlink w:anchor="page69">
              <w:r>
                <w:rPr>
                  <w:rFonts w:ascii="Arial" w:cs="Arial" w:eastAsia="Arial" w:hAnsi="Arial"/>
                  <w:sz w:val="13"/>
                  <w:szCs w:val="13"/>
                  <w:color w:val="0000FF"/>
                  <w:w w:val="90"/>
                </w:rPr>
                <w:t>Item 6.</w:t>
              </w:r>
            </w:hyperlink>
          </w:p>
        </w:tc>
        <w:tc>
          <w:tcPr>
            <w:tcW w:w="440" w:type="dxa"/>
            <w:vAlign w:val="bottom"/>
            <w:gridSpan w:val="2"/>
          </w:tcPr>
          <w:p>
            <w:pPr>
              <w:spacing w:after="0"/>
              <w:rPr>
                <w:sz w:val="13"/>
                <w:szCs w:val="13"/>
                <w:color w:val="auto"/>
              </w:rPr>
            </w:pPr>
          </w:p>
        </w:tc>
        <w:tc>
          <w:tcPr>
            <w:tcW w:w="9920" w:type="dxa"/>
            <w:vAlign w:val="bottom"/>
            <w:gridSpan w:val="24"/>
          </w:tcPr>
          <w:p>
            <w:pPr>
              <w:ind w:left="440"/>
              <w:spacing w:after="0"/>
              <w:rPr>
                <w:rFonts w:ascii="Arial" w:cs="Arial" w:eastAsia="Arial" w:hAnsi="Arial"/>
                <w:sz w:val="13"/>
                <w:szCs w:val="13"/>
                <w:color w:val="0000FF"/>
              </w:rPr>
            </w:pPr>
            <w:hyperlink w:anchor="page69">
              <w:r>
                <w:rPr>
                  <w:rFonts w:ascii="Arial" w:cs="Arial" w:eastAsia="Arial" w:hAnsi="Arial"/>
                  <w:sz w:val="13"/>
                  <w:szCs w:val="13"/>
                  <w:color w:val="0000FF"/>
                </w:rPr>
                <w:t>Exhibits</w:t>
              </w:r>
            </w:hyperlink>
          </w:p>
        </w:tc>
        <w:tc>
          <w:tcPr>
            <w:tcW w:w="520" w:type="dxa"/>
            <w:vAlign w:val="bottom"/>
            <w:gridSpan w:val="2"/>
          </w:tcPr>
          <w:p>
            <w:pPr>
              <w:jc w:val="right"/>
              <w:spacing w:after="0"/>
              <w:rPr>
                <w:rFonts w:ascii="Arial" w:cs="Arial" w:eastAsia="Arial" w:hAnsi="Arial"/>
                <w:sz w:val="13"/>
                <w:szCs w:val="13"/>
                <w:color w:val="0000FF"/>
              </w:rPr>
            </w:pPr>
            <w:hyperlink w:anchor="page69">
              <w:r>
                <w:rPr>
                  <w:rFonts w:ascii="Arial" w:cs="Arial" w:eastAsia="Arial" w:hAnsi="Arial"/>
                  <w:sz w:val="13"/>
                  <w:szCs w:val="13"/>
                  <w:color w:val="0000FF"/>
                </w:rPr>
                <w:t>69</w:t>
              </w:r>
            </w:hyperlink>
          </w:p>
        </w:tc>
      </w:tr>
      <w:tr>
        <w:trPr>
          <w:trHeight w:val="20"/>
        </w:trPr>
        <w:tc>
          <w:tcPr>
            <w:tcW w:w="3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42"/>
        </w:trPr>
        <w:tc>
          <w:tcPr>
            <w:tcW w:w="820" w:type="dxa"/>
            <w:vAlign w:val="bottom"/>
            <w:gridSpan w:val="3"/>
          </w:tcPr>
          <w:p>
            <w:pPr>
              <w:spacing w:after="0"/>
              <w:rPr>
                <w:rFonts w:ascii="Arial" w:cs="Arial" w:eastAsia="Arial" w:hAnsi="Arial"/>
                <w:sz w:val="13"/>
                <w:szCs w:val="13"/>
                <w:color w:val="0000FF"/>
                <w:w w:val="94"/>
              </w:rPr>
            </w:pPr>
            <w:hyperlink w:anchor="page71">
              <w:r>
                <w:rPr>
                  <w:rFonts w:ascii="Arial" w:cs="Arial" w:eastAsia="Arial" w:hAnsi="Arial"/>
                  <w:sz w:val="13"/>
                  <w:szCs w:val="13"/>
                  <w:color w:val="0000FF"/>
                  <w:w w:val="94"/>
                </w:rPr>
                <w:t>SIGNATURES</w:t>
              </w:r>
            </w:hyperlink>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20" w:type="dxa"/>
            <w:vAlign w:val="bottom"/>
            <w:gridSpan w:val="2"/>
          </w:tcPr>
          <w:p>
            <w:pPr>
              <w:jc w:val="right"/>
              <w:spacing w:after="0"/>
              <w:rPr>
                <w:rFonts w:ascii="Arial" w:cs="Arial" w:eastAsia="Arial" w:hAnsi="Arial"/>
                <w:sz w:val="13"/>
                <w:szCs w:val="13"/>
                <w:color w:val="0000FF"/>
              </w:rPr>
            </w:pPr>
            <w:hyperlink w:anchor="page71">
              <w:r>
                <w:rPr>
                  <w:rFonts w:ascii="Arial" w:cs="Arial" w:eastAsia="Arial" w:hAnsi="Arial"/>
                  <w:sz w:val="13"/>
                  <w:szCs w:val="13"/>
                  <w:color w:val="0000FF"/>
                </w:rPr>
                <w:t>71</w:t>
              </w:r>
            </w:hyperlink>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52"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95" w:lineRule="exact"/>
        <w:rPr>
          <w:sz w:val="20"/>
          <w:szCs w:val="20"/>
          <w:color w:val="auto"/>
        </w:rPr>
      </w:pPr>
    </w:p>
    <w:p>
      <w:pPr>
        <w:jc w:val="both"/>
        <w:ind w:firstLine="362"/>
        <w:spacing w:after="0" w:line="276" w:lineRule="auto"/>
        <w:rPr>
          <w:sz w:val="20"/>
          <w:szCs w:val="20"/>
          <w:color w:val="auto"/>
        </w:rPr>
      </w:pPr>
      <w:r>
        <w:rPr>
          <w:rFonts w:ascii="Arial" w:cs="Arial" w:eastAsia="Arial" w:hAnsi="Arial"/>
          <w:sz w:val="13"/>
          <w:szCs w:val="13"/>
          <w:color w:val="auto"/>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sales force expansion, surgeon adoption, reimbursement determinations, clinical trial results, and U.S. Food and Drug Administration ("FDA") approvals, are forward-looking statements.</w:t>
      </w:r>
    </w:p>
    <w:p>
      <w:pPr>
        <w:spacing w:after="0" w:line="149" w:lineRule="exact"/>
        <w:rPr>
          <w:sz w:val="20"/>
          <w:szCs w:val="20"/>
          <w:color w:val="auto"/>
        </w:rPr>
      </w:pPr>
    </w:p>
    <w:p>
      <w:pPr>
        <w:jc w:val="both"/>
        <w:ind w:firstLine="362"/>
        <w:spacing w:after="0" w:line="294" w:lineRule="auto"/>
        <w:rPr>
          <w:sz w:val="20"/>
          <w:szCs w:val="20"/>
          <w:color w:val="auto"/>
        </w:rPr>
      </w:pPr>
      <w:r>
        <w:rPr>
          <w:rFonts w:ascii="Arial" w:cs="Arial" w:eastAsia="Arial" w:hAnsi="Arial"/>
          <w:sz w:val="13"/>
          <w:szCs w:val="13"/>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37" w:lineRule="exact"/>
        <w:rPr>
          <w:sz w:val="20"/>
          <w:szCs w:val="20"/>
          <w:color w:val="auto"/>
        </w:rPr>
      </w:pPr>
    </w:p>
    <w:p>
      <w:pPr>
        <w:jc w:val="both"/>
        <w:ind w:firstLine="362"/>
        <w:spacing w:after="0" w:line="299" w:lineRule="auto"/>
        <w:rPr>
          <w:sz w:val="20"/>
          <w:szCs w:val="20"/>
          <w:color w:val="auto"/>
        </w:rPr>
      </w:pPr>
      <w:r>
        <w:rPr>
          <w:rFonts w:ascii="Arial" w:cs="Arial" w:eastAsia="Arial" w:hAnsi="Arial"/>
          <w:sz w:val="12"/>
          <w:szCs w:val="12"/>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entitled “Risk Factors” and “Management’s Discussion and Analysis of Financial Condition and Results of Operations.” These forward-looking statements include, but are not limited to, statements about the following:</w:t>
      </w:r>
    </w:p>
    <w:p>
      <w:pPr>
        <w:spacing w:after="0" w:line="138" w:lineRule="exact"/>
        <w:rPr>
          <w:sz w:val="20"/>
          <w:szCs w:val="20"/>
          <w:color w:val="auto"/>
        </w:rPr>
      </w:pPr>
    </w:p>
    <w:p>
      <w:pPr>
        <w:jc w:val="both"/>
        <w:ind w:left="480" w:hanging="238"/>
        <w:spacing w:after="0" w:line="276" w:lineRule="auto"/>
        <w:tabs>
          <w:tab w:leader="none" w:pos="477"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impact the COVID-19 pandemic and governmental actions taken to combat the COVID-19 pandemic will have on us, including our operations, financial results, liquidity and capital resources, the existence and duration of state and local orders temporarily prohibiting elective procedures including procedures using our products, the ability and desire of patients and physicians to undergo and perform such procedures, the duration and any potential resurgence of the COVID-19 pandemic, and whether the COVID-19 pandemic will recur in the future;</w:t>
      </w:r>
    </w:p>
    <w:p>
      <w:pPr>
        <w:spacing w:after="0" w:line="88" w:lineRule="exact"/>
        <w:rPr>
          <w:rFonts w:ascii="Arial" w:cs="Arial" w:eastAsia="Arial" w:hAnsi="Arial"/>
          <w:sz w:val="13"/>
          <w:szCs w:val="13"/>
          <w:color w:val="auto"/>
        </w:rPr>
      </w:pPr>
    </w:p>
    <w:p>
      <w:pPr>
        <w:ind w:left="480" w:hanging="238"/>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maintain a healthy workforce in light of the ongoing COVID-19 pandemic;</w:t>
      </w:r>
    </w:p>
    <w:p>
      <w:pPr>
        <w:spacing w:after="0" w:line="162" w:lineRule="exact"/>
        <w:rPr>
          <w:rFonts w:ascii="Arial" w:cs="Arial" w:eastAsia="Arial" w:hAnsi="Arial"/>
          <w:sz w:val="13"/>
          <w:szCs w:val="13"/>
          <w:color w:val="auto"/>
        </w:rPr>
      </w:pPr>
    </w:p>
    <w:p>
      <w:pPr>
        <w:ind w:left="480" w:hanging="238"/>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expectation that a significant portion of our revenues will be derived from sales of the iFuse Implant System, or iFuse;</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develop additional revenue opportunities, including new indications for use and new devices;</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retain and grow our sales team based on the demand for our products;</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identify, train, and retain surgeons to perform procedures using our products;</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obtain and maintain favorable coverage and reimbursement determinations from third-party payors;</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estimates of our market opportunity;</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expectations regarding the scope of protection from intellectual property rights covering our products;</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developments or disputes concerning our intellectual property or other proprietary rights;</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timing of and results from clinical and other trials;</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marketing clearances and authorization from the FDA and regulators in other jurisdictions;</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timing of regulatory filings and feedback;</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competition in the markets we serve;</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expectations of the reliability and performance of our products;</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expectations of the benefits to patients, providers, and payors of our products;</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reliance on a limited number of suppliers, including sole source suppliers, which may impact the availability of instruments and materials;</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sustain or increase demand for our products;</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estimates regarding our costs and risks associated with our international operations and expansion;</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expectations regarding our ability to retain and recruit key personnel;</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expectations regarding acquisitions and strategic operations;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10" w:right="319" w:bottom="1440" w:gutter="0" w:footer="0" w:header="0"/>
        </w:sectPr>
      </w:pPr>
    </w:p>
    <w:bookmarkStart w:id="3" w:name="page4"/>
    <w:bookmarkEnd w:id="3"/>
    <w:p>
      <w:pPr>
        <w:ind w:left="480" w:hanging="238"/>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fund our working capital requirements;</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compliance with, and the cost of, federal, state, and foreign regulatory requirements;</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factors that may impact our financial results; and</w:t>
      </w:r>
    </w:p>
    <w:p>
      <w:pPr>
        <w:spacing w:after="0" w:line="132" w:lineRule="exact"/>
        <w:rPr>
          <w:rFonts w:ascii="Arial" w:cs="Arial" w:eastAsia="Arial" w:hAnsi="Arial"/>
          <w:sz w:val="13"/>
          <w:szCs w:val="13"/>
          <w:color w:val="auto"/>
        </w:rPr>
      </w:pPr>
    </w:p>
    <w:p>
      <w:pPr>
        <w:ind w:left="480" w:hanging="238"/>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anticipated trends and challenges in our business and the markets in which we operate.</w:t>
      </w:r>
    </w:p>
    <w:p>
      <w:pPr>
        <w:spacing w:after="0" w:line="193" w:lineRule="exact"/>
        <w:rPr>
          <w:sz w:val="20"/>
          <w:szCs w:val="20"/>
          <w:color w:val="auto"/>
        </w:rPr>
      </w:pPr>
    </w:p>
    <w:p>
      <w:pPr>
        <w:jc w:val="both"/>
        <w:ind w:firstLine="362"/>
        <w:spacing w:after="0" w:line="289" w:lineRule="auto"/>
        <w:rPr>
          <w:sz w:val="20"/>
          <w:szCs w:val="20"/>
          <w:color w:val="auto"/>
        </w:rPr>
      </w:pPr>
      <w:r>
        <w:rPr>
          <w:rFonts w:ascii="Arial" w:cs="Arial" w:eastAsia="Arial" w:hAnsi="Arial"/>
          <w:sz w:val="12"/>
          <w:szCs w:val="12"/>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pacing w:after="0" w:line="146" w:lineRule="exact"/>
        <w:rPr>
          <w:sz w:val="20"/>
          <w:szCs w:val="20"/>
          <w:color w:val="auto"/>
        </w:rPr>
      </w:pPr>
    </w:p>
    <w:p>
      <w:pPr>
        <w:jc w:val="both"/>
        <w:ind w:firstLine="362"/>
        <w:spacing w:after="0" w:line="254" w:lineRule="auto"/>
        <w:rPr>
          <w:sz w:val="20"/>
          <w:szCs w:val="20"/>
          <w:color w:val="auto"/>
        </w:rPr>
      </w:pPr>
      <w:r>
        <w:rPr>
          <w:rFonts w:ascii="Arial" w:cs="Arial" w:eastAsia="Arial" w:hAnsi="Arial"/>
          <w:sz w:val="13"/>
          <w:szCs w:val="13"/>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t>PART I-FINANCIAL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Financial Statements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SI-BONE,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CONDENSED CONSOLIDATED BALANCE SHEETS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(Unaudited)</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8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June 30, 2021</w:t>
            </w:r>
          </w:p>
        </w:tc>
        <w:tc>
          <w:tcPr>
            <w:tcW w:w="140" w:type="dxa"/>
            <w:vAlign w:val="bottom"/>
          </w:tcPr>
          <w:p>
            <w:pPr>
              <w:spacing w:after="0"/>
              <w:rPr>
                <w:sz w:val="13"/>
                <w:szCs w:val="13"/>
                <w:color w:val="auto"/>
              </w:rPr>
            </w:pPr>
          </w:p>
        </w:tc>
        <w:tc>
          <w:tcPr>
            <w:tcW w:w="1220" w:type="dxa"/>
            <w:vAlign w:val="bottom"/>
          </w:tcPr>
          <w:p>
            <w:pPr>
              <w:jc w:val="right"/>
              <w:ind w:right="113"/>
              <w:spacing w:after="0"/>
              <w:rPr>
                <w:sz w:val="20"/>
                <w:szCs w:val="20"/>
                <w:color w:val="auto"/>
              </w:rPr>
            </w:pPr>
            <w:r>
              <w:rPr>
                <w:rFonts w:ascii="Arial" w:cs="Arial" w:eastAsia="Arial" w:hAnsi="Arial"/>
                <w:sz w:val="12"/>
                <w:szCs w:val="12"/>
                <w:b w:val="1"/>
                <w:bCs w:val="1"/>
                <w:color w:val="auto"/>
                <w:w w:val="94"/>
              </w:rPr>
              <w:t>December 31, 2020</w:t>
            </w:r>
          </w:p>
        </w:tc>
      </w:tr>
      <w:tr>
        <w:trPr>
          <w:trHeight w:val="153"/>
        </w:trPr>
        <w:tc>
          <w:tcPr>
            <w:tcW w:w="8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ASSETS</w:t>
            </w:r>
          </w:p>
        </w:tc>
        <w:tc>
          <w:tcPr>
            <w:tcW w:w="2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r>
      <w:tr>
        <w:trPr>
          <w:trHeight w:val="171"/>
        </w:trPr>
        <w:tc>
          <w:tcPr>
            <w:tcW w:w="838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1"/>
        </w:trPr>
        <w:tc>
          <w:tcPr>
            <w:tcW w:w="8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Cash and cash equivalents</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53,581</w:t>
            </w:r>
          </w:p>
        </w:tc>
      </w:tr>
      <w:tr>
        <w:trPr>
          <w:trHeight w:val="171"/>
        </w:trPr>
        <w:tc>
          <w:tcPr>
            <w:tcW w:w="8380" w:type="dxa"/>
            <w:vAlign w:val="bottom"/>
          </w:tcPr>
          <w:p>
            <w:pPr>
              <w:ind w:left="260"/>
              <w:spacing w:after="0"/>
              <w:rPr>
                <w:sz w:val="20"/>
                <w:szCs w:val="20"/>
                <w:color w:val="auto"/>
              </w:rPr>
            </w:pPr>
            <w:r>
              <w:rPr>
                <w:rFonts w:ascii="Arial" w:cs="Arial" w:eastAsia="Arial" w:hAnsi="Arial"/>
                <w:sz w:val="13"/>
                <w:szCs w:val="13"/>
                <w:color w:val="auto"/>
              </w:rPr>
              <w:t>Short-term investments</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128,508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142,851</w:t>
            </w:r>
          </w:p>
        </w:tc>
      </w:tr>
      <w:tr>
        <w:trPr>
          <w:trHeight w:val="171"/>
        </w:trPr>
        <w:tc>
          <w:tcPr>
            <w:tcW w:w="8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receivable, net of allowance for doubtful accounts of $264 and $263, respectively</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11,894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13,611</w:t>
            </w:r>
          </w:p>
        </w:tc>
      </w:tr>
      <w:tr>
        <w:trPr>
          <w:trHeight w:val="171"/>
        </w:trPr>
        <w:tc>
          <w:tcPr>
            <w:tcW w:w="8380" w:type="dxa"/>
            <w:vAlign w:val="bottom"/>
          </w:tcPr>
          <w:p>
            <w:pPr>
              <w:ind w:left="260"/>
              <w:spacing w:after="0"/>
              <w:rPr>
                <w:sz w:val="20"/>
                <w:szCs w:val="20"/>
                <w:color w:val="auto"/>
              </w:rPr>
            </w:pPr>
            <w:r>
              <w:rPr>
                <w:rFonts w:ascii="Arial" w:cs="Arial" w:eastAsia="Arial" w:hAnsi="Arial"/>
                <w:sz w:val="13"/>
                <w:szCs w:val="13"/>
                <w:color w:val="auto"/>
              </w:rPr>
              <w:t>Inventory</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8,151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5,633</w:t>
            </w:r>
          </w:p>
        </w:tc>
      </w:tr>
      <w:tr>
        <w:trPr>
          <w:trHeight w:val="171"/>
        </w:trPr>
        <w:tc>
          <w:tcPr>
            <w:tcW w:w="8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Prepaid expenses and other current assets</w:t>
            </w:r>
          </w:p>
        </w:tc>
        <w:tc>
          <w:tcPr>
            <w:tcW w:w="2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2,565</w:t>
            </w:r>
          </w:p>
        </w:tc>
      </w:tr>
      <w:tr>
        <w:trPr>
          <w:trHeight w:val="161"/>
        </w:trPr>
        <w:tc>
          <w:tcPr>
            <w:tcW w:w="8380" w:type="dxa"/>
            <w:vAlign w:val="bottom"/>
          </w:tcPr>
          <w:p>
            <w:pPr>
              <w:ind w:left="500"/>
              <w:spacing w:after="0"/>
              <w:rPr>
                <w:sz w:val="20"/>
                <w:szCs w:val="20"/>
                <w:color w:val="auto"/>
              </w:rPr>
            </w:pPr>
            <w:r>
              <w:rPr>
                <w:rFonts w:ascii="Arial" w:cs="Arial" w:eastAsia="Arial" w:hAnsi="Arial"/>
                <w:sz w:val="13"/>
                <w:szCs w:val="13"/>
                <w:color w:val="auto"/>
              </w:rPr>
              <w:t>Total current assets</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199,112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218,241</w:t>
            </w:r>
          </w:p>
        </w:tc>
      </w:tr>
      <w:tr>
        <w:trPr>
          <w:trHeight w:val="171"/>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equipment, net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7,868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4,527</w:t>
            </w:r>
          </w:p>
        </w:tc>
      </w:tr>
      <w:tr>
        <w:trPr>
          <w:trHeight w:val="171"/>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non-current assets</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w:t>
            </w:r>
          </w:p>
        </w:tc>
      </w:tr>
      <w:tr>
        <w:trPr>
          <w:trHeight w:val="186"/>
        </w:trPr>
        <w:tc>
          <w:tcPr>
            <w:tcW w:w="8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3"/>
                <w:szCs w:val="13"/>
                <w:color w:val="auto"/>
              </w:rPr>
              <w:t>TOTAL ASSETS</w:t>
            </w: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207,332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223,142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31"/>
        </w:trPr>
        <w:tc>
          <w:tcPr>
            <w:tcW w:w="8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71"/>
        </w:trPr>
        <w:tc>
          <w:tcPr>
            <w:tcW w:w="8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LIABILITIES AND STOCKHOLDERS’ EQUITY</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1"/>
        </w:trPr>
        <w:tc>
          <w:tcPr>
            <w:tcW w:w="8380" w:type="dxa"/>
            <w:vAlign w:val="bottom"/>
          </w:tcPr>
          <w:p>
            <w:pPr>
              <w:ind w:left="40"/>
              <w:spacing w:after="0"/>
              <w:rPr>
                <w:sz w:val="20"/>
                <w:szCs w:val="20"/>
                <w:color w:val="auto"/>
              </w:rPr>
            </w:pPr>
            <w:r>
              <w:rPr>
                <w:rFonts w:ascii="Arial" w:cs="Arial" w:eastAsia="Arial" w:hAnsi="Arial"/>
                <w:sz w:val="13"/>
                <w:szCs w:val="13"/>
                <w:color w:val="auto"/>
              </w:rPr>
              <w:t>Current liabilities: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1"/>
        </w:trPr>
        <w:tc>
          <w:tcPr>
            <w:tcW w:w="8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payable</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3,271</w:t>
            </w:r>
          </w:p>
        </w:tc>
      </w:tr>
      <w:tr>
        <w:trPr>
          <w:trHeight w:val="171"/>
        </w:trPr>
        <w:tc>
          <w:tcPr>
            <w:tcW w:w="838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Accrued liabilities and other</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8,706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10,199</w:t>
            </w:r>
          </w:p>
        </w:tc>
      </w:tr>
      <w:tr>
        <w:trPr>
          <w:trHeight w:val="161"/>
        </w:trPr>
        <w:tc>
          <w:tcPr>
            <w:tcW w:w="83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Total current liabilities</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12,624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13,470</w:t>
            </w:r>
          </w:p>
        </w:tc>
      </w:tr>
      <w:tr>
        <w:trPr>
          <w:trHeight w:val="171"/>
        </w:trPr>
        <w:tc>
          <w:tcPr>
            <w:tcW w:w="8380" w:type="dxa"/>
            <w:vAlign w:val="bottom"/>
          </w:tcPr>
          <w:p>
            <w:pPr>
              <w:ind w:left="20"/>
              <w:spacing w:after="0"/>
              <w:rPr>
                <w:sz w:val="20"/>
                <w:szCs w:val="20"/>
                <w:color w:val="auto"/>
              </w:rPr>
            </w:pPr>
            <w:r>
              <w:rPr>
                <w:rFonts w:ascii="Arial" w:cs="Arial" w:eastAsia="Arial" w:hAnsi="Arial"/>
                <w:sz w:val="13"/>
                <w:szCs w:val="13"/>
                <w:color w:val="auto"/>
              </w:rPr>
              <w:t>Long-term borrowings</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39,630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39,455</w:t>
            </w:r>
          </w:p>
        </w:tc>
      </w:tr>
      <w:tr>
        <w:trPr>
          <w:trHeight w:val="171"/>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long-term liabilities</w:t>
            </w:r>
          </w:p>
        </w:tc>
        <w:tc>
          <w:tcPr>
            <w:tcW w:w="2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854</w:t>
            </w:r>
          </w:p>
        </w:tc>
      </w:tr>
      <w:tr>
        <w:trPr>
          <w:trHeight w:val="161"/>
        </w:trPr>
        <w:tc>
          <w:tcPr>
            <w:tcW w:w="838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TOTAL LIABILITIES</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53,134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53,779</w:t>
            </w:r>
          </w:p>
        </w:tc>
      </w:tr>
      <w:tr>
        <w:trPr>
          <w:trHeight w:val="171"/>
        </w:trPr>
        <w:tc>
          <w:tcPr>
            <w:tcW w:w="8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1"/>
        </w:trPr>
        <w:tc>
          <w:tcPr>
            <w:tcW w:w="8380" w:type="dxa"/>
            <w:vAlign w:val="bottom"/>
          </w:tcPr>
          <w:p>
            <w:pPr>
              <w:ind w:left="40"/>
              <w:spacing w:after="0"/>
              <w:rPr>
                <w:sz w:val="20"/>
                <w:szCs w:val="20"/>
                <w:color w:val="auto"/>
              </w:rPr>
            </w:pPr>
            <w:r>
              <w:rPr>
                <w:rFonts w:ascii="Arial" w:cs="Arial" w:eastAsia="Arial" w:hAnsi="Arial"/>
                <w:sz w:val="13"/>
                <w:szCs w:val="13"/>
                <w:color w:val="auto"/>
              </w:rPr>
              <w:t>Commitments and contingencies (Note 6)</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1"/>
        </w:trPr>
        <w:tc>
          <w:tcPr>
            <w:tcW w:w="8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1"/>
        </w:trPr>
        <w:tc>
          <w:tcPr>
            <w:tcW w:w="8380" w:type="dxa"/>
            <w:vAlign w:val="bottom"/>
          </w:tcPr>
          <w:p>
            <w:pPr>
              <w:ind w:left="40"/>
              <w:spacing w:after="0"/>
              <w:rPr>
                <w:sz w:val="20"/>
                <w:szCs w:val="20"/>
                <w:color w:val="auto"/>
              </w:rPr>
            </w:pPr>
            <w:r>
              <w:rPr>
                <w:rFonts w:ascii="Arial" w:cs="Arial" w:eastAsia="Arial" w:hAnsi="Arial"/>
                <w:sz w:val="13"/>
                <w:szCs w:val="13"/>
                <w:color w:val="auto"/>
              </w:rPr>
              <w:t>STOCKHOLDERS’ EQUITY</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1"/>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Preferred stock, $0.0001 par value; 5,000,000 shares authorized; no shares issued and outstanding</w:t>
            </w: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8380" w:type="dxa"/>
            <w:vAlign w:val="bottom"/>
          </w:tcPr>
          <w:p>
            <w:pPr>
              <w:ind w:left="20"/>
              <w:spacing w:after="0"/>
              <w:rPr>
                <w:sz w:val="20"/>
                <w:szCs w:val="20"/>
                <w:color w:val="auto"/>
              </w:rPr>
            </w:pPr>
            <w:r>
              <w:rPr>
                <w:rFonts w:ascii="Arial" w:cs="Arial" w:eastAsia="Arial" w:hAnsi="Arial"/>
                <w:sz w:val="13"/>
                <w:szCs w:val="13"/>
                <w:color w:val="auto"/>
              </w:rPr>
              <w:t>Common stock, $0.0001 par value; 100,000,000 shares authorized; 33,236,270 and 32,583,220 shares issued and outstanding, respectively</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8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Additional paid-in capital</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419,235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408,113</w:t>
            </w:r>
          </w:p>
        </w:tc>
      </w:tr>
      <w:tr>
        <w:trPr>
          <w:trHeight w:val="171"/>
        </w:trPr>
        <w:tc>
          <w:tcPr>
            <w:tcW w:w="8380" w:type="dxa"/>
            <w:vAlign w:val="bottom"/>
          </w:tcPr>
          <w:p>
            <w:pPr>
              <w:ind w:left="40"/>
              <w:spacing w:after="0"/>
              <w:rPr>
                <w:sz w:val="20"/>
                <w:szCs w:val="20"/>
                <w:color w:val="auto"/>
              </w:rPr>
            </w:pPr>
            <w:r>
              <w:rPr>
                <w:rFonts w:ascii="Arial" w:cs="Arial" w:eastAsia="Arial" w:hAnsi="Arial"/>
                <w:sz w:val="13"/>
                <w:szCs w:val="13"/>
                <w:color w:val="auto"/>
              </w:rPr>
              <w:t>Accumulated other comprehensive income</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524</w:t>
            </w:r>
          </w:p>
        </w:tc>
      </w:tr>
      <w:tr>
        <w:trPr>
          <w:trHeight w:val="171"/>
        </w:trPr>
        <w:tc>
          <w:tcPr>
            <w:tcW w:w="8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Accumulated deficit</w:t>
            </w:r>
          </w:p>
        </w:tc>
        <w:tc>
          <w:tcPr>
            <w:tcW w:w="2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(265,500)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(239,277)</w:t>
            </w:r>
          </w:p>
        </w:tc>
      </w:tr>
      <w:tr>
        <w:trPr>
          <w:trHeight w:val="161"/>
        </w:trPr>
        <w:tc>
          <w:tcPr>
            <w:tcW w:w="838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TOTAL STOCKHOLDERS’ EQUITY</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154,198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169,363</w:t>
            </w:r>
          </w:p>
        </w:tc>
      </w:tr>
      <w:tr>
        <w:trPr>
          <w:trHeight w:val="186"/>
        </w:trPr>
        <w:tc>
          <w:tcPr>
            <w:tcW w:w="8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3"/>
                <w:szCs w:val="13"/>
                <w:color w:val="auto"/>
              </w:rPr>
              <w:t>TOTAL LIABILITIES AND STOCKHOLDERS’ EQUITY</w:t>
            </w: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207,332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223,142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167640</wp:posOffset>
            </wp:positionV>
            <wp:extent cx="719264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40"/>
          </w:cols>
          <w:pgMar w:left="300" w:top="610"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3"/>
          <w:szCs w:val="13"/>
          <w:b w:val="1"/>
          <w:bCs w:val="1"/>
          <w:color w:val="auto"/>
        </w:rPr>
        <w:t>SI-BONE,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OPERATIONS AND COMPREHENSIVE LOSS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820" w:type="dxa"/>
            <w:vAlign w:val="bottom"/>
          </w:tcPr>
          <w:p>
            <w:pPr>
              <w:spacing w:after="0"/>
              <w:rPr>
                <w:sz w:val="12"/>
                <w:szCs w:val="12"/>
                <w:color w:val="auto"/>
              </w:rPr>
            </w:pPr>
          </w:p>
        </w:tc>
      </w:tr>
      <w:tr>
        <w:trPr>
          <w:trHeight w:val="159"/>
        </w:trPr>
        <w:tc>
          <w:tcPr>
            <w:tcW w:w="57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2"/>
                <w:szCs w:val="12"/>
                <w:b w:val="1"/>
                <w:bCs w:val="1"/>
                <w:color w:val="auto"/>
              </w:rPr>
              <w:t>June 30,</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2"/>
                <w:szCs w:val="12"/>
                <w:b w:val="1"/>
                <w:bCs w:val="1"/>
                <w:color w:val="auto"/>
              </w:rPr>
              <w:t>June 30,</w:t>
            </w:r>
          </w:p>
        </w:tc>
        <w:tc>
          <w:tcPr>
            <w:tcW w:w="820" w:type="dxa"/>
            <w:vAlign w:val="bottom"/>
            <w:tcBorders>
              <w:bottom w:val="single" w:sz="8" w:color="auto"/>
            </w:tcBorders>
          </w:tcPr>
          <w:p>
            <w:pPr>
              <w:spacing w:after="0"/>
              <w:rPr>
                <w:sz w:val="13"/>
                <w:szCs w:val="13"/>
                <w:color w:val="auto"/>
              </w:rPr>
            </w:pPr>
          </w:p>
        </w:tc>
      </w:tr>
      <w:tr>
        <w:trPr>
          <w:trHeight w:val="151"/>
        </w:trPr>
        <w:tc>
          <w:tcPr>
            <w:tcW w:w="57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4"/>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73"/>
              <w:spacing w:after="0"/>
              <w:rPr>
                <w:sz w:val="20"/>
                <w:szCs w:val="20"/>
                <w:color w:val="auto"/>
              </w:rPr>
            </w:pPr>
            <w:r>
              <w:rPr>
                <w:rFonts w:ascii="Arial" w:cs="Arial" w:eastAsia="Arial" w:hAnsi="Arial"/>
                <w:sz w:val="12"/>
                <w:szCs w:val="12"/>
                <w:b w:val="1"/>
                <w:bCs w:val="1"/>
                <w:color w:val="auto"/>
                <w:w w:val="89"/>
              </w:rPr>
              <w:t>2020</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4"/>
              <w:spacing w:after="0"/>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73"/>
              <w:spacing w:after="0"/>
              <w:rPr>
                <w:sz w:val="20"/>
                <w:szCs w:val="20"/>
                <w:color w:val="auto"/>
              </w:rPr>
            </w:pPr>
            <w:r>
              <w:rPr>
                <w:rFonts w:ascii="Arial" w:cs="Arial" w:eastAsia="Arial" w:hAnsi="Arial"/>
                <w:sz w:val="12"/>
                <w:szCs w:val="12"/>
                <w:b w:val="1"/>
                <w:bCs w:val="1"/>
                <w:color w:val="auto"/>
                <w:w w:val="97"/>
              </w:rPr>
              <w:t>2020</w:t>
            </w:r>
          </w:p>
        </w:tc>
      </w:tr>
      <w:tr>
        <w:trPr>
          <w:trHeight w:val="163"/>
        </w:trPr>
        <w:tc>
          <w:tcPr>
            <w:tcW w:w="5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Revenue</w:t>
            </w: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22,194</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14,049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42,636</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30,870</w:t>
            </w:r>
          </w:p>
        </w:tc>
      </w:tr>
      <w:tr>
        <w:trPr>
          <w:trHeight w:val="171"/>
        </w:trPr>
        <w:tc>
          <w:tcPr>
            <w:tcW w:w="57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Cost of goods sold</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2,375</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2,117</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4,575</w:t>
            </w: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4,049</w:t>
            </w:r>
          </w:p>
        </w:tc>
      </w:tr>
      <w:tr>
        <w:trPr>
          <w:trHeight w:val="161"/>
        </w:trPr>
        <w:tc>
          <w:tcPr>
            <w:tcW w:w="57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Gross profit</w:t>
            </w: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19,819</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11,932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38,061</w:t>
            </w:r>
          </w:p>
        </w:tc>
        <w:tc>
          <w:tcPr>
            <w:tcW w:w="6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26,821</w:t>
            </w:r>
          </w:p>
        </w:tc>
      </w:tr>
      <w:tr>
        <w:trPr>
          <w:trHeight w:val="151"/>
        </w:trPr>
        <w:tc>
          <w:tcPr>
            <w:tcW w:w="5760" w:type="dxa"/>
            <w:vAlign w:val="bottom"/>
          </w:tcPr>
          <w:p>
            <w:pPr>
              <w:ind w:left="40"/>
              <w:spacing w:after="0"/>
              <w:rPr>
                <w:sz w:val="20"/>
                <w:szCs w:val="20"/>
                <w:color w:val="auto"/>
              </w:rPr>
            </w:pPr>
            <w:r>
              <w:rPr>
                <w:rFonts w:ascii="Arial" w:cs="Arial" w:eastAsia="Arial" w:hAnsi="Arial"/>
                <w:sz w:val="13"/>
                <w:szCs w:val="13"/>
                <w:color w:val="auto"/>
              </w:rPr>
              <w:t>Operating expenses:</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1"/>
        </w:trPr>
        <w:tc>
          <w:tcPr>
            <w:tcW w:w="57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Sales and marketing</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23,084</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44,006</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35,036</w:t>
            </w:r>
          </w:p>
        </w:tc>
      </w:tr>
      <w:tr>
        <w:trPr>
          <w:trHeight w:val="171"/>
        </w:trPr>
        <w:tc>
          <w:tcPr>
            <w:tcW w:w="5760" w:type="dxa"/>
            <w:vAlign w:val="bottom"/>
          </w:tcPr>
          <w:p>
            <w:pPr>
              <w:ind w:left="340"/>
              <w:spacing w:after="0"/>
              <w:rPr>
                <w:sz w:val="20"/>
                <w:szCs w:val="20"/>
                <w:color w:val="auto"/>
              </w:rPr>
            </w:pPr>
            <w:r>
              <w:rPr>
                <w:rFonts w:ascii="Arial" w:cs="Arial" w:eastAsia="Arial" w:hAnsi="Arial"/>
                <w:sz w:val="13"/>
                <w:szCs w:val="13"/>
                <w:color w:val="auto"/>
              </w:rPr>
              <w:t>Research and development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3,149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2,165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6,104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4,255</w:t>
            </w:r>
          </w:p>
        </w:tc>
      </w:tr>
      <w:tr>
        <w:trPr>
          <w:trHeight w:val="171"/>
        </w:trPr>
        <w:tc>
          <w:tcPr>
            <w:tcW w:w="57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General and administrative</w:t>
            </w: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6,551</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4,151</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12,491</w:t>
            </w:r>
          </w:p>
        </w:tc>
        <w:tc>
          <w:tcPr>
            <w:tcW w:w="6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9,551</w:t>
            </w:r>
          </w:p>
        </w:tc>
      </w:tr>
      <w:tr>
        <w:trPr>
          <w:trHeight w:val="161"/>
        </w:trPr>
        <w:tc>
          <w:tcPr>
            <w:tcW w:w="57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Total operating expenses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32,784</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22,071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62,601</w:t>
            </w: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48,842</w:t>
            </w:r>
          </w:p>
        </w:tc>
      </w:tr>
      <w:tr>
        <w:trPr>
          <w:trHeight w:val="161"/>
        </w:trPr>
        <w:tc>
          <w:tcPr>
            <w:tcW w:w="5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Loss from operations</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(12,965)</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(24,540)</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(22,021)</w:t>
            </w:r>
          </w:p>
        </w:tc>
      </w:tr>
      <w:tr>
        <w:trPr>
          <w:trHeight w:val="171"/>
        </w:trPr>
        <w:tc>
          <w:tcPr>
            <w:tcW w:w="5760" w:type="dxa"/>
            <w:vAlign w:val="bottom"/>
          </w:tcPr>
          <w:p>
            <w:pPr>
              <w:ind w:left="40"/>
              <w:spacing w:after="0"/>
              <w:rPr>
                <w:sz w:val="20"/>
                <w:szCs w:val="20"/>
                <w:color w:val="auto"/>
              </w:rPr>
            </w:pPr>
            <w:r>
              <w:rPr>
                <w:rFonts w:ascii="Arial" w:cs="Arial" w:eastAsia="Arial" w:hAnsi="Arial"/>
                <w:sz w:val="13"/>
                <w:szCs w:val="13"/>
                <w:color w:val="auto"/>
              </w:rPr>
              <w:t>Interest and other income (expense), net:</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57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Interest income</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w:t>
            </w:r>
          </w:p>
        </w:tc>
      </w:tr>
      <w:tr>
        <w:trPr>
          <w:trHeight w:val="171"/>
        </w:trPr>
        <w:tc>
          <w:tcPr>
            <w:tcW w:w="5760" w:type="dxa"/>
            <w:vAlign w:val="bottom"/>
          </w:tcPr>
          <w:p>
            <w:pPr>
              <w:ind w:left="340"/>
              <w:spacing w:after="0"/>
              <w:rPr>
                <w:sz w:val="20"/>
                <w:szCs w:val="20"/>
                <w:color w:val="auto"/>
              </w:rPr>
            </w:pPr>
            <w:r>
              <w:rPr>
                <w:rFonts w:ascii="Arial" w:cs="Arial" w:eastAsia="Arial" w:hAnsi="Arial"/>
                <w:sz w:val="13"/>
                <w:szCs w:val="13"/>
                <w:color w:val="auto"/>
              </w:rPr>
              <w:t>Interest expense</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(1,075)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(2,683)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(2,139)</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(3,914)</w:t>
            </w:r>
          </w:p>
        </w:tc>
      </w:tr>
      <w:tr>
        <w:trPr>
          <w:trHeight w:val="171"/>
        </w:trPr>
        <w:tc>
          <w:tcPr>
            <w:tcW w:w="57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Other income (expense), net</w:t>
            </w: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6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w:t>
            </w:r>
          </w:p>
        </w:tc>
      </w:tr>
      <w:tr>
        <w:trPr>
          <w:trHeight w:val="161"/>
        </w:trPr>
        <w:tc>
          <w:tcPr>
            <w:tcW w:w="5760" w:type="dxa"/>
            <w:vAlign w:val="bottom"/>
          </w:tcPr>
          <w:p>
            <w:pPr>
              <w:ind w:left="40"/>
              <w:spacing w:after="0"/>
              <w:rPr>
                <w:sz w:val="20"/>
                <w:szCs w:val="20"/>
                <w:color w:val="auto"/>
              </w:rPr>
            </w:pPr>
            <w:r>
              <w:rPr>
                <w:rFonts w:ascii="Arial" w:cs="Arial" w:eastAsia="Arial" w:hAnsi="Arial"/>
                <w:sz w:val="13"/>
                <w:szCs w:val="13"/>
                <w:color w:val="auto"/>
              </w:rPr>
              <w:t>Net loss</w:t>
            </w: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(13,981)</w:t>
            </w:r>
          </w:p>
        </w:tc>
        <w:tc>
          <w:tcPr>
            <w:tcW w:w="80" w:type="dxa"/>
            <w:vAlign w:val="bottom"/>
          </w:tcPr>
          <w:p>
            <w:pPr>
              <w:spacing w:after="0"/>
              <w:rPr>
                <w:sz w:val="14"/>
                <w:szCs w:val="14"/>
                <w:color w:val="auto"/>
              </w:rPr>
            </w:pPr>
          </w:p>
        </w:tc>
        <w:tc>
          <w:tcPr>
            <w:tcW w:w="52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(12,472)</w:t>
            </w:r>
          </w:p>
        </w:tc>
        <w:tc>
          <w:tcPr>
            <w:tcW w:w="80" w:type="dxa"/>
            <w:vAlign w:val="bottom"/>
          </w:tcPr>
          <w:p>
            <w:pPr>
              <w:spacing w:after="0"/>
              <w:rPr>
                <w:sz w:val="14"/>
                <w:szCs w:val="14"/>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(26,223)</w:t>
            </w:r>
          </w:p>
        </w:tc>
        <w:tc>
          <w:tcPr>
            <w:tcW w:w="60" w:type="dxa"/>
            <w:vAlign w:val="bottom"/>
          </w:tcPr>
          <w:p>
            <w:pPr>
              <w:spacing w:after="0"/>
              <w:rPr>
                <w:sz w:val="14"/>
                <w:szCs w:val="14"/>
                <w:color w:val="auto"/>
              </w:rPr>
            </w:pPr>
          </w:p>
        </w:tc>
        <w:tc>
          <w:tcPr>
            <w:tcW w:w="500" w:type="dxa"/>
            <w:vAlign w:val="bottom"/>
          </w:tcPr>
          <w:p>
            <w:pPr>
              <w:jc w:val="right"/>
              <w:ind w:right="353"/>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(25,244)</w:t>
            </w:r>
          </w:p>
        </w:tc>
      </w:tr>
      <w:tr>
        <w:trPr>
          <w:trHeight w:val="171"/>
        </w:trPr>
        <w:tc>
          <w:tcPr>
            <w:tcW w:w="5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 (loss):</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5760" w:type="dxa"/>
            <w:vAlign w:val="bottom"/>
          </w:tcPr>
          <w:p>
            <w:pPr>
              <w:ind w:left="380"/>
              <w:spacing w:after="0"/>
              <w:rPr>
                <w:sz w:val="20"/>
                <w:szCs w:val="20"/>
                <w:color w:val="auto"/>
              </w:rPr>
            </w:pPr>
            <w:r>
              <w:rPr>
                <w:rFonts w:ascii="Arial" w:cs="Arial" w:eastAsia="Arial" w:hAnsi="Arial"/>
                <w:sz w:val="13"/>
                <w:szCs w:val="13"/>
                <w:color w:val="auto"/>
              </w:rPr>
              <w:t>Changes in foreign currency translation</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(80)</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1"/>
        </w:trPr>
        <w:tc>
          <w:tcPr>
            <w:tcW w:w="57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Unrealized gain (loss) on marketable securities</w:t>
            </w: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6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w:t>
            </w:r>
          </w:p>
        </w:tc>
      </w:tr>
      <w:tr>
        <w:trPr>
          <w:trHeight w:val="161"/>
        </w:trPr>
        <w:tc>
          <w:tcPr>
            <w:tcW w:w="5760" w:type="dxa"/>
            <w:vAlign w:val="bottom"/>
          </w:tcPr>
          <w:p>
            <w:pPr>
              <w:ind w:left="40"/>
              <w:spacing w:after="0"/>
              <w:rPr>
                <w:sz w:val="20"/>
                <w:szCs w:val="20"/>
                <w:color w:val="auto"/>
              </w:rPr>
            </w:pPr>
            <w:r>
              <w:rPr>
                <w:rFonts w:ascii="Arial" w:cs="Arial" w:eastAsia="Arial" w:hAnsi="Arial"/>
                <w:sz w:val="13"/>
                <w:szCs w:val="13"/>
                <w:color w:val="auto"/>
              </w:rPr>
              <w:t>Comprehensive loss</w:t>
            </w: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(13,951)</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(12,559)</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(26,287)</w:t>
            </w:r>
          </w:p>
        </w:tc>
        <w:tc>
          <w:tcPr>
            <w:tcW w:w="60" w:type="dxa"/>
            <w:vAlign w:val="bottom"/>
          </w:tcPr>
          <w:p>
            <w:pPr>
              <w:spacing w:after="0"/>
              <w:rPr>
                <w:sz w:val="14"/>
                <w:szCs w:val="14"/>
                <w:color w:val="auto"/>
              </w:rPr>
            </w:pPr>
          </w:p>
        </w:tc>
        <w:tc>
          <w:tcPr>
            <w:tcW w:w="50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(25,098)</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2"/>
        </w:trPr>
        <w:tc>
          <w:tcPr>
            <w:tcW w:w="5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5760" w:type="dxa"/>
            <w:vAlign w:val="bottom"/>
          </w:tcPr>
          <w:p>
            <w:pPr>
              <w:ind w:left="40"/>
              <w:spacing w:after="0"/>
              <w:rPr>
                <w:sz w:val="20"/>
                <w:szCs w:val="20"/>
                <w:color w:val="auto"/>
              </w:rPr>
            </w:pPr>
            <w:r>
              <w:rPr>
                <w:rFonts w:ascii="Arial" w:cs="Arial" w:eastAsia="Arial" w:hAnsi="Arial"/>
                <w:sz w:val="13"/>
                <w:szCs w:val="13"/>
                <w:color w:val="auto"/>
              </w:rPr>
              <w:t>Net loss per share, basic and diluted</w:t>
            </w: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(0.42)</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(0.44)</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(0.80)</w:t>
            </w:r>
          </w:p>
        </w:tc>
        <w:tc>
          <w:tcPr>
            <w:tcW w:w="60" w:type="dxa"/>
            <w:vAlign w:val="bottom"/>
          </w:tcPr>
          <w:p>
            <w:pPr>
              <w:spacing w:after="0"/>
              <w:rPr>
                <w:sz w:val="14"/>
                <w:szCs w:val="14"/>
                <w:color w:val="auto"/>
              </w:rPr>
            </w:pPr>
          </w:p>
        </w:tc>
        <w:tc>
          <w:tcPr>
            <w:tcW w:w="50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(0.91)</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2"/>
        </w:trPr>
        <w:tc>
          <w:tcPr>
            <w:tcW w:w="5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5760" w:type="dxa"/>
            <w:vAlign w:val="bottom"/>
          </w:tcPr>
          <w:p>
            <w:pPr>
              <w:ind w:left="40"/>
              <w:spacing w:after="0"/>
              <w:rPr>
                <w:sz w:val="20"/>
                <w:szCs w:val="20"/>
                <w:color w:val="auto"/>
              </w:rPr>
            </w:pPr>
            <w:r>
              <w:rPr>
                <w:rFonts w:ascii="Arial" w:cs="Arial" w:eastAsia="Arial" w:hAnsi="Arial"/>
                <w:sz w:val="13"/>
                <w:szCs w:val="13"/>
                <w:color w:val="auto"/>
                <w:w w:val="99"/>
              </w:rPr>
              <w:t>Weighted-average number of common shares used to compute basic and diluted net loss per share</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32,978,914</w:t>
            </w: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28,492,582</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32,836,040</w:t>
            </w:r>
          </w:p>
        </w:tc>
        <w:tc>
          <w:tcPr>
            <w:tcW w:w="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27,872,505</w:t>
            </w:r>
          </w:p>
        </w:tc>
      </w:tr>
      <w:tr>
        <w:trPr>
          <w:trHeight w:val="20"/>
        </w:trPr>
        <w:tc>
          <w:tcPr>
            <w:tcW w:w="5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10" w:right="319" w:bottom="1440" w:gutter="0" w:footer="0" w:header="0"/>
        </w:sectPr>
      </w:pPr>
    </w:p>
    <w:bookmarkStart w:id="6" w:name="page7"/>
    <w:bookmarkEnd w:id="6"/>
    <w:p>
      <w:pPr>
        <w:ind w:left="5160"/>
        <w:spacing w:after="0"/>
        <w:rPr>
          <w:sz w:val="20"/>
          <w:szCs w:val="20"/>
          <w:color w:val="auto"/>
        </w:rPr>
      </w:pPr>
      <w:r>
        <w:rPr>
          <w:rFonts w:ascii="Arial" w:cs="Arial" w:eastAsia="Arial" w:hAnsi="Arial"/>
          <w:sz w:val="13"/>
          <w:szCs w:val="13"/>
          <w:b w:val="1"/>
          <w:bCs w:val="1"/>
          <w:color w:val="auto"/>
        </w:rPr>
        <w:t>SI-BONE, INC.</w:t>
      </w:r>
    </w:p>
    <w:p>
      <w:pPr>
        <w:spacing w:after="0" w:line="82" w:lineRule="exact"/>
        <w:rPr>
          <w:sz w:val="20"/>
          <w:szCs w:val="20"/>
          <w:color w:val="auto"/>
        </w:rPr>
      </w:pPr>
    </w:p>
    <w:p>
      <w:pPr>
        <w:ind w:left="2740"/>
        <w:spacing w:after="0"/>
        <w:rPr>
          <w:sz w:val="20"/>
          <w:szCs w:val="20"/>
          <w:color w:val="auto"/>
        </w:rPr>
      </w:pPr>
      <w:r>
        <w:rPr>
          <w:rFonts w:ascii="Arial" w:cs="Arial" w:eastAsia="Arial" w:hAnsi="Arial"/>
          <w:sz w:val="13"/>
          <w:szCs w:val="13"/>
          <w:b w:val="1"/>
          <w:bCs w:val="1"/>
          <w:color w:val="auto"/>
        </w:rPr>
        <w:t>CONDENSED CONSOLIDATED STATEMENTS OF CHANGES IN STOCKHOLDERS' EQUITY</w:t>
      </w:r>
    </w:p>
    <w:p>
      <w:pPr>
        <w:spacing w:after="0" w:line="82"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(In thousands, except share amounts)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1660" w:type="dxa"/>
            <w:vAlign w:val="bottom"/>
            <w:gridSpan w:val="3"/>
            <w:vMerge w:val="restart"/>
          </w:tcPr>
          <w:p>
            <w:pPr>
              <w:jc w:val="right"/>
              <w:ind w:right="255"/>
              <w:spacing w:after="0"/>
              <w:rPr>
                <w:sz w:val="20"/>
                <w:szCs w:val="20"/>
                <w:color w:val="auto"/>
              </w:rPr>
            </w:pPr>
            <w:r>
              <w:rPr>
                <w:rFonts w:ascii="Arial" w:cs="Arial" w:eastAsia="Arial" w:hAnsi="Arial"/>
                <w:sz w:val="12"/>
                <w:szCs w:val="12"/>
                <w:b w:val="1"/>
                <w:bCs w:val="1"/>
                <w:color w:val="auto"/>
              </w:rPr>
              <w:t>Common Stock</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34"/>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41"/>
        </w:trPr>
        <w:tc>
          <w:tcPr>
            <w:tcW w:w="5200" w:type="dxa"/>
            <w:vAlign w:val="bottom"/>
          </w:tcPr>
          <w:p>
            <w:pPr>
              <w:spacing w:after="0"/>
              <w:rPr>
                <w:sz w:val="12"/>
                <w:szCs w:val="12"/>
                <w:color w:val="auto"/>
              </w:rPr>
            </w:pPr>
          </w:p>
        </w:tc>
        <w:tc>
          <w:tcPr>
            <w:tcW w:w="166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88"/>
              </w:rPr>
              <w:t>Comprehensive</w:t>
            </w:r>
          </w:p>
        </w:tc>
        <w:tc>
          <w:tcPr>
            <w:tcW w:w="100" w:type="dxa"/>
            <w:vAlign w:val="bottom"/>
          </w:tcPr>
          <w:p>
            <w:pPr>
              <w:spacing w:after="0"/>
              <w:rPr>
                <w:sz w:val="12"/>
                <w:szCs w:val="12"/>
                <w:color w:val="auto"/>
              </w:rPr>
            </w:pPr>
          </w:p>
        </w:tc>
        <w:tc>
          <w:tcPr>
            <w:tcW w:w="860" w:type="dxa"/>
            <w:vAlign w:val="bottom"/>
            <w:gridSpan w:val="2"/>
          </w:tcPr>
          <w:p>
            <w:pPr>
              <w:spacing w:after="0" w:line="121"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2"/>
                <w:szCs w:val="12"/>
                <w:color w:val="auto"/>
              </w:rPr>
            </w:pPr>
          </w:p>
        </w:tc>
        <w:tc>
          <w:tcPr>
            <w:tcW w:w="840" w:type="dxa"/>
            <w:vAlign w:val="bottom"/>
          </w:tcPr>
          <w:p>
            <w:pPr>
              <w:jc w:val="center"/>
              <w:ind w:right="34"/>
              <w:spacing w:after="0" w:line="121" w:lineRule="exact"/>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Income</w:t>
            </w:r>
          </w:p>
        </w:tc>
        <w:tc>
          <w:tcPr>
            <w:tcW w:w="10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Deficit</w:t>
            </w:r>
          </w:p>
        </w:tc>
        <w:tc>
          <w:tcPr>
            <w:tcW w:w="100" w:type="dxa"/>
            <w:vAlign w:val="bottom"/>
          </w:tcPr>
          <w:p>
            <w:pPr>
              <w:spacing w:after="0"/>
              <w:rPr>
                <w:sz w:val="14"/>
                <w:szCs w:val="14"/>
                <w:color w:val="auto"/>
              </w:rPr>
            </w:pPr>
          </w:p>
        </w:tc>
        <w:tc>
          <w:tcPr>
            <w:tcW w:w="840" w:type="dxa"/>
            <w:vAlign w:val="bottom"/>
          </w:tcPr>
          <w:p>
            <w:pPr>
              <w:jc w:val="center"/>
              <w:ind w:right="34"/>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6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32,583,220</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ind w:right="535"/>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408,113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524</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(239,277)</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169,363</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 net of shares withheld</w:t>
            </w:r>
          </w:p>
        </w:tc>
        <w:tc>
          <w:tcPr>
            <w:tcW w:w="900" w:type="dxa"/>
            <w:vAlign w:val="bottom"/>
          </w:tcPr>
          <w:p>
            <w:pPr>
              <w:jc w:val="right"/>
              <w:spacing w:after="0"/>
              <w:rPr>
                <w:sz w:val="20"/>
                <w:szCs w:val="20"/>
                <w:color w:val="auto"/>
              </w:rPr>
            </w:pPr>
            <w:r>
              <w:rPr>
                <w:rFonts w:ascii="Arial" w:cs="Arial" w:eastAsia="Arial" w:hAnsi="Arial"/>
                <w:sz w:val="13"/>
                <w:szCs w:val="13"/>
                <w:color w:val="auto"/>
              </w:rPr>
              <w:t>93,975</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601</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vesting of restricted stock units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131,339</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4,030</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unrealized gain on marketable securities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3"/>
                <w:szCs w:val="13"/>
                <w:color w:val="auto"/>
              </w:rPr>
              <w:t>Net loss</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(12,242)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(12,242)</w:t>
            </w:r>
          </w:p>
        </w:tc>
        <w:tc>
          <w:tcPr>
            <w:tcW w:w="0" w:type="dxa"/>
            <w:vAlign w:val="bottom"/>
          </w:tcPr>
          <w:p>
            <w:pPr>
              <w:spacing w:after="0"/>
              <w:rPr>
                <w:sz w:val="1"/>
                <w:szCs w:val="1"/>
                <w:color w:val="auto"/>
              </w:rPr>
            </w:pPr>
          </w:p>
        </w:tc>
      </w:tr>
      <w:tr>
        <w:trPr>
          <w:trHeight w:val="16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March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32,808,534</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412,753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(251,519)</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161,667</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 net of shares withheld</w:t>
            </w:r>
          </w:p>
        </w:tc>
        <w:tc>
          <w:tcPr>
            <w:tcW w:w="900" w:type="dxa"/>
            <w:vAlign w:val="bottom"/>
          </w:tcPr>
          <w:p>
            <w:pPr>
              <w:jc w:val="right"/>
              <w:spacing w:after="0"/>
              <w:rPr>
                <w:sz w:val="20"/>
                <w:szCs w:val="20"/>
                <w:color w:val="auto"/>
              </w:rPr>
            </w:pPr>
            <w:r>
              <w:rPr>
                <w:rFonts w:ascii="Arial" w:cs="Arial" w:eastAsia="Arial" w:hAnsi="Arial"/>
                <w:sz w:val="13"/>
                <w:szCs w:val="13"/>
                <w:color w:val="auto"/>
              </w:rPr>
              <w:t>140,917</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650</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related to employee stock purchase plan</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104,861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1,566</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3"/>
                <w:szCs w:val="13"/>
                <w:color w:val="auto"/>
              </w:rPr>
              <w:t>Issuance of common stock upon vesting of restricted stock units</w:t>
            </w:r>
          </w:p>
        </w:tc>
        <w:tc>
          <w:tcPr>
            <w:tcW w:w="900" w:type="dxa"/>
            <w:vAlign w:val="bottom"/>
          </w:tcPr>
          <w:p>
            <w:pPr>
              <w:jc w:val="right"/>
              <w:spacing w:after="0"/>
              <w:rPr>
                <w:sz w:val="20"/>
                <w:szCs w:val="20"/>
                <w:color w:val="auto"/>
              </w:rPr>
            </w:pPr>
            <w:r>
              <w:rPr>
                <w:rFonts w:ascii="Arial" w:cs="Arial" w:eastAsia="Arial" w:hAnsi="Arial"/>
                <w:sz w:val="13"/>
                <w:szCs w:val="13"/>
                <w:color w:val="auto"/>
              </w:rPr>
              <w:t>181,958</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4,257</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translation</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3"/>
                <w:szCs w:val="13"/>
                <w:color w:val="auto"/>
              </w:rPr>
              <w:t>Net unrealized loss on marketable securities</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(13,981)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(13,981)</w:t>
            </w:r>
          </w:p>
        </w:tc>
        <w:tc>
          <w:tcPr>
            <w:tcW w:w="0" w:type="dxa"/>
            <w:vAlign w:val="bottom"/>
          </w:tcPr>
          <w:p>
            <w:pPr>
              <w:spacing w:after="0"/>
              <w:rPr>
                <w:sz w:val="1"/>
                <w:szCs w:val="1"/>
                <w:color w:val="auto"/>
              </w:rPr>
            </w:pPr>
          </w:p>
        </w:tc>
      </w:tr>
      <w:tr>
        <w:trPr>
          <w:trHeight w:val="161"/>
        </w:trPr>
        <w:tc>
          <w:tcPr>
            <w:tcW w:w="5200" w:type="dxa"/>
            <w:vAlign w:val="bottom"/>
          </w:tcPr>
          <w:p>
            <w:pPr>
              <w:ind w:left="20"/>
              <w:spacing w:after="0"/>
              <w:rPr>
                <w:sz w:val="20"/>
                <w:szCs w:val="20"/>
                <w:color w:val="auto"/>
              </w:rPr>
            </w:pPr>
            <w:r>
              <w:rPr>
                <w:rFonts w:ascii="Arial" w:cs="Arial" w:eastAsia="Arial" w:hAnsi="Arial"/>
                <w:sz w:val="13"/>
                <w:szCs w:val="13"/>
                <w:b w:val="1"/>
                <w:bCs w:val="1"/>
                <w:color w:val="auto"/>
              </w:rPr>
              <w:t>Balance as of June 30, 2021</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33,236,270</w:t>
            </w:r>
          </w:p>
        </w:tc>
        <w:tc>
          <w:tcPr>
            <w:tcW w:w="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419,235</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460</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(265,500)</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154,198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52705</wp:posOffset>
            </wp:positionV>
            <wp:extent cx="719264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00"/>
          </w:cols>
          <w:pgMar w:left="340" w:top="650"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1"/>
        </w:trPr>
        <w:tc>
          <w:tcPr>
            <w:tcW w:w="5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1660" w:type="dxa"/>
            <w:vAlign w:val="bottom"/>
            <w:gridSpan w:val="3"/>
            <w:vMerge w:val="restart"/>
          </w:tcPr>
          <w:p>
            <w:pPr>
              <w:jc w:val="right"/>
              <w:ind w:right="255"/>
              <w:spacing w:after="0"/>
              <w:rPr>
                <w:sz w:val="20"/>
                <w:szCs w:val="20"/>
                <w:color w:val="auto"/>
              </w:rPr>
            </w:pPr>
            <w:r>
              <w:rPr>
                <w:rFonts w:ascii="Arial" w:cs="Arial" w:eastAsia="Arial" w:hAnsi="Arial"/>
                <w:sz w:val="12"/>
                <w:szCs w:val="12"/>
                <w:b w:val="1"/>
                <w:bCs w:val="1"/>
                <w:color w:val="auto"/>
              </w:rPr>
              <w:t>Common Stock</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34"/>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41"/>
        </w:trPr>
        <w:tc>
          <w:tcPr>
            <w:tcW w:w="5200" w:type="dxa"/>
            <w:vAlign w:val="bottom"/>
          </w:tcPr>
          <w:p>
            <w:pPr>
              <w:spacing w:after="0"/>
              <w:rPr>
                <w:sz w:val="12"/>
                <w:szCs w:val="12"/>
                <w:color w:val="auto"/>
              </w:rPr>
            </w:pPr>
          </w:p>
        </w:tc>
        <w:tc>
          <w:tcPr>
            <w:tcW w:w="166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88"/>
              </w:rPr>
              <w:t>Comprehensive</w:t>
            </w:r>
          </w:p>
        </w:tc>
        <w:tc>
          <w:tcPr>
            <w:tcW w:w="100" w:type="dxa"/>
            <w:vAlign w:val="bottom"/>
          </w:tcPr>
          <w:p>
            <w:pPr>
              <w:spacing w:after="0"/>
              <w:rPr>
                <w:sz w:val="12"/>
                <w:szCs w:val="12"/>
                <w:color w:val="auto"/>
              </w:rPr>
            </w:pPr>
          </w:p>
        </w:tc>
        <w:tc>
          <w:tcPr>
            <w:tcW w:w="860" w:type="dxa"/>
            <w:vAlign w:val="bottom"/>
            <w:gridSpan w:val="2"/>
          </w:tcPr>
          <w:p>
            <w:pPr>
              <w:spacing w:after="0" w:line="121"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2"/>
                <w:szCs w:val="12"/>
                <w:color w:val="auto"/>
              </w:rPr>
            </w:pPr>
          </w:p>
        </w:tc>
        <w:tc>
          <w:tcPr>
            <w:tcW w:w="840" w:type="dxa"/>
            <w:vAlign w:val="bottom"/>
          </w:tcPr>
          <w:p>
            <w:pPr>
              <w:jc w:val="center"/>
              <w:ind w:right="34"/>
              <w:spacing w:after="0" w:line="121" w:lineRule="exact"/>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Income</w:t>
            </w:r>
          </w:p>
        </w:tc>
        <w:tc>
          <w:tcPr>
            <w:tcW w:w="10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Deficit</w:t>
            </w:r>
          </w:p>
        </w:tc>
        <w:tc>
          <w:tcPr>
            <w:tcW w:w="100" w:type="dxa"/>
            <w:vAlign w:val="bottom"/>
          </w:tcPr>
          <w:p>
            <w:pPr>
              <w:spacing w:after="0"/>
              <w:rPr>
                <w:sz w:val="14"/>
                <w:szCs w:val="14"/>
                <w:color w:val="auto"/>
              </w:rPr>
            </w:pPr>
          </w:p>
        </w:tc>
        <w:tc>
          <w:tcPr>
            <w:tcW w:w="840" w:type="dxa"/>
            <w:vAlign w:val="bottom"/>
          </w:tcPr>
          <w:p>
            <w:pPr>
              <w:jc w:val="center"/>
              <w:ind w:right="34"/>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6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25,163,803</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ind w:right="535"/>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258,121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464</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(195,580)</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63,008</w:t>
            </w:r>
          </w:p>
        </w:tc>
        <w:tc>
          <w:tcPr>
            <w:tcW w:w="0" w:type="dxa"/>
            <w:vAlign w:val="bottom"/>
          </w:tcPr>
          <w:p>
            <w:pPr>
              <w:spacing w:after="0"/>
              <w:rPr>
                <w:sz w:val="1"/>
                <w:szCs w:val="1"/>
                <w:color w:val="auto"/>
              </w:rPr>
            </w:pPr>
          </w:p>
        </w:tc>
      </w:tr>
      <w:tr>
        <w:trPr>
          <w:trHeight w:val="131"/>
        </w:trPr>
        <w:tc>
          <w:tcPr>
            <w:tcW w:w="5200" w:type="dxa"/>
            <w:vAlign w:val="bottom"/>
          </w:tcPr>
          <w:p>
            <w:pPr>
              <w:ind w:left="20"/>
              <w:spacing w:after="0" w:line="131" w:lineRule="exact"/>
              <w:rPr>
                <w:sz w:val="20"/>
                <w:szCs w:val="20"/>
                <w:color w:val="auto"/>
              </w:rPr>
            </w:pPr>
            <w:r>
              <w:rPr>
                <w:rFonts w:ascii="Arial" w:cs="Arial" w:eastAsia="Arial" w:hAnsi="Arial"/>
                <w:sz w:val="13"/>
                <w:szCs w:val="13"/>
                <w:color w:val="auto"/>
                <w:w w:val="98"/>
              </w:rPr>
              <w:t>Issuance of common stock from public offering, net of underwriting discounts, commissions</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3,135,053</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62,978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vMerge w:val="restart"/>
          </w:tcPr>
          <w:p>
            <w:pPr>
              <w:ind w:left="6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62,978</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3"/>
                <w:szCs w:val="13"/>
                <w:color w:val="auto"/>
              </w:rPr>
              <w:t>and offering costs</w:t>
            </w: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exercise of stock options, net of shares withheld</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43,334</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3"/>
                <w:szCs w:val="13"/>
                <w:color w:val="auto"/>
              </w:rPr>
              <w:t>Issuance of common stock upon vesting of restricted stock units</w:t>
            </w:r>
          </w:p>
        </w:tc>
        <w:tc>
          <w:tcPr>
            <w:tcW w:w="900" w:type="dxa"/>
            <w:vAlign w:val="bottom"/>
          </w:tcPr>
          <w:p>
            <w:pPr>
              <w:jc w:val="right"/>
              <w:spacing w:after="0"/>
              <w:rPr>
                <w:sz w:val="20"/>
                <w:szCs w:val="20"/>
                <w:color w:val="auto"/>
              </w:rPr>
            </w:pPr>
            <w:r>
              <w:rPr>
                <w:rFonts w:ascii="Arial" w:cs="Arial" w:eastAsia="Arial" w:hAnsi="Arial"/>
                <w:sz w:val="13"/>
                <w:szCs w:val="13"/>
                <w:color w:val="auto"/>
              </w:rPr>
              <w:t>63,938</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2,622</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translation</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3"/>
                <w:szCs w:val="13"/>
                <w:color w:val="auto"/>
              </w:rPr>
              <w:t>Net unrealized gain on marketable securities</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(12,772)</w:t>
            </w:r>
          </w:p>
        </w:tc>
        <w:tc>
          <w:tcPr>
            <w:tcW w:w="0" w:type="dxa"/>
            <w:vAlign w:val="bottom"/>
          </w:tcPr>
          <w:p>
            <w:pPr>
              <w:spacing w:after="0"/>
              <w:rPr>
                <w:sz w:val="1"/>
                <w:szCs w:val="1"/>
                <w:color w:val="auto"/>
              </w:rPr>
            </w:pPr>
          </w:p>
        </w:tc>
      </w:tr>
      <w:tr>
        <w:trPr>
          <w:trHeight w:val="161"/>
        </w:trPr>
        <w:tc>
          <w:tcPr>
            <w:tcW w:w="5200" w:type="dxa"/>
            <w:vAlign w:val="bottom"/>
          </w:tcPr>
          <w:p>
            <w:pPr>
              <w:ind w:left="20"/>
              <w:spacing w:after="0"/>
              <w:rPr>
                <w:sz w:val="20"/>
                <w:szCs w:val="20"/>
                <w:color w:val="auto"/>
              </w:rPr>
            </w:pPr>
            <w:r>
              <w:rPr>
                <w:rFonts w:ascii="Arial" w:cs="Arial" w:eastAsia="Arial" w:hAnsi="Arial"/>
                <w:sz w:val="13"/>
                <w:szCs w:val="13"/>
                <w:b w:val="1"/>
                <w:bCs w:val="1"/>
                <w:color w:val="auto"/>
              </w:rPr>
              <w:t>Balance as of March 31, 2020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28,406,128</w:t>
            </w:r>
          </w:p>
        </w:tc>
        <w:tc>
          <w:tcPr>
            <w:tcW w:w="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323,922</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697</w:t>
            </w: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(208,352)</w:t>
            </w: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116,270</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exercise of stock options, net of shares withheld</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46,608</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3"/>
                <w:szCs w:val="13"/>
                <w:color w:val="auto"/>
              </w:rPr>
              <w:t>Issuance of common stock related to employee stock purchase plan</w:t>
            </w:r>
          </w:p>
        </w:tc>
        <w:tc>
          <w:tcPr>
            <w:tcW w:w="900" w:type="dxa"/>
            <w:vAlign w:val="bottom"/>
          </w:tcPr>
          <w:p>
            <w:pPr>
              <w:jc w:val="right"/>
              <w:spacing w:after="0"/>
              <w:rPr>
                <w:sz w:val="20"/>
                <w:szCs w:val="20"/>
                <w:color w:val="auto"/>
              </w:rPr>
            </w:pPr>
            <w:r>
              <w:rPr>
                <w:rFonts w:ascii="Arial" w:cs="Arial" w:eastAsia="Arial" w:hAnsi="Arial"/>
                <w:sz w:val="13"/>
                <w:szCs w:val="13"/>
                <w:color w:val="auto"/>
              </w:rPr>
              <w:t>74,685</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991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991</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vesting of restricted stock units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85,030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2,955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2,955</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unrealized loss on marketable securities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3"/>
                <w:szCs w:val="13"/>
                <w:color w:val="auto"/>
              </w:rPr>
              <w:t>Net loss</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(12,472)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(12,472)</w:t>
            </w:r>
          </w:p>
        </w:tc>
        <w:tc>
          <w:tcPr>
            <w:tcW w:w="0" w:type="dxa"/>
            <w:vAlign w:val="bottom"/>
          </w:tcPr>
          <w:p>
            <w:pPr>
              <w:spacing w:after="0"/>
              <w:rPr>
                <w:sz w:val="1"/>
                <w:szCs w:val="1"/>
                <w:color w:val="auto"/>
              </w:rPr>
            </w:pPr>
          </w:p>
        </w:tc>
      </w:tr>
      <w:tr>
        <w:trPr>
          <w:trHeight w:val="186"/>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28,612,451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535"/>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328,079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(220,824)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107,868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52705</wp:posOffset>
            </wp:positionV>
            <wp:extent cx="719264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00"/>
          </w:cols>
          <w:pgMar w:left="340" w:top="833" w:right="3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3"/>
          <w:szCs w:val="13"/>
          <w:b w:val="1"/>
          <w:bCs w:val="1"/>
          <w:color w:val="auto"/>
        </w:rPr>
        <w:t>SI-BONE,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thousands)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(Unaudited)</w:t>
      </w:r>
    </w:p>
    <w:p>
      <w:pPr>
        <w:spacing w:after="0" w:line="28" w:lineRule="exact"/>
        <w:rPr>
          <w:sz w:val="20"/>
          <w:szCs w:val="20"/>
          <w:color w:val="auto"/>
        </w:rPr>
      </w:pPr>
    </w:p>
    <w:p>
      <w:pPr>
        <w:jc w:val="center"/>
        <w:ind w:left="8120"/>
        <w:spacing w:after="0"/>
        <w:rPr>
          <w:sz w:val="20"/>
          <w:szCs w:val="20"/>
          <w:color w:val="auto"/>
        </w:rPr>
      </w:pPr>
      <w:r>
        <w:rPr>
          <w:rFonts w:ascii="Arial" w:cs="Arial" w:eastAsia="Arial" w:hAnsi="Arial"/>
          <w:sz w:val="12"/>
          <w:szCs w:val="12"/>
          <w:b w:val="1"/>
          <w:bCs w:val="1"/>
          <w:color w:val="auto"/>
        </w:rPr>
        <w:t>Six Months Ended</w:t>
      </w:r>
    </w:p>
    <w:p>
      <w:pPr>
        <w:jc w:val="center"/>
        <w:ind w:left="8120"/>
        <w:spacing w:after="0"/>
        <w:rPr>
          <w:sz w:val="20"/>
          <w:szCs w:val="20"/>
          <w:color w:val="auto"/>
        </w:rPr>
      </w:pPr>
      <w:r>
        <w:rPr>
          <w:rFonts w:ascii="Arial" w:cs="Arial" w:eastAsia="Arial" w:hAnsi="Arial"/>
          <w:sz w:val="12"/>
          <w:szCs w:val="12"/>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2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2021</w:t>
            </w:r>
          </w:p>
        </w:tc>
        <w:tc>
          <w:tcPr>
            <w:tcW w:w="4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2020</w:t>
            </w:r>
          </w:p>
        </w:tc>
      </w:tr>
      <w:tr>
        <w:trPr>
          <w:trHeight w:val="141"/>
        </w:trPr>
        <w:tc>
          <w:tcPr>
            <w:tcW w:w="81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Cash flows from operating activities</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59"/>
        </w:trPr>
        <w:tc>
          <w:tcPr>
            <w:tcW w:w="8120" w:type="dxa"/>
            <w:vAlign w:val="bottom"/>
          </w:tcPr>
          <w:p>
            <w:pPr>
              <w:ind w:left="40"/>
              <w:spacing w:after="0"/>
              <w:rPr>
                <w:sz w:val="20"/>
                <w:szCs w:val="20"/>
                <w:color w:val="auto"/>
              </w:rPr>
            </w:pPr>
            <w:r>
              <w:rPr>
                <w:rFonts w:ascii="Arial" w:cs="Arial" w:eastAsia="Arial" w:hAnsi="Arial"/>
                <w:sz w:val="12"/>
                <w:szCs w:val="12"/>
                <w:color w:val="auto"/>
              </w:rPr>
              <w:t>Net loss</w:t>
            </w:r>
          </w:p>
        </w:tc>
        <w:tc>
          <w:tcPr>
            <w:tcW w:w="840" w:type="dxa"/>
            <w:vAlign w:val="bottom"/>
          </w:tcPr>
          <w:p>
            <w:pPr>
              <w:jc w:val="right"/>
              <w:ind w:right="727"/>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w w:val="98"/>
              </w:rPr>
              <w:t>(26,223)</w:t>
            </w:r>
          </w:p>
        </w:tc>
        <w:tc>
          <w:tcPr>
            <w:tcW w:w="100" w:type="dxa"/>
            <w:vAlign w:val="bottom"/>
          </w:tcPr>
          <w:p>
            <w:pPr>
              <w:spacing w:after="0"/>
              <w:rPr>
                <w:sz w:val="13"/>
                <w:szCs w:val="13"/>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(25,244)</w:t>
            </w:r>
          </w:p>
        </w:tc>
      </w:tr>
      <w:tr>
        <w:trPr>
          <w:trHeight w:val="163"/>
        </w:trPr>
        <w:tc>
          <w:tcPr>
            <w:tcW w:w="8120" w:type="dxa"/>
            <w:vAlign w:val="bottom"/>
            <w:shd w:val="clear" w:color="auto" w:fill="CCEEFF"/>
          </w:tcPr>
          <w:p>
            <w:pPr>
              <w:ind w:left="4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59"/>
        </w:trPr>
        <w:tc>
          <w:tcPr>
            <w:tcW w:w="8120" w:type="dxa"/>
            <w:vAlign w:val="bottom"/>
          </w:tcPr>
          <w:p>
            <w:pPr>
              <w:ind w:left="240"/>
              <w:spacing w:after="0"/>
              <w:rPr>
                <w:sz w:val="20"/>
                <w:szCs w:val="20"/>
                <w:color w:val="auto"/>
              </w:rPr>
            </w:pPr>
            <w:r>
              <w:rPr>
                <w:rFonts w:ascii="Arial" w:cs="Arial" w:eastAsia="Arial" w:hAnsi="Arial"/>
                <w:sz w:val="12"/>
                <w:szCs w:val="12"/>
                <w:color w:val="auto"/>
              </w:rPr>
              <w:t>Stock-based compensation</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8,287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5,577</w:t>
            </w:r>
          </w:p>
        </w:tc>
      </w:tr>
      <w:tr>
        <w:trPr>
          <w:trHeight w:val="163"/>
        </w:trPr>
        <w:tc>
          <w:tcPr>
            <w:tcW w:w="8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Depreciation and amortization</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w:t>
            </w:r>
          </w:p>
        </w:tc>
      </w:tr>
      <w:tr>
        <w:trPr>
          <w:trHeight w:val="159"/>
        </w:trPr>
        <w:tc>
          <w:tcPr>
            <w:tcW w:w="8120" w:type="dxa"/>
            <w:vAlign w:val="bottom"/>
          </w:tcPr>
          <w:p>
            <w:pPr>
              <w:ind w:left="240"/>
              <w:spacing w:after="0"/>
              <w:rPr>
                <w:sz w:val="20"/>
                <w:szCs w:val="20"/>
                <w:color w:val="auto"/>
              </w:rPr>
            </w:pPr>
            <w:r>
              <w:rPr>
                <w:rFonts w:ascii="Arial" w:cs="Arial" w:eastAsia="Arial" w:hAnsi="Arial"/>
                <w:sz w:val="12"/>
                <w:szCs w:val="12"/>
                <w:color w:val="auto"/>
              </w:rPr>
              <w:t>Bad debt expense</w:t>
            </w:r>
          </w:p>
        </w:tc>
        <w:tc>
          <w:tcPr>
            <w:tcW w:w="84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200</w:t>
            </w:r>
          </w:p>
        </w:tc>
      </w:tr>
      <w:tr>
        <w:trPr>
          <w:trHeight w:val="163"/>
        </w:trPr>
        <w:tc>
          <w:tcPr>
            <w:tcW w:w="8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Accretion (amortization) of discount on marketable securities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r>
      <w:tr>
        <w:trPr>
          <w:trHeight w:val="159"/>
        </w:trPr>
        <w:tc>
          <w:tcPr>
            <w:tcW w:w="8120" w:type="dxa"/>
            <w:vAlign w:val="bottom"/>
          </w:tcPr>
          <w:p>
            <w:pPr>
              <w:ind w:left="240"/>
              <w:spacing w:after="0"/>
              <w:rPr>
                <w:sz w:val="20"/>
                <w:szCs w:val="20"/>
                <w:color w:val="auto"/>
              </w:rPr>
            </w:pPr>
            <w:r>
              <w:rPr>
                <w:rFonts w:ascii="Arial" w:cs="Arial" w:eastAsia="Arial" w:hAnsi="Arial"/>
                <w:sz w:val="12"/>
                <w:szCs w:val="12"/>
                <w:color w:val="auto"/>
              </w:rPr>
              <w:t>Realized gain on marketable securities</w:t>
            </w:r>
          </w:p>
        </w:tc>
        <w:tc>
          <w:tcPr>
            <w:tcW w:w="84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163"/>
        </w:trPr>
        <w:tc>
          <w:tcPr>
            <w:tcW w:w="8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Amortization of debt issuance costs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r>
      <w:tr>
        <w:trPr>
          <w:trHeight w:val="159"/>
        </w:trPr>
        <w:tc>
          <w:tcPr>
            <w:tcW w:w="8120" w:type="dxa"/>
            <w:vAlign w:val="bottom"/>
          </w:tcPr>
          <w:p>
            <w:pPr>
              <w:ind w:left="240"/>
              <w:spacing w:after="0"/>
              <w:rPr>
                <w:sz w:val="20"/>
                <w:szCs w:val="20"/>
                <w:color w:val="auto"/>
              </w:rPr>
            </w:pPr>
            <w:r>
              <w:rPr>
                <w:rFonts w:ascii="Arial" w:cs="Arial" w:eastAsia="Arial" w:hAnsi="Arial"/>
                <w:sz w:val="12"/>
                <w:szCs w:val="12"/>
                <w:color w:val="auto"/>
              </w:rPr>
              <w:t>Loss on extinguishment of debt</w:t>
            </w:r>
          </w:p>
        </w:tc>
        <w:tc>
          <w:tcPr>
            <w:tcW w:w="84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1,534</w:t>
            </w:r>
          </w:p>
        </w:tc>
      </w:tr>
      <w:tr>
        <w:trPr>
          <w:trHeight w:val="163"/>
        </w:trPr>
        <w:tc>
          <w:tcPr>
            <w:tcW w:w="8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Loss on sale and disposal of property and equipment</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r>
      <w:tr>
        <w:trPr>
          <w:trHeight w:val="159"/>
        </w:trPr>
        <w:tc>
          <w:tcPr>
            <w:tcW w:w="8120" w:type="dxa"/>
            <w:vAlign w:val="bottom"/>
          </w:tcPr>
          <w:p>
            <w:pPr>
              <w:ind w:left="40"/>
              <w:spacing w:after="0"/>
              <w:rPr>
                <w:sz w:val="20"/>
                <w:szCs w:val="20"/>
                <w:color w:val="auto"/>
              </w:rPr>
            </w:pPr>
            <w:r>
              <w:rPr>
                <w:rFonts w:ascii="Arial" w:cs="Arial" w:eastAsia="Arial" w:hAnsi="Arial"/>
                <w:sz w:val="12"/>
                <w:szCs w:val="12"/>
                <w:color w:val="auto"/>
              </w:rPr>
              <w:t>Changes in operating assets and liabilities:</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3"/>
        </w:trPr>
        <w:tc>
          <w:tcPr>
            <w:tcW w:w="8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receivable</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1,287</w:t>
            </w:r>
          </w:p>
        </w:tc>
      </w:tr>
      <w:tr>
        <w:trPr>
          <w:trHeight w:val="159"/>
        </w:trPr>
        <w:tc>
          <w:tcPr>
            <w:tcW w:w="8120" w:type="dxa"/>
            <w:vAlign w:val="bottom"/>
          </w:tcPr>
          <w:p>
            <w:pPr>
              <w:ind w:left="240"/>
              <w:spacing w:after="0"/>
              <w:rPr>
                <w:sz w:val="20"/>
                <w:szCs w:val="20"/>
                <w:color w:val="auto"/>
              </w:rPr>
            </w:pPr>
            <w:r>
              <w:rPr>
                <w:rFonts w:ascii="Arial" w:cs="Arial" w:eastAsia="Arial" w:hAnsi="Arial"/>
                <w:sz w:val="12"/>
                <w:szCs w:val="12"/>
                <w:color w:val="auto"/>
              </w:rPr>
              <w:t>Inventory</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(2,482)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500</w:t>
            </w:r>
          </w:p>
        </w:tc>
      </w:tr>
      <w:tr>
        <w:trPr>
          <w:trHeight w:val="163"/>
        </w:trPr>
        <w:tc>
          <w:tcPr>
            <w:tcW w:w="8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Prepaid expenses and other assets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875</w:t>
            </w:r>
          </w:p>
        </w:tc>
      </w:tr>
      <w:tr>
        <w:trPr>
          <w:trHeight w:val="159"/>
        </w:trPr>
        <w:tc>
          <w:tcPr>
            <w:tcW w:w="812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554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(290)</w:t>
            </w:r>
          </w:p>
        </w:tc>
      </w:tr>
      <w:tr>
        <w:trPr>
          <w:trHeight w:val="163"/>
        </w:trPr>
        <w:tc>
          <w:tcPr>
            <w:tcW w:w="8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liabilities and other</w:t>
            </w: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(2,289)</w:t>
            </w:r>
          </w:p>
        </w:tc>
      </w:tr>
      <w:tr>
        <w:trPr>
          <w:trHeight w:val="149"/>
        </w:trPr>
        <w:tc>
          <w:tcPr>
            <w:tcW w:w="8120" w:type="dxa"/>
            <w:vAlign w:val="bottom"/>
            <w:tcBorders>
              <w:bottom w:val="single" w:sz="8" w:color="CCEEFF"/>
            </w:tcBorders>
          </w:tcPr>
          <w:p>
            <w:pPr>
              <w:ind w:left="480"/>
              <w:spacing w:after="0" w:line="137" w:lineRule="exact"/>
              <w:rPr>
                <w:sz w:val="20"/>
                <w:szCs w:val="20"/>
                <w:color w:val="auto"/>
              </w:rPr>
            </w:pPr>
            <w:r>
              <w:rPr>
                <w:rFonts w:ascii="Arial" w:cs="Arial" w:eastAsia="Arial" w:hAnsi="Arial"/>
                <w:sz w:val="12"/>
                <w:szCs w:val="12"/>
                <w:color w:val="auto"/>
              </w:rPr>
              <w:t>Net cash used in operating activities</w:t>
            </w: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(17,510)</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(17,228)</w:t>
            </w:r>
          </w:p>
        </w:tc>
      </w:tr>
      <w:tr>
        <w:trPr>
          <w:trHeight w:val="143"/>
        </w:trPr>
        <w:tc>
          <w:tcPr>
            <w:tcW w:w="81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Cash flows from investing activities</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59"/>
        </w:trPr>
        <w:tc>
          <w:tcPr>
            <w:tcW w:w="8120" w:type="dxa"/>
            <w:vAlign w:val="bottom"/>
          </w:tcPr>
          <w:p>
            <w:pPr>
              <w:ind w:left="80"/>
              <w:spacing w:after="0"/>
              <w:rPr>
                <w:sz w:val="20"/>
                <w:szCs w:val="20"/>
                <w:color w:val="auto"/>
              </w:rPr>
            </w:pPr>
            <w:r>
              <w:rPr>
                <w:rFonts w:ascii="Arial" w:cs="Arial" w:eastAsia="Arial" w:hAnsi="Arial"/>
                <w:sz w:val="12"/>
                <w:szCs w:val="12"/>
                <w:color w:val="auto"/>
              </w:rPr>
              <w:t>Maturities of marketable securities</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56,977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33,500</w:t>
            </w:r>
          </w:p>
        </w:tc>
      </w:tr>
      <w:tr>
        <w:trPr>
          <w:trHeight w:val="163"/>
        </w:trPr>
        <w:tc>
          <w:tcPr>
            <w:tcW w:w="8120" w:type="dxa"/>
            <w:vAlign w:val="bottom"/>
            <w:shd w:val="clear" w:color="auto" w:fill="CCEEFF"/>
          </w:tcPr>
          <w:p>
            <w:pPr>
              <w:ind w:left="80"/>
              <w:spacing w:after="0"/>
              <w:rPr>
                <w:sz w:val="20"/>
                <w:szCs w:val="20"/>
                <w:color w:val="auto"/>
              </w:rPr>
            </w:pPr>
            <w:r>
              <w:rPr>
                <w:rFonts w:ascii="Arial" w:cs="Arial" w:eastAsia="Arial" w:hAnsi="Arial"/>
                <w:sz w:val="12"/>
                <w:szCs w:val="12"/>
                <w:color w:val="auto"/>
              </w:rPr>
              <w:t>Sales of marketable securities</w:t>
            </w:r>
          </w:p>
        </w:tc>
        <w:tc>
          <w:tcPr>
            <w:tcW w:w="8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12,592</w:t>
            </w:r>
          </w:p>
        </w:tc>
      </w:tr>
      <w:tr>
        <w:trPr>
          <w:trHeight w:val="159"/>
        </w:trPr>
        <w:tc>
          <w:tcPr>
            <w:tcW w:w="8120" w:type="dxa"/>
            <w:vAlign w:val="bottom"/>
          </w:tcPr>
          <w:p>
            <w:pPr>
              <w:ind w:left="80"/>
              <w:spacing w:after="0"/>
              <w:rPr>
                <w:sz w:val="20"/>
                <w:szCs w:val="20"/>
                <w:color w:val="auto"/>
              </w:rPr>
            </w:pPr>
            <w:r>
              <w:rPr>
                <w:rFonts w:ascii="Arial" w:cs="Arial" w:eastAsia="Arial" w:hAnsi="Arial"/>
                <w:sz w:val="12"/>
                <w:szCs w:val="12"/>
                <w:color w:val="auto"/>
              </w:rPr>
              <w:t>Purchases of marketable securities</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8"/>
              </w:rPr>
              <w:t>(43,337)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(34,768)</w:t>
            </w:r>
          </w:p>
        </w:tc>
      </w:tr>
      <w:tr>
        <w:trPr>
          <w:trHeight w:val="163"/>
        </w:trPr>
        <w:tc>
          <w:tcPr>
            <w:tcW w:w="81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Purchases of property and equipment</w:t>
            </w: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(4,191)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(1,264)</w:t>
            </w:r>
          </w:p>
        </w:tc>
      </w:tr>
      <w:tr>
        <w:trPr>
          <w:trHeight w:val="149"/>
        </w:trPr>
        <w:tc>
          <w:tcPr>
            <w:tcW w:w="8120" w:type="dxa"/>
            <w:vAlign w:val="bottom"/>
            <w:tcBorders>
              <w:bottom w:val="single" w:sz="8" w:color="CCEEFF"/>
            </w:tcBorders>
          </w:tcPr>
          <w:p>
            <w:pPr>
              <w:ind w:left="480"/>
              <w:spacing w:after="0" w:line="137" w:lineRule="exact"/>
              <w:rPr>
                <w:sz w:val="20"/>
                <w:szCs w:val="20"/>
                <w:color w:val="auto"/>
              </w:rPr>
            </w:pPr>
            <w:r>
              <w:rPr>
                <w:rFonts w:ascii="Arial" w:cs="Arial" w:eastAsia="Arial" w:hAnsi="Arial"/>
                <w:sz w:val="12"/>
                <w:szCs w:val="12"/>
                <w:color w:val="auto"/>
              </w:rPr>
              <w:t>Net cash provided by investing activities</w:t>
            </w: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9,449</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10,060</w:t>
            </w:r>
          </w:p>
        </w:tc>
      </w:tr>
      <w:tr>
        <w:trPr>
          <w:trHeight w:val="143"/>
        </w:trPr>
        <w:tc>
          <w:tcPr>
            <w:tcW w:w="81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Cash flows from financing activities</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59"/>
        </w:trPr>
        <w:tc>
          <w:tcPr>
            <w:tcW w:w="8120" w:type="dxa"/>
            <w:vAlign w:val="bottom"/>
          </w:tcPr>
          <w:p>
            <w:pPr>
              <w:ind w:left="80"/>
              <w:spacing w:after="0"/>
              <w:rPr>
                <w:sz w:val="20"/>
                <w:szCs w:val="20"/>
                <w:color w:val="auto"/>
              </w:rPr>
            </w:pPr>
            <w:r>
              <w:rPr>
                <w:rFonts w:ascii="Arial" w:cs="Arial" w:eastAsia="Arial" w:hAnsi="Arial"/>
                <w:sz w:val="12"/>
                <w:szCs w:val="12"/>
                <w:color w:val="auto"/>
              </w:rPr>
              <w:t>Proceeds from follow-on public offering, net of underwriting discounts, commissions and offering costs</w:t>
            </w:r>
          </w:p>
        </w:tc>
        <w:tc>
          <w:tcPr>
            <w:tcW w:w="84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62,978</w:t>
            </w:r>
          </w:p>
        </w:tc>
      </w:tr>
      <w:tr>
        <w:trPr>
          <w:trHeight w:val="163"/>
        </w:trPr>
        <w:tc>
          <w:tcPr>
            <w:tcW w:w="81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Proceeds from debt financing</w:t>
            </w:r>
          </w:p>
        </w:tc>
        <w:tc>
          <w:tcPr>
            <w:tcW w:w="8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45,297</w:t>
            </w:r>
          </w:p>
        </w:tc>
      </w:tr>
      <w:tr>
        <w:trPr>
          <w:trHeight w:val="159"/>
        </w:trPr>
        <w:tc>
          <w:tcPr>
            <w:tcW w:w="8120" w:type="dxa"/>
            <w:vAlign w:val="bottom"/>
          </w:tcPr>
          <w:p>
            <w:pPr>
              <w:ind w:left="80"/>
              <w:spacing w:after="0"/>
              <w:rPr>
                <w:sz w:val="20"/>
                <w:szCs w:val="20"/>
                <w:color w:val="auto"/>
              </w:rPr>
            </w:pPr>
            <w:r>
              <w:rPr>
                <w:rFonts w:ascii="Arial" w:cs="Arial" w:eastAsia="Arial" w:hAnsi="Arial"/>
                <w:sz w:val="12"/>
                <w:szCs w:val="12"/>
                <w:color w:val="auto"/>
              </w:rPr>
              <w:t>Principal repayments of debt financing</w:t>
            </w:r>
          </w:p>
        </w:tc>
        <w:tc>
          <w:tcPr>
            <w:tcW w:w="84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(45,297)</w:t>
            </w:r>
          </w:p>
        </w:tc>
      </w:tr>
      <w:tr>
        <w:trPr>
          <w:trHeight w:val="163"/>
        </w:trPr>
        <w:tc>
          <w:tcPr>
            <w:tcW w:w="81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Payments of debt issuance costs</w:t>
            </w:r>
          </w:p>
        </w:tc>
        <w:tc>
          <w:tcPr>
            <w:tcW w:w="8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(589)</w:t>
            </w:r>
          </w:p>
        </w:tc>
      </w:tr>
      <w:tr>
        <w:trPr>
          <w:trHeight w:val="159"/>
        </w:trPr>
        <w:tc>
          <w:tcPr>
            <w:tcW w:w="8120" w:type="dxa"/>
            <w:vAlign w:val="bottom"/>
          </w:tcPr>
          <w:p>
            <w:pPr>
              <w:ind w:left="80"/>
              <w:spacing w:after="0"/>
              <w:rPr>
                <w:sz w:val="20"/>
                <w:szCs w:val="20"/>
                <w:color w:val="auto"/>
              </w:rPr>
            </w:pPr>
            <w:r>
              <w:rPr>
                <w:rFonts w:ascii="Arial" w:cs="Arial" w:eastAsia="Arial" w:hAnsi="Arial"/>
                <w:sz w:val="12"/>
                <w:szCs w:val="12"/>
                <w:color w:val="auto"/>
              </w:rPr>
              <w:t>Payments of prepayment penalty and lender fees</w:t>
            </w:r>
          </w:p>
        </w:tc>
        <w:tc>
          <w:tcPr>
            <w:tcW w:w="84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(843)</w:t>
            </w:r>
          </w:p>
        </w:tc>
      </w:tr>
      <w:tr>
        <w:trPr>
          <w:trHeight w:val="163"/>
        </w:trPr>
        <w:tc>
          <w:tcPr>
            <w:tcW w:w="81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Proceeds from issuance of common stock under employee stock purchase plan</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991</w:t>
            </w:r>
          </w:p>
        </w:tc>
      </w:tr>
      <w:tr>
        <w:trPr>
          <w:trHeight w:val="159"/>
        </w:trPr>
        <w:tc>
          <w:tcPr>
            <w:tcW w:w="81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Proceeds from the exercise of stock options</w:t>
            </w:r>
          </w:p>
        </w:tc>
        <w:tc>
          <w:tcPr>
            <w:tcW w:w="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359</w:t>
            </w:r>
          </w:p>
        </w:tc>
      </w:tr>
      <w:tr>
        <w:trPr>
          <w:trHeight w:val="153"/>
        </w:trPr>
        <w:tc>
          <w:tcPr>
            <w:tcW w:w="81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Net cash provided by financing activities</w:t>
            </w:r>
          </w:p>
        </w:tc>
        <w:tc>
          <w:tcPr>
            <w:tcW w:w="8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2,817</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62,896</w:t>
            </w:r>
          </w:p>
        </w:tc>
      </w:tr>
      <w:tr>
        <w:trPr>
          <w:trHeight w:val="149"/>
        </w:trPr>
        <w:tc>
          <w:tcPr>
            <w:tcW w:w="8120" w:type="dxa"/>
            <w:vAlign w:val="bottom"/>
            <w:tcBorders>
              <w:bottom w:val="single" w:sz="8" w:color="CCEEFF"/>
            </w:tcBorders>
          </w:tcPr>
          <w:p>
            <w:pPr>
              <w:ind w:left="120"/>
              <w:spacing w:after="0" w:line="137" w:lineRule="exact"/>
              <w:rPr>
                <w:sz w:val="20"/>
                <w:szCs w:val="20"/>
                <w:color w:val="auto"/>
              </w:rPr>
            </w:pPr>
            <w:r>
              <w:rPr>
                <w:rFonts w:ascii="Arial" w:cs="Arial" w:eastAsia="Arial" w:hAnsi="Arial"/>
                <w:sz w:val="12"/>
                <w:szCs w:val="12"/>
                <w:color w:val="auto"/>
              </w:rPr>
              <w:t>Effect of exchange rate changes on cash and cash equivalents</w:t>
            </w: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r>
      <w:tr>
        <w:trPr>
          <w:trHeight w:val="153"/>
        </w:trPr>
        <w:tc>
          <w:tcPr>
            <w:tcW w:w="81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Net (decrease) increase in cash and cash equivalents</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(5,456)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55,734</w:t>
            </w:r>
          </w:p>
        </w:tc>
      </w:tr>
      <w:tr>
        <w:trPr>
          <w:trHeight w:val="159"/>
        </w:trPr>
        <w:tc>
          <w:tcPr>
            <w:tcW w:w="8120" w:type="dxa"/>
            <w:vAlign w:val="bottom"/>
          </w:tcPr>
          <w:p>
            <w:pPr>
              <w:ind w:left="40"/>
              <w:spacing w:after="0"/>
              <w:rPr>
                <w:sz w:val="20"/>
                <w:szCs w:val="20"/>
                <w:color w:val="auto"/>
              </w:rPr>
            </w:pPr>
            <w:r>
              <w:rPr>
                <w:rFonts w:ascii="Arial" w:cs="Arial" w:eastAsia="Arial" w:hAnsi="Arial"/>
                <w:sz w:val="12"/>
                <w:szCs w:val="12"/>
                <w:b w:val="1"/>
                <w:bCs w:val="1"/>
                <w:color w:val="auto"/>
              </w:rPr>
              <w:t>Cash and cash equivalents at</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3"/>
        </w:trPr>
        <w:tc>
          <w:tcPr>
            <w:tcW w:w="8120" w:type="dxa"/>
            <w:vAlign w:val="bottom"/>
            <w:shd w:val="clear" w:color="auto" w:fill="CCEEFF"/>
          </w:tcPr>
          <w:p>
            <w:pPr>
              <w:ind w:left="40"/>
              <w:spacing w:after="0"/>
              <w:rPr>
                <w:sz w:val="20"/>
                <w:szCs w:val="20"/>
                <w:color w:val="auto"/>
              </w:rPr>
            </w:pPr>
            <w:r>
              <w:rPr>
                <w:rFonts w:ascii="Arial" w:cs="Arial" w:eastAsia="Arial" w:hAnsi="Arial"/>
                <w:sz w:val="12"/>
                <w:szCs w:val="12"/>
                <w:color w:val="auto"/>
              </w:rPr>
              <w:t>Beginning of period</w:t>
            </w: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53,581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10,435</w:t>
            </w:r>
          </w:p>
        </w:tc>
      </w:tr>
      <w:tr>
        <w:trPr>
          <w:trHeight w:val="131"/>
        </w:trPr>
        <w:tc>
          <w:tcPr>
            <w:tcW w:w="8120" w:type="dxa"/>
            <w:vAlign w:val="bottom"/>
          </w:tcPr>
          <w:p>
            <w:pPr>
              <w:ind w:left="40"/>
              <w:spacing w:after="0" w:line="131" w:lineRule="exact"/>
              <w:rPr>
                <w:sz w:val="20"/>
                <w:szCs w:val="20"/>
                <w:color w:val="auto"/>
              </w:rPr>
            </w:pPr>
            <w:r>
              <w:rPr>
                <w:rFonts w:ascii="Arial" w:cs="Arial" w:eastAsia="Arial" w:hAnsi="Arial"/>
                <w:sz w:val="12"/>
                <w:szCs w:val="12"/>
                <w:color w:val="auto"/>
              </w:rPr>
              <w:t>End of period</w:t>
            </w:r>
          </w:p>
        </w:tc>
        <w:tc>
          <w:tcPr>
            <w:tcW w:w="840" w:type="dxa"/>
            <w:vAlign w:val="bottom"/>
            <w:tcBorders>
              <w:bottom w:val="single" w:sz="8" w:color="auto"/>
            </w:tcBorders>
          </w:tcPr>
          <w:p>
            <w:pPr>
              <w:jc w:val="right"/>
              <w:ind w:right="727"/>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48,125</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66,169</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1"/>
        </w:trPr>
        <w:tc>
          <w:tcPr>
            <w:tcW w:w="812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b w:val="1"/>
                <w:bCs w:val="1"/>
                <w:color w:val="auto"/>
              </w:rPr>
              <w:t>Supplemental disclosure of non-cash information</w:t>
            </w:r>
          </w:p>
        </w:tc>
        <w:tc>
          <w:tcPr>
            <w:tcW w:w="8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59"/>
        </w:trPr>
        <w:tc>
          <w:tcPr>
            <w:tcW w:w="8120" w:type="dxa"/>
            <w:vAlign w:val="bottom"/>
          </w:tcPr>
          <w:p>
            <w:pPr>
              <w:ind w:left="40"/>
              <w:spacing w:after="0"/>
              <w:rPr>
                <w:sz w:val="20"/>
                <w:szCs w:val="20"/>
                <w:color w:val="auto"/>
              </w:rPr>
            </w:pPr>
            <w:r>
              <w:rPr>
                <w:rFonts w:ascii="Arial" w:cs="Arial" w:eastAsia="Arial" w:hAnsi="Arial"/>
                <w:sz w:val="12"/>
                <w:szCs w:val="12"/>
                <w:color w:val="auto"/>
              </w:rPr>
              <w:t>Vesting of early exercised stock options</w:t>
            </w:r>
          </w:p>
        </w:tc>
        <w:tc>
          <w:tcPr>
            <w:tcW w:w="840" w:type="dxa"/>
            <w:vAlign w:val="bottom"/>
          </w:tcPr>
          <w:p>
            <w:pPr>
              <w:jc w:val="right"/>
              <w:ind w:right="727"/>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53</w:t>
            </w:r>
          </w:p>
        </w:tc>
      </w:tr>
      <w:tr>
        <w:trPr>
          <w:trHeight w:val="163"/>
        </w:trPr>
        <w:tc>
          <w:tcPr>
            <w:tcW w:w="8120" w:type="dxa"/>
            <w:vAlign w:val="bottom"/>
            <w:shd w:val="clear" w:color="auto" w:fill="CCEEFF"/>
          </w:tcPr>
          <w:p>
            <w:pPr>
              <w:ind w:left="40"/>
              <w:spacing w:after="0"/>
              <w:rPr>
                <w:sz w:val="20"/>
                <w:szCs w:val="20"/>
                <w:color w:val="auto"/>
              </w:rPr>
            </w:pPr>
            <w:r>
              <w:rPr>
                <w:rFonts w:ascii="Arial" w:cs="Arial" w:eastAsia="Arial" w:hAnsi="Arial"/>
                <w:sz w:val="12"/>
                <w:szCs w:val="12"/>
                <w:color w:val="auto"/>
              </w:rPr>
              <w:t>Unpaid purchases of property and equipment</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w:t>
            </w:r>
          </w:p>
        </w:tc>
      </w:tr>
      <w:tr>
        <w:trPr>
          <w:trHeight w:val="157"/>
        </w:trPr>
        <w:tc>
          <w:tcPr>
            <w:tcW w:w="8120" w:type="dxa"/>
            <w:vAlign w:val="bottom"/>
          </w:tcPr>
          <w:p>
            <w:pPr>
              <w:ind w:left="40"/>
              <w:spacing w:after="0"/>
              <w:rPr>
                <w:sz w:val="20"/>
                <w:szCs w:val="20"/>
                <w:color w:val="auto"/>
              </w:rPr>
            </w:pPr>
            <w:r>
              <w:rPr>
                <w:rFonts w:ascii="Arial" w:cs="Arial" w:eastAsia="Arial" w:hAnsi="Arial"/>
                <w:sz w:val="12"/>
                <w:szCs w:val="12"/>
                <w:color w:val="auto"/>
              </w:rPr>
              <w:t>Unpaid debt issuance costs</w:t>
            </w:r>
          </w:p>
        </w:tc>
        <w:tc>
          <w:tcPr>
            <w:tcW w:w="84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161</w:t>
            </w:r>
          </w:p>
        </w:tc>
      </w:tr>
    </w:tbl>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167640</wp:posOffset>
            </wp:positionV>
            <wp:extent cx="719264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0860"/>
          </w:cols>
          <w:pgMar w:left="520" w:top="660" w:right="51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auto"/>
        </w:rPr>
        <w:t>SI-BONE,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1. The Company and Nature of Business</w:t>
      </w:r>
    </w:p>
    <w:p>
      <w:pPr>
        <w:spacing w:after="0" w:line="94" w:lineRule="exact"/>
        <w:rPr>
          <w:sz w:val="20"/>
          <w:szCs w:val="20"/>
          <w:color w:val="auto"/>
        </w:rPr>
      </w:pPr>
    </w:p>
    <w:p>
      <w:pPr>
        <w:jc w:val="both"/>
        <w:ind w:firstLine="332"/>
        <w:spacing w:after="0" w:line="309" w:lineRule="auto"/>
        <w:rPr>
          <w:sz w:val="20"/>
          <w:szCs w:val="20"/>
          <w:color w:val="auto"/>
        </w:rPr>
      </w:pPr>
      <w:r>
        <w:rPr>
          <w:rFonts w:ascii="Arial" w:cs="Arial" w:eastAsia="Arial" w:hAnsi="Arial"/>
          <w:sz w:val="12"/>
          <w:szCs w:val="12"/>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primary product, the iFuse Implant System, or iFuse, in 2009 in the U.S., in 2010 in certain countries in the European Union, and in 2015 in certain countries in the rest of the world.</w:t>
      </w:r>
    </w:p>
    <w:p>
      <w:pPr>
        <w:spacing w:after="0" w:line="111" w:lineRule="exact"/>
        <w:rPr>
          <w:sz w:val="20"/>
          <w:szCs w:val="20"/>
          <w:color w:val="auto"/>
        </w:rPr>
      </w:pPr>
    </w:p>
    <w:p>
      <w:pPr>
        <w:jc w:val="both"/>
        <w:ind w:firstLine="332"/>
        <w:spacing w:after="0" w:line="265" w:lineRule="auto"/>
        <w:rPr>
          <w:sz w:val="20"/>
          <w:szCs w:val="20"/>
          <w:color w:val="auto"/>
        </w:rPr>
      </w:pPr>
      <w:r>
        <w:rPr>
          <w:rFonts w:ascii="Arial" w:cs="Arial" w:eastAsia="Arial" w:hAnsi="Arial"/>
          <w:sz w:val="13"/>
          <w:szCs w:val="13"/>
          <w:color w:val="auto"/>
        </w:rPr>
        <w:t>In the first quarter of 2020, the Company received $63.0 million of net proceeds from its first follow-on public offering of 4,300,000 shares of the Company's common stock, of which 2,490,053 shares were offered and sold by the Company, and the exercise of underwriter's option to purchase from the Company an additional 645,000 shares of the Company's common stock, at a public offering price of $21.50 per share. The total public offering costs incurred in connection with the follow-on offering were allocated based on the gross proceeds received by the Company and the other selling shareholders on a pro-rated basis. Public offering cost of $0.4 million allocated to selling of shares by the Company was charged against the gross proceeds received from the follow-on offering. Public offering costs of $0.2 million allocated to selling of shares by the selling shareholders was recognized as transaction costs within general and administrative expenses on the consolidated statements of operations in the year ended December 31, 2020.</w:t>
      </w:r>
    </w:p>
    <w:p>
      <w:pPr>
        <w:spacing w:after="0" w:line="137" w:lineRule="exact"/>
        <w:rPr>
          <w:sz w:val="20"/>
          <w:szCs w:val="20"/>
          <w:color w:val="auto"/>
        </w:rPr>
      </w:pPr>
    </w:p>
    <w:p>
      <w:pPr>
        <w:jc w:val="both"/>
        <w:ind w:firstLine="362"/>
        <w:spacing w:after="0" w:line="270" w:lineRule="auto"/>
        <w:rPr>
          <w:sz w:val="20"/>
          <w:szCs w:val="20"/>
          <w:color w:val="auto"/>
        </w:rPr>
      </w:pPr>
      <w:r>
        <w:rPr>
          <w:rFonts w:ascii="Arial" w:cs="Arial" w:eastAsia="Arial" w:hAnsi="Arial"/>
          <w:sz w:val="13"/>
          <w:szCs w:val="13"/>
          <w:color w:val="auto"/>
        </w:rPr>
        <w:t>In October 2020, the Company received $71.6 million of net proceeds from its second follow-on public offering of shares of the Company's common stock, of which 3,000,000 shares were offered and sold by the Company, and the exercise of underwriter's option to purchase from the Company an additional 478,507 shares of the Company's common stock, at a public offering price of $22.00 per share. In addition to the shares sold by the Company in this second follow-on offering, the selling stockholder sold 190,053 shares of the Company's common stock previously held by the selling stockholder at a price to the public of $22.00 per share. The Company did not receive any proceeds from the sale by the selling stockholder.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Risks and Uncertainties</w:t>
      </w:r>
    </w:p>
    <w:p>
      <w:pPr>
        <w:spacing w:after="0" w:line="173" w:lineRule="exact"/>
        <w:rPr>
          <w:sz w:val="20"/>
          <w:szCs w:val="20"/>
          <w:color w:val="auto"/>
        </w:rPr>
      </w:pPr>
    </w:p>
    <w:p>
      <w:pPr>
        <w:jc w:val="both"/>
        <w:ind w:firstLine="332"/>
        <w:spacing w:after="0" w:line="291" w:lineRule="auto"/>
        <w:rPr>
          <w:sz w:val="20"/>
          <w:szCs w:val="20"/>
          <w:color w:val="auto"/>
        </w:rPr>
      </w:pPr>
      <w:r>
        <w:rPr>
          <w:rFonts w:ascii="Arial" w:cs="Arial" w:eastAsia="Arial" w:hAnsi="Arial"/>
          <w:sz w:val="12"/>
          <w:szCs w:val="12"/>
          <w:color w:val="auto"/>
        </w:rPr>
        <w:t>The Company is subject to continuing risk and uncertainties as a result of the COVID-19 pandemic, and is closely monitoring the impact of the pandemic on all aspects of its business, including the impacts on its customers, patients that would benefit from utilizing the Company's products, employees, suppliers, vendors, business partners and distribution channels. Economies worldwide continue to be negatively impacted by the COVID-19 pandemic, in particular with recurrent outbreaks and mutations of the virus, despite advances in vaccines, and the Company anticipates these disruptions will continue. As such the Company's future results of operations and liquidity could be adversely impacted by a variety of factors related to the COVID-19 pandemic, including those discussed in the section entitled "Risk Factors" of the Company's Annual Report on Form 10-K for the year ended December 31, 2020. As of the date of issuance of these condensed consolidated financial statements, the extent to which the COVID-19 pandemic may materially impact the Company's financial condition, liquidity, or results of operations remains uncertain.</w:t>
      </w:r>
    </w:p>
    <w:p>
      <w:pPr>
        <w:spacing w:after="0" w:line="84" w:lineRule="exact"/>
        <w:rPr>
          <w:sz w:val="20"/>
          <w:szCs w:val="20"/>
          <w:color w:val="auto"/>
        </w:rPr>
      </w:pPr>
    </w:p>
    <w:p>
      <w:pPr>
        <w:jc w:val="both"/>
        <w:ind w:firstLine="332"/>
        <w:spacing w:after="0" w:line="299" w:lineRule="auto"/>
        <w:rPr>
          <w:sz w:val="20"/>
          <w:szCs w:val="20"/>
          <w:color w:val="auto"/>
        </w:rPr>
      </w:pPr>
      <w:r>
        <w:rPr>
          <w:rFonts w:ascii="Arial" w:cs="Arial" w:eastAsia="Arial" w:hAnsi="Arial"/>
          <w:sz w:val="12"/>
          <w:szCs w:val="12"/>
          <w:color w:val="auto"/>
        </w:rPr>
        <w:t>The Company is also subject to risks common to medical device companies including, but not limited to, new technological innovations, dependence on key personnel, protection of proprietary technology, compliance with government regulations, product liability, the ability to obtain adequate coverage and reimbursement from third-party payors and uncertainty of market acceptance of products. The Company is dependent on third-party manufacturers and suppliers, in some cases single source suppliers. The Company currently has limited long term contracts with its key suppliers and is subject to risks such as manufacturing failures, non-compliance with regulatory requirements, price fluctuations, inability to properly meet demand and third-party supplier discontinuation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Summary of 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Basis of Presentation and Principles of Consolidation</w:t>
      </w:r>
    </w:p>
    <w:p>
      <w:pPr>
        <w:spacing w:after="0" w:line="173" w:lineRule="exact"/>
        <w:rPr>
          <w:sz w:val="20"/>
          <w:szCs w:val="20"/>
          <w:color w:val="auto"/>
        </w:rPr>
      </w:pPr>
    </w:p>
    <w:p>
      <w:pPr>
        <w:jc w:val="both"/>
        <w:ind w:firstLine="362"/>
        <w:spacing w:after="0" w:line="264" w:lineRule="auto"/>
        <w:rPr>
          <w:sz w:val="20"/>
          <w:szCs w:val="20"/>
          <w:color w:val="auto"/>
        </w:rPr>
      </w:pPr>
      <w:r>
        <w:rPr>
          <w:rFonts w:ascii="Arial" w:cs="Arial" w:eastAsia="Arial" w:hAnsi="Arial"/>
          <w:sz w:val="13"/>
          <w:szCs w:val="13"/>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December 31, 2020 has been derived from the audited consolidated financial statements at that date but does not include all of the information required by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and six months ended June 30, 2021 are not necessarily indicative of the results to be expected for the year ending December 31, 2021 or for any other interim period or for any other future year.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167640</wp:posOffset>
            </wp:positionV>
            <wp:extent cx="719264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auto"/>
        </w:rPr>
        <w:t>SI-BONE,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325" w:lineRule="exact"/>
        <w:rPr>
          <w:sz w:val="20"/>
          <w:szCs w:val="20"/>
          <w:color w:val="auto"/>
        </w:rPr>
      </w:pPr>
    </w:p>
    <w:p>
      <w:pPr>
        <w:jc w:val="both"/>
        <w:ind w:firstLine="332"/>
        <w:spacing w:after="0" w:line="294" w:lineRule="auto"/>
        <w:rPr>
          <w:sz w:val="20"/>
          <w:szCs w:val="20"/>
          <w:color w:val="auto"/>
        </w:rPr>
      </w:pPr>
      <w:r>
        <w:rPr>
          <w:rFonts w:ascii="Arial" w:cs="Arial" w:eastAsia="Arial" w:hAnsi="Arial"/>
          <w:sz w:val="13"/>
          <w:szCs w:val="13"/>
          <w:color w:val="auto"/>
        </w:rPr>
        <w:t>The accompanying condensed consolidated financial statements should be read in conjunction with the audited financial statements and related notes thereto for the year ended December 31, 2020 contained in the Company’s Annual Report on Form 10-K filed with the SEC on March 10, 2021.</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32" w:lineRule="exact"/>
        <w:rPr>
          <w:sz w:val="20"/>
          <w:szCs w:val="20"/>
          <w:color w:val="auto"/>
        </w:rPr>
      </w:pPr>
    </w:p>
    <w:p>
      <w:pPr>
        <w:jc w:val="both"/>
        <w:ind w:firstLine="332"/>
        <w:spacing w:after="0" w:line="276" w:lineRule="auto"/>
        <w:rPr>
          <w:sz w:val="20"/>
          <w:szCs w:val="20"/>
          <w:color w:val="auto"/>
        </w:rPr>
      </w:pPr>
      <w:r>
        <w:rPr>
          <w:rFonts w:ascii="Arial" w:cs="Arial" w:eastAsia="Arial" w:hAnsi="Arial"/>
          <w:sz w:val="13"/>
          <w:szCs w:val="13"/>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Estimates are based on historical experience, where applicable and other assumptions believed to be reasonable by the management. Actual results could differ from those estimates.</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Significant Accounting Policies</w:t>
      </w:r>
    </w:p>
    <w:p>
      <w:pPr>
        <w:spacing w:after="0" w:line="173" w:lineRule="exact"/>
        <w:rPr>
          <w:sz w:val="20"/>
          <w:szCs w:val="20"/>
          <w:color w:val="auto"/>
        </w:rPr>
      </w:pPr>
    </w:p>
    <w:p>
      <w:pPr>
        <w:jc w:val="both"/>
        <w:ind w:firstLine="302"/>
        <w:spacing w:after="0" w:line="294" w:lineRule="auto"/>
        <w:rPr>
          <w:sz w:val="20"/>
          <w:szCs w:val="20"/>
          <w:color w:val="auto"/>
        </w:rPr>
      </w:pPr>
      <w:r>
        <w:rPr>
          <w:rFonts w:ascii="Arial" w:cs="Arial" w:eastAsia="Arial" w:hAnsi="Arial"/>
          <w:sz w:val="13"/>
          <w:szCs w:val="13"/>
          <w:color w:val="auto"/>
        </w:rPr>
        <w:t>The Company’s significant accounting policies are disclosed in the Company’s Annual Report on Form 10-K for the year ended December 31, 2020. There have been no material changes to these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JOBS Act Accounting Election</w:t>
      </w:r>
    </w:p>
    <w:p>
      <w:pPr>
        <w:spacing w:after="0" w:line="173" w:lineRule="exact"/>
        <w:rPr>
          <w:sz w:val="20"/>
          <w:szCs w:val="20"/>
          <w:color w:val="auto"/>
        </w:rPr>
      </w:pPr>
    </w:p>
    <w:p>
      <w:pPr>
        <w:jc w:val="both"/>
        <w:ind w:firstLine="302"/>
        <w:spacing w:after="0" w:line="286" w:lineRule="auto"/>
        <w:rPr>
          <w:sz w:val="20"/>
          <w:szCs w:val="20"/>
          <w:color w:val="auto"/>
        </w:rPr>
      </w:pPr>
      <w:r>
        <w:rPr>
          <w:rFonts w:ascii="Arial" w:cs="Arial" w:eastAsia="Arial" w:hAnsi="Arial"/>
          <w:sz w:val="12"/>
          <w:szCs w:val="12"/>
          <w:color w:val="auto"/>
        </w:rPr>
        <w:t>As an emerging growth company under the Jumpstart Our Business Startups Act of 2012 (the “JOBS Act”), the Company has been eligible to take advantage of certain exemptions from various reporting requirements that are applicable to other public companies that are not emerging growth companies. The Company has elected to take advantage of the extended transition period for adopting new or revised accounting standards that have different effective dates for public and private companies. Those standards apply to companies until the earlier of the date that it is (i) no longer an emerging growth company or</w:t>
      </w:r>
    </w:p>
    <w:p>
      <w:pPr>
        <w:ind w:firstLine="1"/>
        <w:spacing w:after="0" w:line="277" w:lineRule="auto"/>
        <w:tabs>
          <w:tab w:leader="none" w:pos="205" w:val="left"/>
        </w:tabs>
        <w:numPr>
          <w:ilvl w:val="0"/>
          <w:numId w:val="5"/>
        </w:numPr>
        <w:rPr>
          <w:rFonts w:ascii="Arial" w:cs="Arial" w:eastAsia="Arial" w:hAnsi="Arial"/>
          <w:sz w:val="13"/>
          <w:szCs w:val="13"/>
          <w:color w:val="auto"/>
        </w:rPr>
      </w:pPr>
      <w:r>
        <w:rPr>
          <w:rFonts w:ascii="Arial" w:cs="Arial" w:eastAsia="Arial" w:hAnsi="Arial"/>
          <w:sz w:val="13"/>
          <w:szCs w:val="13"/>
          <w:color w:val="auto"/>
        </w:rPr>
        <w:t>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118" w:lineRule="exact"/>
        <w:rPr>
          <w:sz w:val="20"/>
          <w:szCs w:val="20"/>
          <w:color w:val="auto"/>
        </w:rPr>
      </w:pPr>
    </w:p>
    <w:p>
      <w:pPr>
        <w:ind w:right="80" w:firstLine="302"/>
        <w:spacing w:after="0" w:line="244" w:lineRule="auto"/>
        <w:rPr>
          <w:sz w:val="20"/>
          <w:szCs w:val="20"/>
          <w:color w:val="auto"/>
        </w:rPr>
      </w:pPr>
      <w:r>
        <w:rPr>
          <w:rFonts w:ascii="Arial" w:cs="Arial" w:eastAsia="Arial" w:hAnsi="Arial"/>
          <w:sz w:val="13"/>
          <w:szCs w:val="13"/>
          <w:color w:val="auto"/>
        </w:rPr>
        <w:t>On June 30, 2021, the Company’s public float exceeded $700 million and as such the Company will be deemed to be a large accelerated filer under Rule 12b-2 of the Exchange Act, commencing with the Company’s Annual Report on Form 10-K for the 2021 fiscal year. The Company will retain its current filer status until the end of 2021. As a large accelerated filer, the Company will no longer qualify as an emerging growth company nor be eligible to rely on the benefits afforded to emerging growth companies under the JOBS Act.</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Segments</w:t>
      </w:r>
    </w:p>
    <w:p>
      <w:pPr>
        <w:spacing w:after="0" w:line="132" w:lineRule="exact"/>
        <w:rPr>
          <w:sz w:val="20"/>
          <w:szCs w:val="20"/>
          <w:color w:val="auto"/>
        </w:rPr>
      </w:pPr>
    </w:p>
    <w:p>
      <w:pPr>
        <w:jc w:val="both"/>
        <w:ind w:firstLine="332"/>
        <w:spacing w:after="0" w:line="276" w:lineRule="auto"/>
        <w:rPr>
          <w:sz w:val="20"/>
          <w:szCs w:val="20"/>
          <w:color w:val="auto"/>
        </w:rPr>
      </w:pPr>
      <w:r>
        <w:rPr>
          <w:rFonts w:ascii="Arial" w:cs="Arial" w:eastAsia="Arial" w:hAnsi="Arial"/>
          <w:sz w:val="13"/>
          <w:szCs w:val="13"/>
          <w:color w:val="auto"/>
        </w:rPr>
        <w:t>The Company manages and operates as one reportable segment. The Company derives substantially all of its revenue from sales to customers in the U.S. Revenue by geography is based on billing address of the customer. No single country outside the U.S. accounts for more than 10% of the total revenue during the periods presented. Long-lived assets held outside the U.S. are immaterial. The table below summarizes the Company's revenue by geography: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580" w:type="dxa"/>
            <w:vAlign w:val="bottom"/>
            <w:gridSpan w:val="4"/>
          </w:tcPr>
          <w:p>
            <w:pPr>
              <w:jc w:val="right"/>
              <w:ind w:right="55"/>
              <w:spacing w:after="0"/>
              <w:rPr>
                <w:sz w:val="20"/>
                <w:szCs w:val="20"/>
                <w:color w:val="auto"/>
              </w:rPr>
            </w:pPr>
            <w:r>
              <w:rPr>
                <w:rFonts w:ascii="Arial" w:cs="Arial" w:eastAsia="Arial" w:hAnsi="Arial"/>
                <w:sz w:val="12"/>
                <w:szCs w:val="12"/>
                <w:b w:val="1"/>
                <w:bCs w:val="1"/>
                <w:color w:val="auto"/>
              </w:rPr>
              <w:t>Three Months Ended June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540" w:type="dxa"/>
            <w:vAlign w:val="bottom"/>
            <w:gridSpan w:val="4"/>
          </w:tcPr>
          <w:p>
            <w:pPr>
              <w:ind w:left="320"/>
              <w:spacing w:after="0"/>
              <w:rPr>
                <w:sz w:val="20"/>
                <w:szCs w:val="20"/>
                <w:color w:val="auto"/>
              </w:rPr>
            </w:pPr>
            <w:r>
              <w:rPr>
                <w:rFonts w:ascii="Arial" w:cs="Arial" w:eastAsia="Arial" w:hAnsi="Arial"/>
                <w:sz w:val="12"/>
                <w:szCs w:val="12"/>
                <w:b w:val="1"/>
                <w:bCs w:val="1"/>
                <w:color w:val="auto"/>
              </w:rPr>
              <w:t>Six Months Ended June 30,</w:t>
            </w:r>
          </w:p>
        </w:tc>
      </w:tr>
      <w:tr>
        <w:trPr>
          <w:trHeight w:val="152"/>
        </w:trPr>
        <w:tc>
          <w:tcPr>
            <w:tcW w:w="3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4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2"/>
                <w:szCs w:val="12"/>
                <w:b w:val="1"/>
                <w:bCs w:val="1"/>
                <w:color w:val="auto"/>
              </w:rPr>
              <w:t>2020</w:t>
            </w:r>
          </w:p>
        </w:tc>
        <w:tc>
          <w:tcPr>
            <w:tcW w:w="1200" w:type="dxa"/>
            <w:vAlign w:val="bottom"/>
          </w:tcPr>
          <w:p>
            <w:pPr>
              <w:spacing w:after="0"/>
              <w:rPr>
                <w:sz w:val="13"/>
                <w:szCs w:val="13"/>
                <w:color w:val="auto"/>
              </w:rPr>
            </w:pPr>
          </w:p>
        </w:tc>
      </w:tr>
      <w:tr>
        <w:trPr>
          <w:trHeight w:val="151"/>
        </w:trPr>
        <w:tc>
          <w:tcPr>
            <w:tcW w:w="3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gridSpan w:val="3"/>
          </w:tcPr>
          <w:p>
            <w:pPr>
              <w:jc w:val="right"/>
              <w:ind w:right="93"/>
              <w:spacing w:after="0"/>
              <w:rPr>
                <w:sz w:val="20"/>
                <w:szCs w:val="20"/>
                <w:color w:val="auto"/>
              </w:rPr>
            </w:pPr>
            <w:r>
              <w:rPr>
                <w:rFonts w:ascii="Arial" w:cs="Arial" w:eastAsia="Arial" w:hAnsi="Arial"/>
                <w:sz w:val="12"/>
                <w:szCs w:val="12"/>
                <w:b w:val="1"/>
                <w:bCs w:val="1"/>
                <w:color w:val="auto"/>
              </w:rPr>
              <w:t>(in thousands)</w:t>
            </w: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3"/>
        </w:trPr>
        <w:tc>
          <w:tcPr>
            <w:tcW w:w="340" w:type="dxa"/>
            <w:vAlign w:val="bottom"/>
          </w:tcPr>
          <w:p>
            <w:pPr>
              <w:spacing w:after="0"/>
              <w:rPr>
                <w:sz w:val="15"/>
                <w:szCs w:val="15"/>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United States</w:t>
            </w:r>
          </w:p>
        </w:tc>
        <w:tc>
          <w:tcPr>
            <w:tcW w:w="104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20,230</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35"/>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13,221</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39,000</w:t>
            </w:r>
          </w:p>
        </w:tc>
        <w:tc>
          <w:tcPr>
            <w:tcW w:w="4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28,518</w:t>
            </w:r>
          </w:p>
        </w:tc>
        <w:tc>
          <w:tcPr>
            <w:tcW w:w="1200" w:type="dxa"/>
            <w:vAlign w:val="bottom"/>
          </w:tcPr>
          <w:p>
            <w:pPr>
              <w:spacing w:after="0"/>
              <w:rPr>
                <w:sz w:val="15"/>
                <w:szCs w:val="15"/>
                <w:color w:val="auto"/>
              </w:rPr>
            </w:pPr>
          </w:p>
        </w:tc>
      </w:tr>
      <w:tr>
        <w:trPr>
          <w:trHeight w:val="171"/>
        </w:trPr>
        <w:tc>
          <w:tcPr>
            <w:tcW w:w="340" w:type="dxa"/>
            <w:vAlign w:val="bottom"/>
          </w:tcPr>
          <w:p>
            <w:pPr>
              <w:spacing w:after="0"/>
              <w:rPr>
                <w:sz w:val="14"/>
                <w:szCs w:val="14"/>
                <w:color w:val="auto"/>
              </w:rPr>
            </w:pPr>
          </w:p>
        </w:tc>
        <w:tc>
          <w:tcPr>
            <w:tcW w:w="366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International</w:t>
            </w:r>
          </w:p>
        </w:tc>
        <w:tc>
          <w:tcPr>
            <w:tcW w:w="10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1,964</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828</w:t>
            </w: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3,636</w:t>
            </w: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2,352</w:t>
            </w:r>
          </w:p>
        </w:tc>
        <w:tc>
          <w:tcPr>
            <w:tcW w:w="1200" w:type="dxa"/>
            <w:vAlign w:val="bottom"/>
          </w:tcPr>
          <w:p>
            <w:pPr>
              <w:spacing w:after="0"/>
              <w:rPr>
                <w:sz w:val="14"/>
                <w:szCs w:val="14"/>
                <w:color w:val="auto"/>
              </w:rPr>
            </w:pPr>
          </w:p>
        </w:tc>
      </w:tr>
      <w:tr>
        <w:trPr>
          <w:trHeight w:val="186"/>
        </w:trPr>
        <w:tc>
          <w:tcPr>
            <w:tcW w:w="340" w:type="dxa"/>
            <w:vAlign w:val="bottom"/>
          </w:tcPr>
          <w:p>
            <w:pPr>
              <w:spacing w:after="0"/>
              <w:rPr>
                <w:sz w:val="15"/>
                <w:szCs w:val="15"/>
                <w:color w:val="auto"/>
              </w:rPr>
            </w:pPr>
          </w:p>
        </w:tc>
        <w:tc>
          <w:tcPr>
            <w:tcW w:w="36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22,194</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14,049</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42,636</w:t>
            </w:r>
          </w:p>
        </w:tc>
        <w:tc>
          <w:tcPr>
            <w:tcW w:w="4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30,870</w:t>
            </w:r>
          </w:p>
        </w:tc>
        <w:tc>
          <w:tcPr>
            <w:tcW w:w="1200" w:type="dxa"/>
            <w:vAlign w:val="bottom"/>
          </w:tcPr>
          <w:p>
            <w:pPr>
              <w:spacing w:after="0"/>
              <w:rPr>
                <w:sz w:val="15"/>
                <w:szCs w:val="15"/>
                <w:color w:val="auto"/>
              </w:rPr>
            </w:pPr>
          </w:p>
        </w:tc>
      </w:tr>
      <w:tr>
        <w:trPr>
          <w:trHeight w:val="20"/>
        </w:trPr>
        <w:tc>
          <w:tcPr>
            <w:tcW w:w="34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33"/>
        </w:trPr>
        <w:tc>
          <w:tcPr>
            <w:tcW w:w="3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795"/>
              <w:spacing w:after="0"/>
              <w:rPr>
                <w:sz w:val="20"/>
                <w:szCs w:val="20"/>
                <w:color w:val="auto"/>
              </w:rPr>
            </w:pPr>
            <w:r>
              <w:rPr>
                <w:rFonts w:ascii="Arial" w:cs="Arial" w:eastAsia="Arial" w:hAnsi="Arial"/>
                <w:sz w:val="13"/>
                <w:szCs w:val="13"/>
                <w:color w:val="auto"/>
                <w:w w:val="96"/>
              </w:rPr>
              <w:t>10</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2"/>
        </w:trPr>
        <w:tc>
          <w:tcPr>
            <w:tcW w:w="340" w:type="dxa"/>
            <w:vAlign w:val="bottom"/>
            <w:tcBorders>
              <w:bottom w:val="single" w:sz="8" w:color="9A9A9A"/>
            </w:tcBorders>
          </w:tcPr>
          <w:p>
            <w:pPr>
              <w:spacing w:after="0"/>
              <w:rPr>
                <w:sz w:val="22"/>
                <w:szCs w:val="22"/>
                <w:color w:val="auto"/>
              </w:rPr>
            </w:pPr>
          </w:p>
        </w:tc>
        <w:tc>
          <w:tcPr>
            <w:tcW w:w="3660" w:type="dxa"/>
            <w:vAlign w:val="bottom"/>
            <w:tcBorders>
              <w:bottom w:val="single" w:sz="8" w:color="9A9A9A"/>
            </w:tcBorders>
          </w:tcPr>
          <w:p>
            <w:pPr>
              <w:spacing w:after="0"/>
              <w:rPr>
                <w:sz w:val="22"/>
                <w:szCs w:val="22"/>
                <w:color w:val="auto"/>
              </w:rPr>
            </w:pPr>
          </w:p>
        </w:tc>
        <w:tc>
          <w:tcPr>
            <w:tcW w:w="1040" w:type="dxa"/>
            <w:vAlign w:val="bottom"/>
            <w:tcBorders>
              <w:bottom w:val="single" w:sz="8" w:color="9A9A9A"/>
            </w:tcBorders>
          </w:tcPr>
          <w:p>
            <w:pPr>
              <w:spacing w:after="0"/>
              <w:rPr>
                <w:sz w:val="22"/>
                <w:szCs w:val="22"/>
                <w:color w:val="auto"/>
              </w:rPr>
            </w:pPr>
          </w:p>
        </w:tc>
        <w:tc>
          <w:tcPr>
            <w:tcW w:w="4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020" w:type="dxa"/>
            <w:vAlign w:val="bottom"/>
            <w:tcBorders>
              <w:bottom w:val="single" w:sz="8" w:color="9A9A9A"/>
            </w:tcBorders>
          </w:tcPr>
          <w:p>
            <w:pPr>
              <w:spacing w:after="0"/>
              <w:rPr>
                <w:sz w:val="22"/>
                <w:szCs w:val="22"/>
                <w:color w:val="auto"/>
              </w:rPr>
            </w:pPr>
          </w:p>
        </w:tc>
        <w:tc>
          <w:tcPr>
            <w:tcW w:w="44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600" w:type="dxa"/>
            <w:vAlign w:val="bottom"/>
            <w:tcBorders>
              <w:bottom w:val="single" w:sz="8" w:color="9A9A9A"/>
            </w:tcBorders>
          </w:tcPr>
          <w:p>
            <w:pPr>
              <w:spacing w:after="0"/>
              <w:rPr>
                <w:sz w:val="22"/>
                <w:szCs w:val="22"/>
                <w:color w:val="auto"/>
              </w:rPr>
            </w:pPr>
          </w:p>
        </w:tc>
        <w:tc>
          <w:tcPr>
            <w:tcW w:w="1020" w:type="dxa"/>
            <w:vAlign w:val="bottom"/>
            <w:tcBorders>
              <w:bottom w:val="single" w:sz="8" w:color="9A9A9A"/>
            </w:tcBorders>
          </w:tcPr>
          <w:p>
            <w:pPr>
              <w:spacing w:after="0"/>
              <w:rPr>
                <w:sz w:val="22"/>
                <w:szCs w:val="22"/>
                <w:color w:val="auto"/>
              </w:rPr>
            </w:pPr>
          </w:p>
        </w:tc>
        <w:tc>
          <w:tcPr>
            <w:tcW w:w="440" w:type="dxa"/>
            <w:vAlign w:val="bottom"/>
            <w:tcBorders>
              <w:bottom w:val="single" w:sz="8" w:color="9A9A9A"/>
            </w:tcBorders>
          </w:tcPr>
          <w:p>
            <w:pPr>
              <w:spacing w:after="0"/>
              <w:rPr>
                <w:sz w:val="22"/>
                <w:szCs w:val="22"/>
                <w:color w:val="auto"/>
              </w:rPr>
            </w:pPr>
          </w:p>
        </w:tc>
        <w:tc>
          <w:tcPr>
            <w:tcW w:w="880" w:type="dxa"/>
            <w:vAlign w:val="bottom"/>
            <w:tcBorders>
              <w:bottom w:val="single" w:sz="8" w:color="9A9A9A"/>
            </w:tcBorders>
          </w:tcPr>
          <w:p>
            <w:pPr>
              <w:spacing w:after="0"/>
              <w:rPr>
                <w:sz w:val="22"/>
                <w:szCs w:val="22"/>
                <w:color w:val="auto"/>
              </w:rPr>
            </w:pPr>
          </w:p>
        </w:tc>
        <w:tc>
          <w:tcPr>
            <w:tcW w:w="120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t>SI-BONE,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Recently Issued Accounting Standards Not Yet Effective</w:t>
      </w:r>
    </w:p>
    <w:p>
      <w:pPr>
        <w:spacing w:after="0" w:line="132" w:lineRule="exact"/>
        <w:rPr>
          <w:sz w:val="20"/>
          <w:szCs w:val="20"/>
          <w:color w:val="auto"/>
        </w:rPr>
      </w:pPr>
    </w:p>
    <w:p>
      <w:pPr>
        <w:jc w:val="both"/>
        <w:ind w:firstLine="302"/>
        <w:spacing w:after="0" w:line="284" w:lineRule="auto"/>
        <w:rPr>
          <w:sz w:val="20"/>
          <w:szCs w:val="20"/>
          <w:color w:val="auto"/>
        </w:rPr>
      </w:pPr>
      <w:r>
        <w:rPr>
          <w:rFonts w:ascii="Arial" w:cs="Arial" w:eastAsia="Arial" w:hAnsi="Arial"/>
          <w:sz w:val="12"/>
          <w:szCs w:val="12"/>
          <w:color w:val="auto"/>
        </w:rPr>
        <w:t>In February 2016, the Financial Accounting Standards Board (“FASB”) issued Accounting Standards Update (“ASU”) 2016-02, Leases (Topic 842), which requires that lessee's recognize a right-of-use asset and a lease liability for all leases with lease terms greater than twelve months in the balance sheet. A lease liability is a lessee's obligation to make lease payments arising from a lease, measured on a discounted basis; and a right-of-use asset is an asset that represents the lessee’s right to use, or control use of, a specified asset for the lease term for all leases (with the exception of short-term leases) at the adoption date. In July 2018, the FASB issued ASU 2018-10 and ASU 2018-11, which provides clarification on the narrow aspects of the guidance and provide an additional transition method to adopt the new leases standard. The new transition method allows an entity to recognize a cumulative-effect adjustment to the opening balance of retained earnings in the period of adoption. In March 2019, the FASB issued ASU 2019-01, which provides clarification on implementation issues associated with adopting ASU 2016-02. The new leases standard must be adopted using a modified retrospective transition method and allows for the application of the new guidance at the beginning of the earliest comparative period presented or at the adoption date. In November 2019, the FASB issued ASU 2019-10, which revised the mandatory effective dates of the new leases standard. Further, due to the impact of the COVID-19, in June 2020, the FASB issued ASU 2020-05 to further defer the effective date for one year for entities in the “all other” categories. For public companies, the new guidance became effective for fiscal years, and for interim periods within those fiscal years, beginning after December 15, 2018. For all other entities, the new guidance is now effective for fiscal years beginning after December 15, 2021 and interim periods within fiscal years beginning after December 15, 2022. Early adoption is still permitted for any interim or annual financial statements not yet issued. The Company expects to disclose the adoption of this standard for the fiscal year ending December 31, 2021. The Company is currently evaluating the impact of this standard on its consolidated financial statements including the timing of its adoption. The Company anticipates electing several practical expedients that permit the Company not to reassess (1) whether a contract is or contains a lease, (2) the classification of existing leases, and (3) whether previously capitalized initial direct costs would qualify for capitalization under ASC 842. The Company expects that the adoption of this new standard will have a material impact on its balance sheet. The most significant impact would be the recognition of operating lease right-of-use assets and liability. The standard is not expected to have a material impact to the Company's consolidated statements of income and cash flows.</w:t>
      </w:r>
    </w:p>
    <w:p>
      <w:pPr>
        <w:spacing w:after="0" w:line="128" w:lineRule="exact"/>
        <w:rPr>
          <w:sz w:val="20"/>
          <w:szCs w:val="20"/>
          <w:color w:val="auto"/>
        </w:rPr>
      </w:pPr>
    </w:p>
    <w:p>
      <w:pPr>
        <w:jc w:val="both"/>
        <w:ind w:firstLine="302"/>
        <w:spacing w:after="0" w:line="263" w:lineRule="auto"/>
        <w:rPr>
          <w:sz w:val="20"/>
          <w:szCs w:val="20"/>
          <w:color w:val="auto"/>
        </w:rPr>
      </w:pPr>
      <w:r>
        <w:rPr>
          <w:rFonts w:ascii="Arial" w:cs="Arial" w:eastAsia="Arial" w:hAnsi="Arial"/>
          <w:sz w:val="13"/>
          <w:szCs w:val="13"/>
          <w:color w:val="auto"/>
        </w:rPr>
        <w:t>In June 2016, the FASB issued ASU 2016-13, Financial Instruments-Credit Losses (Topic 326): Measurement of Credit Losses on Financial Instruments. FASB issued ASU 2019-05 in May 2019, ASU 2019-08 and ASU 2019-11 in November 2019 for codification improvements of Topic 326. The new standard revises the accounting requirements related to the measurement of credit losses and will require organizations to measure all expected credit losses for financial assets based on historical experience, current conditions and reasonable and supportable forecasts about collectability. Assets must be presented in the financial statements at the net amount expected to be collected. In November 2019, the FASB issued ASU 2019-10, which defers the effective date of ASU 2016-13 for public companies that are eligible to be smaller reporting companies and all other companies, to fiscal years beginning after December 15, 2022, including interim periods within those fiscal years. In February 2020, the FASB issued ASU 2020-02, which provides guidance regarding methodologies, documentation, and internal controls related to expected credit losses. The Company is currently evaluating the impact of this standard on its consolidated financial statements but does not expect the standard will have a material impact on the Company's consolidated financial statements. The Company expects to disclose the adoption of this standard for the fiscal year ending December 31, 2021</w:t>
      </w:r>
    </w:p>
    <w:p>
      <w:pPr>
        <w:spacing w:after="0" w:line="139" w:lineRule="exact"/>
        <w:rPr>
          <w:sz w:val="20"/>
          <w:szCs w:val="20"/>
          <w:color w:val="auto"/>
        </w:rPr>
      </w:pPr>
    </w:p>
    <w:p>
      <w:pPr>
        <w:jc w:val="both"/>
        <w:ind w:firstLine="483"/>
        <w:spacing w:after="0" w:line="261" w:lineRule="auto"/>
        <w:rPr>
          <w:sz w:val="20"/>
          <w:szCs w:val="20"/>
          <w:color w:val="auto"/>
        </w:rPr>
      </w:pPr>
      <w:r>
        <w:rPr>
          <w:rFonts w:ascii="Arial" w:cs="Arial" w:eastAsia="Arial" w:hAnsi="Arial"/>
          <w:sz w:val="13"/>
          <w:szCs w:val="13"/>
          <w:color w:val="auto"/>
        </w:rPr>
        <w:t>In May 2021, the FASB issued ASU 2021-04 “Earnings Per Share (Topic 260), Debt—Modifications and Extinguishments (Subtopic 470-50), Compensation— Stock Compensation (Topic 718), and Derivatives and Hedging—Contracts in Entity’s Own Equity (Subtopic 815- 40) Issuer’s Accounting for Certain Modifications or Exchanges of Freestanding Equity-Classified Written Call Options” which clarifies and reduces diversity in an issuer’s accounting for modifications or exchanges of freestanding equity-classified written call options that remain equity classified after modification or exchange. An entity should measure the effect of a modification or an exchange of a freestanding equity-classified written call option that remains equity classified after modification or exchange as follows: i) for a modification or an exchange that is a part of or directly related to a modification or an exchange of an existing debt instrument or line-of-credit or revolving-debt arrangements (hereinafter, referred to as a “debt” or “debt instrument”), as the difference between the fair value of the modified or exchanged written call option and the fair value of that written call option immediately before it is modified or exchanged; ii) for all other modifications or exchanges, as the excess, if any, of the fair value of the modified or exchanged written call option over the fair value of that written call option immediately before it is modified or exchanged. The amendments in this update are effective for all entities for fiscal years beginning after December 15, 2021, including interim periods within those fiscal years. An entity should apply the amendments prospectively to modifications or exchanges occurring on or after the effective date of the amendments. The Company is currently evaluating the impact of this update on its consolidated financial statements. While the Company does not expect the adoption of ASU 2021-04 to materially impact the Company's consolidated financial statements and related disclosures because it does not currently anticipate modifications to its outstanding equity-classified written call options, the impact on the Company's consolidated financial statements and disclosures will depend on the facts and circumstances of any specific future transactions.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167640</wp:posOffset>
            </wp:positionV>
            <wp:extent cx="719264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auto"/>
        </w:rPr>
        <w:t>SI-BONE,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Marketable Securities</w:t>
      </w:r>
    </w:p>
    <w:p>
      <w:pPr>
        <w:spacing w:after="0" w:line="195" w:lineRule="exact"/>
        <w:rPr>
          <w:sz w:val="20"/>
          <w:szCs w:val="20"/>
          <w:color w:val="auto"/>
        </w:rPr>
      </w:pPr>
    </w:p>
    <w:p>
      <w:pPr>
        <w:jc w:val="both"/>
        <w:ind w:firstLine="362"/>
        <w:spacing w:after="0" w:line="276" w:lineRule="auto"/>
        <w:rPr>
          <w:sz w:val="20"/>
          <w:szCs w:val="20"/>
          <w:color w:val="auto"/>
        </w:rPr>
      </w:pPr>
      <w:r>
        <w:rPr>
          <w:rFonts w:ascii="Arial" w:cs="Arial" w:eastAsia="Arial" w:hAnsi="Arial"/>
          <w:sz w:val="13"/>
          <w:szCs w:val="13"/>
          <w:color w:val="auto"/>
        </w:rPr>
        <w:t>All of the Company's marketable securities were available-for-sale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table below summarizes the marketable securities:</w:t>
      </w:r>
    </w:p>
    <w:p>
      <w:pPr>
        <w:spacing w:after="0" w:line="203" w:lineRule="exact"/>
        <w:rPr>
          <w:sz w:val="20"/>
          <w:szCs w:val="20"/>
          <w:color w:val="auto"/>
        </w:rPr>
      </w:pPr>
    </w:p>
    <w:tbl>
      <w:tblPr>
        <w:tblLayout w:type="fixed"/>
        <w:tblInd w:w="360" w:type="dxa"/>
        <w:tblCellMar>
          <w:top w:w="0" w:type="dxa"/>
          <w:left w:w="0" w:type="dxa"/>
          <w:bottom w:w="0" w:type="dxa"/>
          <w:right w:w="0" w:type="dxa"/>
        </w:tblCellMar>
      </w:tblPr>
      <w:tr>
        <w:trPr>
          <w:trHeight w:val="160"/>
        </w:trPr>
        <w:tc>
          <w:tcPr>
            <w:tcW w:w="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center"/>
              <w:ind w:left="215"/>
              <w:spacing w:after="0"/>
              <w:rPr>
                <w:sz w:val="20"/>
                <w:szCs w:val="20"/>
                <w:color w:val="auto"/>
              </w:rPr>
            </w:pPr>
            <w:r>
              <w:rPr>
                <w:rFonts w:ascii="Arial" w:cs="Arial" w:eastAsia="Arial" w:hAnsi="Arial"/>
                <w:sz w:val="12"/>
                <w:szCs w:val="12"/>
                <w:b w:val="1"/>
                <w:bCs w:val="1"/>
                <w:color w:val="auto"/>
                <w:w w:val="89"/>
              </w:rPr>
              <w:t>June 30, 2021</w:t>
            </w: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r>
      <w:tr>
        <w:trPr>
          <w:trHeight w:val="152"/>
        </w:trPr>
        <w:tc>
          <w:tcPr>
            <w:tcW w:w="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Amortized Cost</w:t>
            </w:r>
          </w:p>
        </w:tc>
        <w:tc>
          <w:tcPr>
            <w:tcW w:w="2060" w:type="dxa"/>
            <w:vAlign w:val="bottom"/>
            <w:tcBorders>
              <w:bottom w:val="single" w:sz="8" w:color="auto"/>
            </w:tcBorders>
            <w:gridSpan w:val="5"/>
          </w:tcPr>
          <w:p>
            <w:pPr>
              <w:ind w:left="520"/>
              <w:spacing w:after="0"/>
              <w:rPr>
                <w:sz w:val="20"/>
                <w:szCs w:val="20"/>
                <w:color w:val="auto"/>
              </w:rPr>
            </w:pPr>
            <w:r>
              <w:rPr>
                <w:rFonts w:ascii="Arial" w:cs="Arial" w:eastAsia="Arial" w:hAnsi="Arial"/>
                <w:sz w:val="12"/>
                <w:szCs w:val="12"/>
                <w:b w:val="1"/>
                <w:bCs w:val="1"/>
                <w:color w:val="auto"/>
              </w:rPr>
              <w:t>Unrealized Gains</w:t>
            </w:r>
          </w:p>
        </w:tc>
        <w:tc>
          <w:tcPr>
            <w:tcW w:w="1600" w:type="dxa"/>
            <w:vAlign w:val="bottom"/>
            <w:tcBorders>
              <w:bottom w:val="single" w:sz="8" w:color="auto"/>
            </w:tcBorders>
            <w:gridSpan w:val="5"/>
          </w:tcPr>
          <w:p>
            <w:pPr>
              <w:ind w:left="140"/>
              <w:spacing w:after="0"/>
              <w:rPr>
                <w:sz w:val="20"/>
                <w:szCs w:val="20"/>
                <w:color w:val="auto"/>
              </w:rPr>
            </w:pPr>
            <w:r>
              <w:rPr>
                <w:rFonts w:ascii="Arial" w:cs="Arial" w:eastAsia="Arial" w:hAnsi="Arial"/>
                <w:sz w:val="12"/>
                <w:szCs w:val="12"/>
                <w:b w:val="1"/>
                <w:bCs w:val="1"/>
                <w:color w:val="auto"/>
              </w:rPr>
              <w:t>Unrealized Losses</w:t>
            </w:r>
          </w:p>
        </w:tc>
        <w:tc>
          <w:tcPr>
            <w:tcW w:w="138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2"/>
                <w:szCs w:val="12"/>
                <w:b w:val="1"/>
                <w:bCs w:val="1"/>
                <w:color w:val="auto"/>
              </w:rPr>
              <w:t>Aggregate Fair Value</w:t>
            </w:r>
          </w:p>
        </w:tc>
        <w:tc>
          <w:tcPr>
            <w:tcW w:w="380" w:type="dxa"/>
            <w:vAlign w:val="bottom"/>
          </w:tcPr>
          <w:p>
            <w:pPr>
              <w:spacing w:after="0"/>
              <w:rPr>
                <w:sz w:val="13"/>
                <w:szCs w:val="13"/>
                <w:color w:val="auto"/>
              </w:rPr>
            </w:pPr>
          </w:p>
        </w:tc>
      </w:tr>
      <w:tr>
        <w:trPr>
          <w:trHeight w:val="151"/>
        </w:trPr>
        <w:tc>
          <w:tcPr>
            <w:tcW w:w="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5"/>
          </w:tcPr>
          <w:p>
            <w:pPr>
              <w:jc w:val="center"/>
              <w:ind w:left="215"/>
              <w:spacing w:after="0"/>
              <w:rPr>
                <w:sz w:val="20"/>
                <w:szCs w:val="20"/>
                <w:color w:val="auto"/>
              </w:rPr>
            </w:pPr>
            <w:r>
              <w:rPr>
                <w:rFonts w:ascii="Arial" w:cs="Arial" w:eastAsia="Arial" w:hAnsi="Arial"/>
                <w:sz w:val="12"/>
                <w:szCs w:val="12"/>
                <w:b w:val="1"/>
                <w:bCs w:val="1"/>
                <w:color w:val="auto"/>
                <w:w w:val="89"/>
              </w:rPr>
              <w:t>(in thousands)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73"/>
        </w:trPr>
        <w:tc>
          <w:tcPr>
            <w:tcW w:w="29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Money market funds</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44,653</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44,653</w:t>
            </w:r>
          </w:p>
        </w:tc>
        <w:tc>
          <w:tcPr>
            <w:tcW w:w="380" w:type="dxa"/>
            <w:vAlign w:val="bottom"/>
          </w:tcPr>
          <w:p>
            <w:pPr>
              <w:spacing w:after="0"/>
              <w:rPr>
                <w:sz w:val="15"/>
                <w:szCs w:val="15"/>
                <w:color w:val="auto"/>
              </w:rPr>
            </w:pPr>
          </w:p>
        </w:tc>
      </w:tr>
      <w:tr>
        <w:trPr>
          <w:trHeight w:val="161"/>
        </w:trPr>
        <w:tc>
          <w:tcPr>
            <w:tcW w:w="400" w:type="dxa"/>
            <w:vAlign w:val="bottom"/>
            <w:tcBorders>
              <w:bottom w:val="single" w:sz="8" w:color="CCEEFF"/>
            </w:tcBorders>
          </w:tcPr>
          <w:p>
            <w:pPr>
              <w:spacing w:after="0"/>
              <w:rPr>
                <w:sz w:val="14"/>
                <w:szCs w:val="14"/>
                <w:color w:val="auto"/>
              </w:rPr>
            </w:pPr>
          </w:p>
        </w:tc>
        <w:tc>
          <w:tcPr>
            <w:tcW w:w="25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Cash equivalents</w:t>
            </w:r>
          </w:p>
        </w:tc>
        <w:tc>
          <w:tcPr>
            <w:tcW w:w="5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44,653</w:t>
            </w:r>
          </w:p>
        </w:tc>
        <w:tc>
          <w:tcPr>
            <w:tcW w:w="14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44,653</w:t>
            </w:r>
          </w:p>
        </w:tc>
        <w:tc>
          <w:tcPr>
            <w:tcW w:w="380" w:type="dxa"/>
            <w:vAlign w:val="bottom"/>
          </w:tcPr>
          <w:p>
            <w:pPr>
              <w:spacing w:after="0"/>
              <w:rPr>
                <w:sz w:val="14"/>
                <w:szCs w:val="14"/>
                <w:color w:val="auto"/>
              </w:rPr>
            </w:pPr>
          </w:p>
        </w:tc>
      </w:tr>
      <w:tr>
        <w:trPr>
          <w:trHeight w:val="171"/>
        </w:trPr>
        <w:tc>
          <w:tcPr>
            <w:tcW w:w="40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tcPr>
          <w:p>
            <w:pPr>
              <w:spacing w:after="0"/>
              <w:rPr>
                <w:sz w:val="14"/>
                <w:szCs w:val="14"/>
                <w:color w:val="auto"/>
              </w:rPr>
            </w:pPr>
          </w:p>
        </w:tc>
      </w:tr>
      <w:tr>
        <w:trPr>
          <w:trHeight w:val="171"/>
        </w:trPr>
        <w:tc>
          <w:tcPr>
            <w:tcW w:w="2960" w:type="dxa"/>
            <w:vAlign w:val="bottom"/>
            <w:gridSpan w:val="2"/>
          </w:tcPr>
          <w:p>
            <w:pPr>
              <w:ind w:left="380"/>
              <w:spacing w:after="0"/>
              <w:rPr>
                <w:sz w:val="20"/>
                <w:szCs w:val="20"/>
                <w:color w:val="auto"/>
              </w:rPr>
            </w:pPr>
            <w:r>
              <w:rPr>
                <w:rFonts w:ascii="Arial" w:cs="Arial" w:eastAsia="Arial" w:hAnsi="Arial"/>
                <w:sz w:val="13"/>
                <w:szCs w:val="13"/>
                <w:color w:val="auto"/>
              </w:rPr>
              <w:t>U.S. treasury securities</w:t>
            </w:r>
          </w:p>
        </w:tc>
        <w:tc>
          <w:tcPr>
            <w:tcW w:w="5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84,420</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ind w:left="6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84,431</w:t>
            </w:r>
          </w:p>
        </w:tc>
        <w:tc>
          <w:tcPr>
            <w:tcW w:w="380" w:type="dxa"/>
            <w:vAlign w:val="bottom"/>
          </w:tcPr>
          <w:p>
            <w:pPr>
              <w:spacing w:after="0"/>
              <w:rPr>
                <w:sz w:val="14"/>
                <w:szCs w:val="14"/>
                <w:color w:val="auto"/>
              </w:rPr>
            </w:pPr>
          </w:p>
        </w:tc>
      </w:tr>
      <w:tr>
        <w:trPr>
          <w:trHeight w:val="171"/>
        </w:trPr>
        <w:tc>
          <w:tcPr>
            <w:tcW w:w="29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Corporate bonds</w:t>
            </w:r>
          </w:p>
        </w:tc>
        <w:tc>
          <w:tcPr>
            <w:tcW w:w="5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11,600</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11,600</w:t>
            </w:r>
          </w:p>
        </w:tc>
        <w:tc>
          <w:tcPr>
            <w:tcW w:w="380" w:type="dxa"/>
            <w:vAlign w:val="bottom"/>
          </w:tcPr>
          <w:p>
            <w:pPr>
              <w:spacing w:after="0"/>
              <w:rPr>
                <w:sz w:val="14"/>
                <w:szCs w:val="14"/>
                <w:color w:val="auto"/>
              </w:rPr>
            </w:pPr>
          </w:p>
        </w:tc>
      </w:tr>
      <w:tr>
        <w:trPr>
          <w:trHeight w:val="171"/>
        </w:trPr>
        <w:tc>
          <w:tcPr>
            <w:tcW w:w="2960" w:type="dxa"/>
            <w:vAlign w:val="bottom"/>
            <w:gridSpan w:val="2"/>
          </w:tcPr>
          <w:p>
            <w:pPr>
              <w:ind w:left="380"/>
              <w:spacing w:after="0"/>
              <w:rPr>
                <w:sz w:val="20"/>
                <w:szCs w:val="20"/>
                <w:color w:val="auto"/>
              </w:rPr>
            </w:pPr>
            <w:r>
              <w:rPr>
                <w:rFonts w:ascii="Arial" w:cs="Arial" w:eastAsia="Arial" w:hAnsi="Arial"/>
                <w:sz w:val="13"/>
                <w:szCs w:val="13"/>
                <w:color w:val="auto"/>
              </w:rPr>
              <w:t>Commercial paper</w:t>
            </w:r>
          </w:p>
        </w:tc>
        <w:tc>
          <w:tcPr>
            <w:tcW w:w="5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32,477</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ind w:left="6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32,477</w:t>
            </w:r>
          </w:p>
        </w:tc>
        <w:tc>
          <w:tcPr>
            <w:tcW w:w="380" w:type="dxa"/>
            <w:vAlign w:val="bottom"/>
          </w:tcPr>
          <w:p>
            <w:pPr>
              <w:spacing w:after="0"/>
              <w:rPr>
                <w:sz w:val="14"/>
                <w:szCs w:val="14"/>
                <w:color w:val="auto"/>
              </w:rPr>
            </w:pPr>
          </w:p>
        </w:tc>
      </w:tr>
      <w:tr>
        <w:trPr>
          <w:trHeight w:val="161"/>
        </w:trPr>
        <w:tc>
          <w:tcPr>
            <w:tcW w:w="400" w:type="dxa"/>
            <w:vAlign w:val="bottom"/>
            <w:tcBorders>
              <w:top w:val="single" w:sz="8" w:color="CCEEFF"/>
            </w:tcBorders>
            <w:shd w:val="clear" w:color="auto" w:fill="CCEEFF"/>
          </w:tcPr>
          <w:p>
            <w:pPr>
              <w:spacing w:after="0"/>
              <w:rPr>
                <w:sz w:val="14"/>
                <w:szCs w:val="14"/>
                <w:color w:val="auto"/>
              </w:rPr>
            </w:pPr>
          </w:p>
        </w:tc>
        <w:tc>
          <w:tcPr>
            <w:tcW w:w="25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Short-term investments</w:t>
            </w:r>
          </w:p>
        </w:tc>
        <w:tc>
          <w:tcPr>
            <w:tcW w:w="52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128,497</w:t>
            </w:r>
          </w:p>
        </w:tc>
        <w:tc>
          <w:tcPr>
            <w:tcW w:w="1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128,508</w:t>
            </w:r>
          </w:p>
        </w:tc>
        <w:tc>
          <w:tcPr>
            <w:tcW w:w="380" w:type="dxa"/>
            <w:vAlign w:val="bottom"/>
          </w:tcPr>
          <w:p>
            <w:pPr>
              <w:spacing w:after="0"/>
              <w:rPr>
                <w:sz w:val="14"/>
                <w:szCs w:val="14"/>
                <w:color w:val="auto"/>
              </w:rPr>
            </w:pPr>
          </w:p>
        </w:tc>
      </w:tr>
      <w:tr>
        <w:trPr>
          <w:trHeight w:val="161"/>
        </w:trPr>
        <w:tc>
          <w:tcPr>
            <w:tcW w:w="2960" w:type="dxa"/>
            <w:vAlign w:val="bottom"/>
            <w:gridSpan w:val="2"/>
          </w:tcPr>
          <w:p>
            <w:pPr>
              <w:ind w:left="380"/>
              <w:spacing w:after="0"/>
              <w:rPr>
                <w:sz w:val="20"/>
                <w:szCs w:val="20"/>
                <w:color w:val="auto"/>
              </w:rPr>
            </w:pPr>
            <w:r>
              <w:rPr>
                <w:rFonts w:ascii="Arial" w:cs="Arial" w:eastAsia="Arial" w:hAnsi="Arial"/>
                <w:sz w:val="13"/>
                <w:szCs w:val="13"/>
                <w:color w:val="auto"/>
              </w:rPr>
              <w:t>Total marketable securities</w:t>
            </w: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173,150</w:t>
            </w:r>
          </w:p>
        </w:tc>
        <w:tc>
          <w:tcPr>
            <w:tcW w:w="140" w:type="dxa"/>
            <w:vAlign w:val="bottom"/>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w w:val="82"/>
              </w:rPr>
              <w:t>$</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173,161</w:t>
            </w:r>
          </w:p>
        </w:tc>
        <w:tc>
          <w:tcPr>
            <w:tcW w:w="380" w:type="dxa"/>
            <w:vAlign w:val="bottom"/>
          </w:tcPr>
          <w:p>
            <w:pPr>
              <w:spacing w:after="0"/>
              <w:rPr>
                <w:sz w:val="14"/>
                <w:szCs w:val="14"/>
                <w:color w:val="auto"/>
              </w:rPr>
            </w:pPr>
          </w:p>
        </w:tc>
      </w:tr>
      <w:tr>
        <w:trPr>
          <w:trHeight w:val="20"/>
        </w:trPr>
        <w:tc>
          <w:tcPr>
            <w:tcW w:w="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774"/>
        </w:trPr>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jc w:val="center"/>
              <w:ind w:right="640"/>
              <w:spacing w:after="0"/>
              <w:rPr>
                <w:sz w:val="20"/>
                <w:szCs w:val="20"/>
                <w:color w:val="auto"/>
              </w:rPr>
            </w:pPr>
            <w:r>
              <w:rPr>
                <w:rFonts w:ascii="Arial" w:cs="Arial" w:eastAsia="Arial" w:hAnsi="Arial"/>
                <w:sz w:val="12"/>
                <w:szCs w:val="12"/>
                <w:b w:val="1"/>
                <w:bCs w:val="1"/>
                <w:color w:val="auto"/>
                <w:w w:val="88"/>
              </w:rPr>
              <w:t>December 31, 2020</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r>
        <w:trPr>
          <w:trHeight w:val="152"/>
        </w:trPr>
        <w:tc>
          <w:tcPr>
            <w:tcW w:w="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80" w:type="dxa"/>
            <w:vAlign w:val="bottom"/>
            <w:tcBorders>
              <w:bottom w:val="single" w:sz="8" w:color="auto"/>
            </w:tcBorders>
            <w:gridSpan w:val="4"/>
          </w:tcPr>
          <w:p>
            <w:pPr>
              <w:ind w:left="300"/>
              <w:spacing w:after="0"/>
              <w:rPr>
                <w:sz w:val="20"/>
                <w:szCs w:val="20"/>
                <w:color w:val="auto"/>
              </w:rPr>
            </w:pPr>
            <w:r>
              <w:rPr>
                <w:rFonts w:ascii="Arial" w:cs="Arial" w:eastAsia="Arial" w:hAnsi="Arial"/>
                <w:sz w:val="12"/>
                <w:szCs w:val="12"/>
                <w:b w:val="1"/>
                <w:bCs w:val="1"/>
                <w:color w:val="auto"/>
              </w:rPr>
              <w:t>Amortized Cost</w:t>
            </w:r>
          </w:p>
        </w:tc>
        <w:tc>
          <w:tcPr>
            <w:tcW w:w="1180" w:type="dxa"/>
            <w:vAlign w:val="bottom"/>
            <w:tcBorders>
              <w:bottom w:val="single" w:sz="8" w:color="auto"/>
            </w:tcBorders>
            <w:gridSpan w:val="3"/>
          </w:tcPr>
          <w:p>
            <w:pPr>
              <w:ind w:left="260"/>
              <w:spacing w:after="0"/>
              <w:rPr>
                <w:sz w:val="20"/>
                <w:szCs w:val="20"/>
                <w:color w:val="auto"/>
              </w:rPr>
            </w:pPr>
            <w:r>
              <w:rPr>
                <w:rFonts w:ascii="Arial" w:cs="Arial" w:eastAsia="Arial" w:hAnsi="Arial"/>
                <w:sz w:val="12"/>
                <w:szCs w:val="12"/>
                <w:b w:val="1"/>
                <w:bCs w:val="1"/>
                <w:color w:val="auto"/>
                <w:w w:val="92"/>
              </w:rPr>
              <w:t>Unrealized Gains</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260"/>
              <w:spacing w:after="0"/>
              <w:rPr>
                <w:sz w:val="20"/>
                <w:szCs w:val="20"/>
                <w:color w:val="auto"/>
              </w:rPr>
            </w:pPr>
            <w:r>
              <w:rPr>
                <w:rFonts w:ascii="Arial" w:cs="Arial" w:eastAsia="Arial" w:hAnsi="Arial"/>
                <w:sz w:val="12"/>
                <w:szCs w:val="12"/>
                <w:b w:val="1"/>
                <w:bCs w:val="1"/>
                <w:color w:val="auto"/>
                <w:w w:val="87"/>
              </w:rPr>
              <w:t>Unrealized Losses</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b w:val="1"/>
                <w:bCs w:val="1"/>
                <w:color w:val="auto"/>
                <w:w w:val="91"/>
              </w:rPr>
              <w:t>Aggregate Fair Value</w:t>
            </w:r>
          </w:p>
        </w:tc>
      </w:tr>
      <w:tr>
        <w:trPr>
          <w:trHeight w:val="151"/>
        </w:trPr>
        <w:tc>
          <w:tcPr>
            <w:tcW w:w="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6"/>
          </w:tcPr>
          <w:p>
            <w:pPr>
              <w:jc w:val="center"/>
              <w:ind w:right="640"/>
              <w:spacing w:after="0"/>
              <w:rPr>
                <w:sz w:val="20"/>
                <w:szCs w:val="20"/>
                <w:color w:val="auto"/>
              </w:rPr>
            </w:pPr>
            <w:r>
              <w:rPr>
                <w:rFonts w:ascii="Arial" w:cs="Arial" w:eastAsia="Arial" w:hAnsi="Arial"/>
                <w:sz w:val="12"/>
                <w:szCs w:val="12"/>
                <w:b w:val="1"/>
                <w:bCs w:val="1"/>
                <w:color w:val="auto"/>
                <w:w w:val="87"/>
              </w:rPr>
              <w:t>(in thousands)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73"/>
        </w:trPr>
        <w:tc>
          <w:tcPr>
            <w:tcW w:w="400" w:type="dxa"/>
            <w:vAlign w:val="bottom"/>
          </w:tcPr>
          <w:p>
            <w:pPr>
              <w:spacing w:after="0"/>
              <w:rPr>
                <w:sz w:val="15"/>
                <w:szCs w:val="15"/>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Money market funds</w:t>
            </w:r>
          </w:p>
        </w:tc>
        <w:tc>
          <w:tcPr>
            <w:tcW w:w="5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45,948</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35"/>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45,948</w:t>
            </w:r>
          </w:p>
        </w:tc>
      </w:tr>
      <w:tr>
        <w:trPr>
          <w:trHeight w:val="171"/>
        </w:trPr>
        <w:tc>
          <w:tcPr>
            <w:tcW w:w="40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Arial" w:cs="Arial" w:eastAsia="Arial" w:hAnsi="Arial"/>
                <w:sz w:val="13"/>
                <w:szCs w:val="13"/>
                <w:color w:val="auto"/>
              </w:rPr>
              <w:t>Commercial paper</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1,400</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1,400</w:t>
            </w:r>
          </w:p>
        </w:tc>
      </w:tr>
      <w:tr>
        <w:trPr>
          <w:trHeight w:val="161"/>
        </w:trPr>
        <w:tc>
          <w:tcPr>
            <w:tcW w:w="400" w:type="dxa"/>
            <w:vAlign w:val="bottom"/>
          </w:tcPr>
          <w:p>
            <w:pPr>
              <w:spacing w:after="0"/>
              <w:rPr>
                <w:sz w:val="14"/>
                <w:szCs w:val="14"/>
                <w:color w:val="auto"/>
              </w:rPr>
            </w:pPr>
          </w:p>
        </w:tc>
        <w:tc>
          <w:tcPr>
            <w:tcW w:w="2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Cash equivalents</w:t>
            </w:r>
          </w:p>
        </w:tc>
        <w:tc>
          <w:tcPr>
            <w:tcW w:w="5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47,348</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47,348</w:t>
            </w:r>
          </w:p>
        </w:tc>
      </w:tr>
      <w:tr>
        <w:trPr>
          <w:trHeight w:val="342"/>
        </w:trPr>
        <w:tc>
          <w:tcPr>
            <w:tcW w:w="400" w:type="dxa"/>
            <w:vAlign w:val="bottom"/>
          </w:tcPr>
          <w:p>
            <w:pPr>
              <w:spacing w:after="0"/>
              <w:rPr>
                <w:sz w:val="24"/>
                <w:szCs w:val="24"/>
                <w:color w:val="auto"/>
              </w:rPr>
            </w:pPr>
          </w:p>
        </w:tc>
        <w:tc>
          <w:tcPr>
            <w:tcW w:w="2560" w:type="dxa"/>
            <w:vAlign w:val="bottom"/>
          </w:tcPr>
          <w:p>
            <w:pPr>
              <w:ind w:left="20"/>
              <w:spacing w:after="0"/>
              <w:rPr>
                <w:sz w:val="20"/>
                <w:szCs w:val="20"/>
                <w:color w:val="auto"/>
              </w:rPr>
            </w:pPr>
            <w:r>
              <w:rPr>
                <w:rFonts w:ascii="Arial" w:cs="Arial" w:eastAsia="Arial" w:hAnsi="Arial"/>
                <w:sz w:val="13"/>
                <w:szCs w:val="13"/>
                <w:color w:val="auto"/>
              </w:rPr>
              <w:t>U.S. treasury securities</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74,779</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74,776</w:t>
            </w:r>
          </w:p>
        </w:tc>
      </w:tr>
      <w:tr>
        <w:trPr>
          <w:trHeight w:val="171"/>
        </w:trPr>
        <w:tc>
          <w:tcPr>
            <w:tcW w:w="400" w:type="dxa"/>
            <w:vAlign w:val="bottom"/>
          </w:tcPr>
          <w:p>
            <w:pPr>
              <w:spacing w:after="0"/>
              <w:rPr>
                <w:sz w:val="14"/>
                <w:szCs w:val="14"/>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bonds</w:t>
            </w:r>
          </w:p>
        </w:tc>
        <w:tc>
          <w:tcPr>
            <w:tcW w:w="5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8,938</w:t>
            </w:r>
          </w:p>
        </w:tc>
      </w:tr>
      <w:tr>
        <w:trPr>
          <w:trHeight w:val="171"/>
        </w:trPr>
        <w:tc>
          <w:tcPr>
            <w:tcW w:w="40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Arial" w:cs="Arial" w:eastAsia="Arial" w:hAnsi="Arial"/>
                <w:sz w:val="13"/>
                <w:szCs w:val="13"/>
                <w:color w:val="auto"/>
              </w:rPr>
              <w:t>Commercial paper</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59,137</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59,137</w:t>
            </w:r>
          </w:p>
        </w:tc>
      </w:tr>
      <w:tr>
        <w:trPr>
          <w:trHeight w:val="161"/>
        </w:trPr>
        <w:tc>
          <w:tcPr>
            <w:tcW w:w="400" w:type="dxa"/>
            <w:vAlign w:val="bottom"/>
          </w:tcPr>
          <w:p>
            <w:pPr>
              <w:spacing w:after="0"/>
              <w:rPr>
                <w:sz w:val="14"/>
                <w:szCs w:val="14"/>
                <w:color w:val="auto"/>
              </w:rPr>
            </w:pPr>
          </w:p>
        </w:tc>
        <w:tc>
          <w:tcPr>
            <w:tcW w:w="2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Short-term investments</w:t>
            </w:r>
          </w:p>
        </w:tc>
        <w:tc>
          <w:tcPr>
            <w:tcW w:w="5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142,856</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(13)</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142,851</w:t>
            </w:r>
          </w:p>
        </w:tc>
      </w:tr>
      <w:tr>
        <w:trPr>
          <w:trHeight w:val="161"/>
        </w:trPr>
        <w:tc>
          <w:tcPr>
            <w:tcW w:w="40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Arial" w:cs="Arial" w:eastAsia="Arial" w:hAnsi="Arial"/>
                <w:sz w:val="13"/>
                <w:szCs w:val="13"/>
                <w:color w:val="auto"/>
              </w:rPr>
              <w:t>Total marketable securities</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w w:val="82"/>
              </w:rPr>
              <w:t>$</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190,204</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535"/>
              <w:spacing w:after="0"/>
              <w:rPr>
                <w:sz w:val="20"/>
                <w:szCs w:val="20"/>
                <w:color w:val="auto"/>
              </w:rPr>
            </w:pPr>
            <w:r>
              <w:rPr>
                <w:rFonts w:ascii="Arial" w:cs="Arial" w:eastAsia="Arial" w:hAnsi="Arial"/>
                <w:sz w:val="13"/>
                <w:szCs w:val="13"/>
                <w:color w:val="auto"/>
                <w:w w:val="82"/>
              </w:rPr>
              <w:t>$</w:t>
            </w: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60" w:type="dxa"/>
            <w:vAlign w:val="bottom"/>
          </w:tcPr>
          <w:p>
            <w:pPr>
              <w:spacing w:after="0"/>
              <w:rPr>
                <w:sz w:val="14"/>
                <w:szCs w:val="14"/>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(13)</w:t>
            </w:r>
          </w:p>
        </w:tc>
        <w:tc>
          <w:tcPr>
            <w:tcW w:w="1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190,199</w:t>
            </w:r>
          </w:p>
        </w:tc>
      </w:tr>
      <w:tr>
        <w:trPr>
          <w:trHeight w:val="20"/>
        </w:trPr>
        <w:tc>
          <w:tcPr>
            <w:tcW w:w="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02"/>
        <w:spacing w:after="0" w:line="270" w:lineRule="auto"/>
        <w:rPr>
          <w:sz w:val="20"/>
          <w:szCs w:val="20"/>
          <w:color w:val="auto"/>
        </w:rPr>
      </w:pPr>
      <w:r>
        <w:rPr>
          <w:rFonts w:ascii="Arial" w:cs="Arial" w:eastAsia="Arial" w:hAnsi="Arial"/>
          <w:sz w:val="13"/>
          <w:szCs w:val="13"/>
          <w:color w:val="auto"/>
        </w:rPr>
        <w:t>Unrealized gains and losses on available-for-sale securities are recorded in accumulated other comprehensive income (loss) on the condensed consolidated balance sheets. The Company evaluates its investments to assess whether those in unrealized loss positions are other-than-temporarily impaired. The Company considers impairments to be other-than-temporary if it is related to deterioration in credit risk or if it is likely the Company will sell the securities before the recovery of their cost basis. The Company did not identify any of its marketable securities as other-than-temporarily impaired as of June 30, 2021 or December 31, 2020.</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167640</wp:posOffset>
            </wp:positionV>
            <wp:extent cx="719264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SI-BONE,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Fair Value Measurement</w:t>
      </w:r>
    </w:p>
    <w:p>
      <w:pPr>
        <w:spacing w:after="0" w:line="175" w:lineRule="exact"/>
        <w:rPr>
          <w:sz w:val="20"/>
          <w:szCs w:val="20"/>
          <w:color w:val="auto"/>
        </w:rPr>
      </w:pPr>
    </w:p>
    <w:p>
      <w:pPr>
        <w:jc w:val="both"/>
        <w:ind w:firstLine="332"/>
        <w:spacing w:after="0" w:line="309" w:lineRule="auto"/>
        <w:rPr>
          <w:sz w:val="20"/>
          <w:szCs w:val="20"/>
          <w:color w:val="auto"/>
        </w:rPr>
      </w:pPr>
      <w:r>
        <w:rPr>
          <w:rFonts w:ascii="Arial" w:cs="Arial" w:eastAsia="Arial" w:hAnsi="Arial"/>
          <w:sz w:val="12"/>
          <w:szCs w:val="12"/>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or liabilities that required fair value hierarchy measurements and disclosures for the periods presented.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table below summarizes the fair value of the Company’s marketable securities measured at fair value on a recurring basis based on the three-tier fair value hierarchy: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center"/>
              <w:ind w:right="455"/>
              <w:spacing w:after="0"/>
              <w:rPr>
                <w:sz w:val="20"/>
                <w:szCs w:val="20"/>
                <w:color w:val="auto"/>
              </w:rPr>
            </w:pPr>
            <w:r>
              <w:rPr>
                <w:rFonts w:ascii="Arial" w:cs="Arial" w:eastAsia="Arial" w:hAnsi="Arial"/>
                <w:sz w:val="12"/>
                <w:szCs w:val="12"/>
                <w:b w:val="1"/>
                <w:bCs w:val="1"/>
                <w:color w:val="auto"/>
                <w:w w:val="89"/>
              </w:rPr>
              <w:t>June 30, 2021</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r>
      <w:tr>
        <w:trPr>
          <w:trHeight w:val="152"/>
        </w:trPr>
        <w:tc>
          <w:tcPr>
            <w:tcW w:w="3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Level 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2</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2"/>
                <w:szCs w:val="12"/>
                <w:b w:val="1"/>
                <w:bCs w:val="1"/>
                <w:color w:val="auto"/>
              </w:rPr>
              <w:t>Level 3</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2"/>
                <w:szCs w:val="12"/>
                <w:b w:val="1"/>
                <w:bCs w:val="1"/>
                <w:color w:val="auto"/>
              </w:rPr>
              <w:t>Total</w:t>
            </w:r>
          </w:p>
        </w:tc>
        <w:tc>
          <w:tcPr>
            <w:tcW w:w="360" w:type="dxa"/>
            <w:vAlign w:val="bottom"/>
          </w:tcPr>
          <w:p>
            <w:pPr>
              <w:spacing w:after="0"/>
              <w:rPr>
                <w:sz w:val="13"/>
                <w:szCs w:val="13"/>
                <w:color w:val="auto"/>
              </w:rPr>
            </w:pPr>
          </w:p>
        </w:tc>
      </w:tr>
      <w:tr>
        <w:trPr>
          <w:trHeight w:val="151"/>
        </w:trPr>
        <w:tc>
          <w:tcPr>
            <w:tcW w:w="3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740" w:type="dxa"/>
            <w:vAlign w:val="bottom"/>
            <w:gridSpan w:val="3"/>
          </w:tcPr>
          <w:p>
            <w:pPr>
              <w:jc w:val="center"/>
              <w:ind w:right="455"/>
              <w:spacing w:after="0"/>
              <w:rPr>
                <w:sz w:val="20"/>
                <w:szCs w:val="20"/>
                <w:color w:val="auto"/>
              </w:rPr>
            </w:pPr>
            <w:r>
              <w:rPr>
                <w:rFonts w:ascii="Arial" w:cs="Arial" w:eastAsia="Arial" w:hAnsi="Arial"/>
                <w:sz w:val="12"/>
                <w:szCs w:val="12"/>
                <w:b w:val="1"/>
                <w:bCs w:val="1"/>
                <w:color w:val="auto"/>
                <w:w w:val="89"/>
              </w:rPr>
              <w:t>(in thousands)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73"/>
        </w:trPr>
        <w:tc>
          <w:tcPr>
            <w:tcW w:w="340" w:type="dxa"/>
            <w:vAlign w:val="bottom"/>
          </w:tcPr>
          <w:p>
            <w:pPr>
              <w:spacing w:after="0"/>
              <w:rPr>
                <w:sz w:val="15"/>
                <w:szCs w:val="15"/>
                <w:color w:val="auto"/>
              </w:rPr>
            </w:pPr>
          </w:p>
        </w:tc>
        <w:tc>
          <w:tcPr>
            <w:tcW w:w="4060" w:type="dxa"/>
            <w:vAlign w:val="bottom"/>
            <w:shd w:val="clear" w:color="auto" w:fill="CCEEFF"/>
          </w:tcPr>
          <w:p>
            <w:pPr>
              <w:jc w:val="center"/>
              <w:ind w:right="2673"/>
              <w:spacing w:after="0"/>
              <w:rPr>
                <w:sz w:val="20"/>
                <w:szCs w:val="20"/>
                <w:color w:val="auto"/>
              </w:rPr>
            </w:pPr>
            <w:r>
              <w:rPr>
                <w:rFonts w:ascii="Arial" w:cs="Arial" w:eastAsia="Arial" w:hAnsi="Arial"/>
                <w:sz w:val="13"/>
                <w:szCs w:val="13"/>
                <w:b w:val="1"/>
                <w:bCs w:val="1"/>
                <w:color w:val="auto"/>
                <w:w w:val="93"/>
              </w:rPr>
              <w:t>Marketable securities</w:t>
            </w: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tcPr>
          <w:p>
            <w:pPr>
              <w:spacing w:after="0"/>
              <w:rPr>
                <w:sz w:val="15"/>
                <w:szCs w:val="15"/>
                <w:color w:val="auto"/>
              </w:rPr>
            </w:pPr>
          </w:p>
        </w:tc>
      </w:tr>
      <w:tr>
        <w:trPr>
          <w:trHeight w:val="171"/>
        </w:trPr>
        <w:tc>
          <w:tcPr>
            <w:tcW w:w="340" w:type="dxa"/>
            <w:vAlign w:val="bottom"/>
          </w:tcPr>
          <w:p>
            <w:pPr>
              <w:spacing w:after="0"/>
              <w:rPr>
                <w:sz w:val="14"/>
                <w:szCs w:val="14"/>
                <w:color w:val="auto"/>
              </w:rPr>
            </w:pPr>
          </w:p>
        </w:tc>
        <w:tc>
          <w:tcPr>
            <w:tcW w:w="4060" w:type="dxa"/>
            <w:vAlign w:val="bottom"/>
          </w:tcPr>
          <w:p>
            <w:pPr>
              <w:jc w:val="center"/>
              <w:ind w:right="2673"/>
              <w:spacing w:after="0"/>
              <w:rPr>
                <w:sz w:val="20"/>
                <w:szCs w:val="20"/>
                <w:color w:val="auto"/>
              </w:rPr>
            </w:pPr>
            <w:r>
              <w:rPr>
                <w:rFonts w:ascii="Arial" w:cs="Arial" w:eastAsia="Arial" w:hAnsi="Arial"/>
                <w:sz w:val="13"/>
                <w:szCs w:val="13"/>
                <w:color w:val="auto"/>
                <w:w w:val="95"/>
              </w:rPr>
              <w:t>Money market funds</w:t>
            </w:r>
          </w:p>
        </w:tc>
        <w:tc>
          <w:tcPr>
            <w:tcW w:w="6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44,653</w:t>
            </w:r>
          </w:p>
        </w:tc>
        <w:tc>
          <w:tcPr>
            <w:tcW w:w="100" w:type="dxa"/>
            <w:vAlign w:val="bottom"/>
          </w:tcPr>
          <w:p>
            <w:pPr>
              <w:spacing w:after="0"/>
              <w:rPr>
                <w:sz w:val="14"/>
                <w:szCs w:val="14"/>
                <w:color w:val="auto"/>
              </w:rPr>
            </w:pPr>
          </w:p>
        </w:tc>
        <w:tc>
          <w:tcPr>
            <w:tcW w:w="1140" w:type="dxa"/>
            <w:vAlign w:val="bottom"/>
          </w:tcPr>
          <w:p>
            <w:pPr>
              <w:jc w:val="right"/>
              <w:ind w:right="675"/>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55"/>
              <w:spacing w:after="0"/>
              <w:rPr>
                <w:sz w:val="20"/>
                <w:szCs w:val="20"/>
                <w:color w:val="auto"/>
              </w:rPr>
            </w:pPr>
            <w:r>
              <w:rPr>
                <w:rFonts w:ascii="Arial" w:cs="Arial" w:eastAsia="Arial" w:hAnsi="Arial"/>
                <w:sz w:val="13"/>
                <w:szCs w:val="13"/>
                <w:color w:val="auto"/>
              </w:rPr>
              <w:t>$</w:t>
            </w:r>
          </w:p>
        </w:tc>
        <w:tc>
          <w:tcPr>
            <w:tcW w:w="3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44,653</w:t>
            </w:r>
          </w:p>
        </w:tc>
        <w:tc>
          <w:tcPr>
            <w:tcW w:w="36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U.S. treasury securities</w:t>
            </w: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84,431</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84,431</w:t>
            </w:r>
          </w:p>
        </w:tc>
        <w:tc>
          <w:tcPr>
            <w:tcW w:w="36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4060" w:type="dxa"/>
            <w:vAlign w:val="bottom"/>
          </w:tcPr>
          <w:p>
            <w:pPr>
              <w:ind w:left="420"/>
              <w:spacing w:after="0"/>
              <w:rPr>
                <w:sz w:val="20"/>
                <w:szCs w:val="20"/>
                <w:color w:val="auto"/>
              </w:rPr>
            </w:pPr>
            <w:r>
              <w:rPr>
                <w:rFonts w:ascii="Arial" w:cs="Arial" w:eastAsia="Arial" w:hAnsi="Arial"/>
                <w:sz w:val="13"/>
                <w:szCs w:val="13"/>
                <w:color w:val="auto"/>
              </w:rPr>
              <w:t>Corporate bonds</w:t>
            </w:r>
          </w:p>
        </w:tc>
        <w:tc>
          <w:tcPr>
            <w:tcW w:w="6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85"/>
              </w:rPr>
              <w:t>11,600</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11,600</w:t>
            </w:r>
          </w:p>
        </w:tc>
        <w:tc>
          <w:tcPr>
            <w:tcW w:w="36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Commercial paper</w:t>
            </w:r>
          </w:p>
        </w:tc>
        <w:tc>
          <w:tcPr>
            <w:tcW w:w="6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32,477</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32,477</w:t>
            </w:r>
          </w:p>
        </w:tc>
        <w:tc>
          <w:tcPr>
            <w:tcW w:w="360" w:type="dxa"/>
            <w:vAlign w:val="bottom"/>
          </w:tcPr>
          <w:p>
            <w:pPr>
              <w:spacing w:after="0"/>
              <w:rPr>
                <w:sz w:val="14"/>
                <w:szCs w:val="14"/>
                <w:color w:val="auto"/>
              </w:rPr>
            </w:pPr>
          </w:p>
        </w:tc>
      </w:tr>
      <w:tr>
        <w:trPr>
          <w:trHeight w:val="161"/>
        </w:trPr>
        <w:tc>
          <w:tcPr>
            <w:tcW w:w="340" w:type="dxa"/>
            <w:vAlign w:val="bottom"/>
          </w:tcPr>
          <w:p>
            <w:pPr>
              <w:spacing w:after="0"/>
              <w:rPr>
                <w:sz w:val="14"/>
                <w:szCs w:val="14"/>
                <w:color w:val="auto"/>
              </w:rPr>
            </w:pPr>
          </w:p>
        </w:tc>
        <w:tc>
          <w:tcPr>
            <w:tcW w:w="4060" w:type="dxa"/>
            <w:vAlign w:val="bottom"/>
          </w:tcPr>
          <w:p>
            <w:pPr>
              <w:ind w:left="580"/>
              <w:spacing w:after="0"/>
              <w:rPr>
                <w:sz w:val="20"/>
                <w:szCs w:val="20"/>
                <w:color w:val="auto"/>
              </w:rPr>
            </w:pPr>
            <w:r>
              <w:rPr>
                <w:rFonts w:ascii="Arial" w:cs="Arial" w:eastAsia="Arial" w:hAnsi="Arial"/>
                <w:sz w:val="13"/>
                <w:szCs w:val="13"/>
                <w:color w:val="auto"/>
              </w:rPr>
              <w:t>Total marketable securities</w:t>
            </w:r>
          </w:p>
        </w:tc>
        <w:tc>
          <w:tcPr>
            <w:tcW w:w="6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129,084</w:t>
            </w: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5"/>
              </w:rPr>
              <w:t>44,077</w:t>
            </w:r>
          </w:p>
        </w:tc>
        <w:tc>
          <w:tcPr>
            <w:tcW w:w="10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755"/>
              <w:spacing w:after="0"/>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173,161</w:t>
            </w:r>
          </w:p>
        </w:tc>
        <w:tc>
          <w:tcPr>
            <w:tcW w:w="360" w:type="dxa"/>
            <w:vAlign w:val="bottom"/>
          </w:tcPr>
          <w:p>
            <w:pPr>
              <w:spacing w:after="0"/>
              <w:rPr>
                <w:sz w:val="14"/>
                <w:szCs w:val="14"/>
                <w:color w:val="auto"/>
              </w:rPr>
            </w:pPr>
          </w:p>
        </w:tc>
      </w:tr>
      <w:tr>
        <w:trPr>
          <w:trHeight w:val="20"/>
        </w:trPr>
        <w:tc>
          <w:tcPr>
            <w:tcW w:w="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51"/>
        </w:trPr>
        <w:tc>
          <w:tcPr>
            <w:tcW w:w="3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right="455"/>
              <w:spacing w:after="0"/>
              <w:rPr>
                <w:sz w:val="20"/>
                <w:szCs w:val="20"/>
                <w:color w:val="auto"/>
              </w:rPr>
            </w:pPr>
            <w:r>
              <w:rPr>
                <w:rFonts w:ascii="Arial" w:cs="Arial" w:eastAsia="Arial" w:hAnsi="Arial"/>
                <w:sz w:val="12"/>
                <w:szCs w:val="12"/>
                <w:b w:val="1"/>
                <w:bCs w:val="1"/>
                <w:color w:val="auto"/>
                <w:w w:val="90"/>
              </w:rPr>
              <w:t>December 31, 2020</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r>
        <w:trPr>
          <w:trHeight w:val="152"/>
        </w:trPr>
        <w:tc>
          <w:tcPr>
            <w:tcW w:w="3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Level 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2</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2"/>
                <w:szCs w:val="12"/>
                <w:b w:val="1"/>
                <w:bCs w:val="1"/>
                <w:color w:val="auto"/>
              </w:rPr>
              <w:t>Level 3</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2"/>
                <w:szCs w:val="12"/>
                <w:b w:val="1"/>
                <w:bCs w:val="1"/>
                <w:color w:val="auto"/>
              </w:rPr>
              <w:t>Total</w:t>
            </w:r>
          </w:p>
        </w:tc>
        <w:tc>
          <w:tcPr>
            <w:tcW w:w="360" w:type="dxa"/>
            <w:vAlign w:val="bottom"/>
          </w:tcPr>
          <w:p>
            <w:pPr>
              <w:spacing w:after="0"/>
              <w:rPr>
                <w:sz w:val="13"/>
                <w:szCs w:val="13"/>
                <w:color w:val="auto"/>
              </w:rPr>
            </w:pPr>
          </w:p>
        </w:tc>
      </w:tr>
      <w:tr>
        <w:trPr>
          <w:trHeight w:val="151"/>
        </w:trPr>
        <w:tc>
          <w:tcPr>
            <w:tcW w:w="3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740" w:type="dxa"/>
            <w:vAlign w:val="bottom"/>
            <w:gridSpan w:val="3"/>
          </w:tcPr>
          <w:p>
            <w:pPr>
              <w:jc w:val="center"/>
              <w:ind w:right="455"/>
              <w:spacing w:after="0"/>
              <w:rPr>
                <w:sz w:val="20"/>
                <w:szCs w:val="20"/>
                <w:color w:val="auto"/>
              </w:rPr>
            </w:pPr>
            <w:r>
              <w:rPr>
                <w:rFonts w:ascii="Arial" w:cs="Arial" w:eastAsia="Arial" w:hAnsi="Arial"/>
                <w:sz w:val="12"/>
                <w:szCs w:val="12"/>
                <w:b w:val="1"/>
                <w:bCs w:val="1"/>
                <w:color w:val="auto"/>
                <w:w w:val="89"/>
              </w:rPr>
              <w:t>(in thousands)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73"/>
        </w:trPr>
        <w:tc>
          <w:tcPr>
            <w:tcW w:w="340" w:type="dxa"/>
            <w:vAlign w:val="bottom"/>
          </w:tcPr>
          <w:p>
            <w:pPr>
              <w:spacing w:after="0"/>
              <w:rPr>
                <w:sz w:val="15"/>
                <w:szCs w:val="15"/>
                <w:color w:val="auto"/>
              </w:rPr>
            </w:pPr>
          </w:p>
        </w:tc>
        <w:tc>
          <w:tcPr>
            <w:tcW w:w="4060" w:type="dxa"/>
            <w:vAlign w:val="bottom"/>
            <w:shd w:val="clear" w:color="auto" w:fill="CCEEFF"/>
          </w:tcPr>
          <w:p>
            <w:pPr>
              <w:jc w:val="center"/>
              <w:ind w:right="2673"/>
              <w:spacing w:after="0"/>
              <w:rPr>
                <w:sz w:val="20"/>
                <w:szCs w:val="20"/>
                <w:color w:val="auto"/>
              </w:rPr>
            </w:pPr>
            <w:r>
              <w:rPr>
                <w:rFonts w:ascii="Arial" w:cs="Arial" w:eastAsia="Arial" w:hAnsi="Arial"/>
                <w:sz w:val="13"/>
                <w:szCs w:val="13"/>
                <w:b w:val="1"/>
                <w:bCs w:val="1"/>
                <w:color w:val="auto"/>
                <w:w w:val="93"/>
              </w:rPr>
              <w:t>Marketable securities</w:t>
            </w: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tcPr>
          <w:p>
            <w:pPr>
              <w:spacing w:after="0"/>
              <w:rPr>
                <w:sz w:val="15"/>
                <w:szCs w:val="15"/>
                <w:color w:val="auto"/>
              </w:rPr>
            </w:pPr>
          </w:p>
        </w:tc>
      </w:tr>
      <w:tr>
        <w:trPr>
          <w:trHeight w:val="171"/>
        </w:trPr>
        <w:tc>
          <w:tcPr>
            <w:tcW w:w="340" w:type="dxa"/>
            <w:vAlign w:val="bottom"/>
          </w:tcPr>
          <w:p>
            <w:pPr>
              <w:spacing w:after="0"/>
              <w:rPr>
                <w:sz w:val="14"/>
                <w:szCs w:val="14"/>
                <w:color w:val="auto"/>
              </w:rPr>
            </w:pPr>
          </w:p>
        </w:tc>
        <w:tc>
          <w:tcPr>
            <w:tcW w:w="4060" w:type="dxa"/>
            <w:vAlign w:val="bottom"/>
          </w:tcPr>
          <w:p>
            <w:pPr>
              <w:jc w:val="center"/>
              <w:ind w:right="2673"/>
              <w:spacing w:after="0"/>
              <w:rPr>
                <w:sz w:val="20"/>
                <w:szCs w:val="20"/>
                <w:color w:val="auto"/>
              </w:rPr>
            </w:pPr>
            <w:r>
              <w:rPr>
                <w:rFonts w:ascii="Arial" w:cs="Arial" w:eastAsia="Arial" w:hAnsi="Arial"/>
                <w:sz w:val="13"/>
                <w:szCs w:val="13"/>
                <w:color w:val="auto"/>
                <w:w w:val="95"/>
              </w:rPr>
              <w:t>Money market funds</w:t>
            </w:r>
          </w:p>
        </w:tc>
        <w:tc>
          <w:tcPr>
            <w:tcW w:w="6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45,948</w:t>
            </w:r>
          </w:p>
        </w:tc>
        <w:tc>
          <w:tcPr>
            <w:tcW w:w="100" w:type="dxa"/>
            <w:vAlign w:val="bottom"/>
          </w:tcPr>
          <w:p>
            <w:pPr>
              <w:spacing w:after="0"/>
              <w:rPr>
                <w:sz w:val="14"/>
                <w:szCs w:val="14"/>
                <w:color w:val="auto"/>
              </w:rPr>
            </w:pPr>
          </w:p>
        </w:tc>
        <w:tc>
          <w:tcPr>
            <w:tcW w:w="1140" w:type="dxa"/>
            <w:vAlign w:val="bottom"/>
          </w:tcPr>
          <w:p>
            <w:pPr>
              <w:jc w:val="right"/>
              <w:ind w:right="675"/>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55"/>
              <w:spacing w:after="0"/>
              <w:rPr>
                <w:sz w:val="20"/>
                <w:szCs w:val="20"/>
                <w:color w:val="auto"/>
              </w:rPr>
            </w:pPr>
            <w:r>
              <w:rPr>
                <w:rFonts w:ascii="Arial" w:cs="Arial" w:eastAsia="Arial" w:hAnsi="Arial"/>
                <w:sz w:val="13"/>
                <w:szCs w:val="13"/>
                <w:color w:val="auto"/>
              </w:rPr>
              <w:t>$</w:t>
            </w:r>
          </w:p>
        </w:tc>
        <w:tc>
          <w:tcPr>
            <w:tcW w:w="3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45,948</w:t>
            </w:r>
          </w:p>
        </w:tc>
        <w:tc>
          <w:tcPr>
            <w:tcW w:w="36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U.S. treasury securities</w:t>
            </w: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74,776</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74,776</w:t>
            </w:r>
          </w:p>
        </w:tc>
        <w:tc>
          <w:tcPr>
            <w:tcW w:w="36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4060" w:type="dxa"/>
            <w:vAlign w:val="bottom"/>
          </w:tcPr>
          <w:p>
            <w:pPr>
              <w:ind w:left="420"/>
              <w:spacing w:after="0"/>
              <w:rPr>
                <w:sz w:val="20"/>
                <w:szCs w:val="20"/>
                <w:color w:val="auto"/>
              </w:rPr>
            </w:pPr>
            <w:r>
              <w:rPr>
                <w:rFonts w:ascii="Arial" w:cs="Arial" w:eastAsia="Arial" w:hAnsi="Arial"/>
                <w:sz w:val="13"/>
                <w:szCs w:val="13"/>
                <w:color w:val="auto"/>
              </w:rPr>
              <w:t>Corporate bonds</w:t>
            </w:r>
          </w:p>
        </w:tc>
        <w:tc>
          <w:tcPr>
            <w:tcW w:w="6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8,938</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8,938</w:t>
            </w:r>
          </w:p>
        </w:tc>
        <w:tc>
          <w:tcPr>
            <w:tcW w:w="36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Commercial paper</w:t>
            </w:r>
          </w:p>
        </w:tc>
        <w:tc>
          <w:tcPr>
            <w:tcW w:w="6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60,537</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60,537</w:t>
            </w:r>
          </w:p>
        </w:tc>
        <w:tc>
          <w:tcPr>
            <w:tcW w:w="360" w:type="dxa"/>
            <w:vAlign w:val="bottom"/>
          </w:tcPr>
          <w:p>
            <w:pPr>
              <w:spacing w:after="0"/>
              <w:rPr>
                <w:sz w:val="14"/>
                <w:szCs w:val="14"/>
                <w:color w:val="auto"/>
              </w:rPr>
            </w:pPr>
          </w:p>
        </w:tc>
      </w:tr>
      <w:tr>
        <w:trPr>
          <w:trHeight w:val="161"/>
        </w:trPr>
        <w:tc>
          <w:tcPr>
            <w:tcW w:w="340" w:type="dxa"/>
            <w:vAlign w:val="bottom"/>
          </w:tcPr>
          <w:p>
            <w:pPr>
              <w:spacing w:after="0"/>
              <w:rPr>
                <w:sz w:val="14"/>
                <w:szCs w:val="14"/>
                <w:color w:val="auto"/>
              </w:rPr>
            </w:pPr>
          </w:p>
        </w:tc>
        <w:tc>
          <w:tcPr>
            <w:tcW w:w="4060" w:type="dxa"/>
            <w:vAlign w:val="bottom"/>
          </w:tcPr>
          <w:p>
            <w:pPr>
              <w:ind w:left="580"/>
              <w:spacing w:after="0"/>
              <w:rPr>
                <w:sz w:val="20"/>
                <w:szCs w:val="20"/>
                <w:color w:val="auto"/>
              </w:rPr>
            </w:pPr>
            <w:r>
              <w:rPr>
                <w:rFonts w:ascii="Arial" w:cs="Arial" w:eastAsia="Arial" w:hAnsi="Arial"/>
                <w:sz w:val="13"/>
                <w:szCs w:val="13"/>
                <w:color w:val="auto"/>
              </w:rPr>
              <w:t>Total marketable securities</w:t>
            </w:r>
          </w:p>
        </w:tc>
        <w:tc>
          <w:tcPr>
            <w:tcW w:w="6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120,724</w:t>
            </w: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5"/>
              </w:rPr>
              <w:t>69,475</w:t>
            </w:r>
          </w:p>
        </w:tc>
        <w:tc>
          <w:tcPr>
            <w:tcW w:w="10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755"/>
              <w:spacing w:after="0"/>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190,199</w:t>
            </w:r>
          </w:p>
        </w:tc>
        <w:tc>
          <w:tcPr>
            <w:tcW w:w="360" w:type="dxa"/>
            <w:vAlign w:val="bottom"/>
          </w:tcPr>
          <w:p>
            <w:pPr>
              <w:spacing w:after="0"/>
              <w:rPr>
                <w:sz w:val="14"/>
                <w:szCs w:val="14"/>
                <w:color w:val="auto"/>
              </w:rPr>
            </w:pPr>
          </w:p>
        </w:tc>
      </w:tr>
      <w:tr>
        <w:trPr>
          <w:trHeight w:val="20"/>
        </w:trPr>
        <w:tc>
          <w:tcPr>
            <w:tcW w:w="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695"/>
        </w:trPr>
        <w:tc>
          <w:tcPr>
            <w:tcW w:w="3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jc w:val="right"/>
              <w:ind w:right="194"/>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62"/>
        </w:trPr>
        <w:tc>
          <w:tcPr>
            <w:tcW w:w="340" w:type="dxa"/>
            <w:vAlign w:val="bottom"/>
            <w:tcBorders>
              <w:bottom w:val="single" w:sz="8" w:color="9A9A9A"/>
            </w:tcBorders>
          </w:tcPr>
          <w:p>
            <w:pPr>
              <w:spacing w:after="0"/>
              <w:rPr>
                <w:sz w:val="22"/>
                <w:szCs w:val="22"/>
                <w:color w:val="auto"/>
              </w:rPr>
            </w:pPr>
          </w:p>
        </w:tc>
        <w:tc>
          <w:tcPr>
            <w:tcW w:w="4060" w:type="dxa"/>
            <w:vAlign w:val="bottom"/>
            <w:tcBorders>
              <w:bottom w:val="single" w:sz="8" w:color="9A9A9A"/>
            </w:tcBorders>
          </w:tcPr>
          <w:p>
            <w:pPr>
              <w:spacing w:after="0"/>
              <w:rPr>
                <w:sz w:val="22"/>
                <w:szCs w:val="22"/>
                <w:color w:val="auto"/>
              </w:rPr>
            </w:pPr>
          </w:p>
        </w:tc>
        <w:tc>
          <w:tcPr>
            <w:tcW w:w="600" w:type="dxa"/>
            <w:vAlign w:val="bottom"/>
            <w:tcBorders>
              <w:bottom w:val="single" w:sz="8" w:color="9A9A9A"/>
            </w:tcBorders>
          </w:tcPr>
          <w:p>
            <w:pPr>
              <w:spacing w:after="0"/>
              <w:rPr>
                <w:sz w:val="22"/>
                <w:szCs w:val="22"/>
                <w:color w:val="auto"/>
              </w:rPr>
            </w:pPr>
          </w:p>
        </w:tc>
        <w:tc>
          <w:tcPr>
            <w:tcW w:w="98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140" w:type="dxa"/>
            <w:vAlign w:val="bottom"/>
            <w:tcBorders>
              <w:bottom w:val="single" w:sz="8" w:color="9A9A9A"/>
            </w:tcBorders>
          </w:tcPr>
          <w:p>
            <w:pPr>
              <w:spacing w:after="0"/>
              <w:rPr>
                <w:sz w:val="22"/>
                <w:szCs w:val="22"/>
                <w:color w:val="auto"/>
              </w:rPr>
            </w:pPr>
          </w:p>
        </w:tc>
        <w:tc>
          <w:tcPr>
            <w:tcW w:w="4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220" w:type="dxa"/>
            <w:vAlign w:val="bottom"/>
            <w:tcBorders>
              <w:bottom w:val="single" w:sz="8" w:color="9A9A9A"/>
            </w:tcBorders>
          </w:tcPr>
          <w:p>
            <w:pPr>
              <w:spacing w:after="0"/>
              <w:rPr>
                <w:sz w:val="22"/>
                <w:szCs w:val="22"/>
                <w:color w:val="auto"/>
              </w:rPr>
            </w:pPr>
          </w:p>
        </w:tc>
        <w:tc>
          <w:tcPr>
            <w:tcW w:w="30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620" w:type="dxa"/>
            <w:vAlign w:val="bottom"/>
            <w:tcBorders>
              <w:bottom w:val="single" w:sz="8" w:color="9A9A9A"/>
            </w:tcBorders>
          </w:tcPr>
          <w:p>
            <w:pPr>
              <w:spacing w:after="0"/>
              <w:rPr>
                <w:sz w:val="22"/>
                <w:szCs w:val="22"/>
                <w:color w:val="auto"/>
              </w:rPr>
            </w:pPr>
          </w:p>
        </w:tc>
        <w:tc>
          <w:tcPr>
            <w:tcW w:w="96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SI-BONE,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363" w:lineRule="exact"/>
        <w:rPr>
          <w:sz w:val="20"/>
          <w:szCs w:val="20"/>
          <w:color w:val="auto"/>
        </w:rPr>
      </w:pPr>
    </w:p>
    <w:p>
      <w:pPr>
        <w:ind w:left="340" w:right="9580" w:hanging="339"/>
        <w:spacing w:after="0" w:line="422" w:lineRule="auto"/>
        <w:tabs>
          <w:tab w:leader="none" w:pos="142" w:val="left"/>
        </w:tabs>
        <w:numPr>
          <w:ilvl w:val="0"/>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Balance Sheet Components </w:t>
      </w:r>
      <w:r>
        <w:rPr>
          <w:rFonts w:ascii="Arial" w:cs="Arial" w:eastAsia="Arial" w:hAnsi="Arial"/>
          <w:sz w:val="12"/>
          <w:szCs w:val="12"/>
          <w:b w:val="1"/>
          <w:bCs w:val="1"/>
          <w:i w:val="1"/>
          <w:iCs w:val="1"/>
          <w:color w:val="auto"/>
        </w:rPr>
        <w:t>Inventory</w:t>
      </w:r>
    </w:p>
    <w:p>
      <w:pPr>
        <w:ind w:left="340"/>
        <w:spacing w:after="0"/>
        <w:rPr>
          <w:rFonts w:ascii="Arial" w:cs="Arial" w:eastAsia="Arial" w:hAnsi="Arial"/>
          <w:sz w:val="12"/>
          <w:szCs w:val="12"/>
          <w:b w:val="1"/>
          <w:bCs w:val="1"/>
          <w:color w:val="auto"/>
        </w:rPr>
      </w:pPr>
      <w:r>
        <w:rPr>
          <w:rFonts w:ascii="Arial" w:cs="Arial" w:eastAsia="Arial" w:hAnsi="Arial"/>
          <w:sz w:val="13"/>
          <w:szCs w:val="13"/>
          <w:color w:val="auto"/>
        </w:rPr>
        <w:t>As of June 30, 2021 and December 31, 2020, inventory consisted entirely of finished goods.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Property and Equipment, net:</w:t>
      </w:r>
    </w:p>
    <w:p>
      <w:pPr>
        <w:spacing w:after="0" w:line="203" w:lineRule="exact"/>
        <w:rPr>
          <w:sz w:val="20"/>
          <w:szCs w:val="20"/>
          <w:color w:val="auto"/>
        </w:rPr>
      </w:pPr>
    </w:p>
    <w:tbl>
      <w:tblPr>
        <w:tblLayout w:type="fixed"/>
        <w:tblInd w:w="480" w:type="dxa"/>
        <w:tblCellMar>
          <w:top w:w="0" w:type="dxa"/>
          <w:left w:w="0" w:type="dxa"/>
          <w:bottom w:w="0" w:type="dxa"/>
          <w:right w:w="0" w:type="dxa"/>
        </w:tblCellMar>
      </w:tblPr>
      <w:tr>
        <w:trPr>
          <w:trHeight w:val="160"/>
        </w:trPr>
        <w:tc>
          <w:tcPr>
            <w:tcW w:w="64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June 30, 2021</w:t>
            </w: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w w:val="98"/>
              </w:rPr>
              <w:t>December 31, 2020</w:t>
            </w:r>
          </w:p>
        </w:tc>
      </w:tr>
      <w:tr>
        <w:trPr>
          <w:trHeight w:val="152"/>
        </w:trPr>
        <w:tc>
          <w:tcPr>
            <w:tcW w:w="6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60" w:type="dxa"/>
            <w:vAlign w:val="bottom"/>
            <w:gridSpan w:val="4"/>
          </w:tcPr>
          <w:p>
            <w:pPr>
              <w:jc w:val="right"/>
              <w:ind w:right="1094"/>
              <w:spacing w:after="0"/>
              <w:rPr>
                <w:sz w:val="20"/>
                <w:szCs w:val="20"/>
                <w:color w:val="auto"/>
              </w:rPr>
            </w:pPr>
            <w:r>
              <w:rPr>
                <w:rFonts w:ascii="Arial" w:cs="Arial" w:eastAsia="Arial" w:hAnsi="Arial"/>
                <w:sz w:val="12"/>
                <w:szCs w:val="12"/>
                <w:b w:val="1"/>
                <w:bCs w:val="1"/>
                <w:color w:val="auto"/>
              </w:rPr>
              <w:t>(in thousands)</w:t>
            </w:r>
          </w:p>
        </w:tc>
      </w:tr>
      <w:tr>
        <w:trPr>
          <w:trHeight w:val="173"/>
        </w:trPr>
        <w:tc>
          <w:tcPr>
            <w:tcW w:w="6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Machinery and equipment</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6,342</w:t>
            </w:r>
          </w:p>
        </w:tc>
      </w:tr>
      <w:tr>
        <w:trPr>
          <w:trHeight w:val="171"/>
        </w:trPr>
        <w:tc>
          <w:tcPr>
            <w:tcW w:w="6400" w:type="dxa"/>
            <w:vAlign w:val="bottom"/>
          </w:tcPr>
          <w:p>
            <w:pPr>
              <w:ind w:left="40"/>
              <w:spacing w:after="0"/>
              <w:rPr>
                <w:sz w:val="20"/>
                <w:szCs w:val="20"/>
                <w:color w:val="auto"/>
              </w:rPr>
            </w:pPr>
            <w:r>
              <w:rPr>
                <w:rFonts w:ascii="Arial" w:cs="Arial" w:eastAsia="Arial" w:hAnsi="Arial"/>
                <w:sz w:val="13"/>
                <w:szCs w:val="13"/>
                <w:color w:val="auto"/>
              </w:rPr>
              <w:t>Construction in progress</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2,771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1,692</w:t>
            </w:r>
          </w:p>
        </w:tc>
      </w:tr>
      <w:tr>
        <w:trPr>
          <w:trHeight w:val="171"/>
        </w:trPr>
        <w:tc>
          <w:tcPr>
            <w:tcW w:w="6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Computer and office equipment</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w:t>
            </w:r>
          </w:p>
        </w:tc>
      </w:tr>
      <w:tr>
        <w:trPr>
          <w:trHeight w:val="171"/>
        </w:trPr>
        <w:tc>
          <w:tcPr>
            <w:tcW w:w="6400" w:type="dxa"/>
            <w:vAlign w:val="bottom"/>
          </w:tcPr>
          <w:p>
            <w:pPr>
              <w:ind w:left="40"/>
              <w:spacing w:after="0"/>
              <w:rPr>
                <w:sz w:val="20"/>
                <w:szCs w:val="20"/>
                <w:color w:val="auto"/>
              </w:rPr>
            </w:pPr>
            <w:r>
              <w:rPr>
                <w:rFonts w:ascii="Arial" w:cs="Arial" w:eastAsia="Arial" w:hAnsi="Arial"/>
                <w:sz w:val="13"/>
                <w:szCs w:val="13"/>
                <w:color w:val="auto"/>
              </w:rPr>
              <w:t>Leasehold improvements</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503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503</w:t>
            </w:r>
          </w:p>
        </w:tc>
      </w:tr>
      <w:tr>
        <w:trPr>
          <w:trHeight w:val="171"/>
        </w:trPr>
        <w:tc>
          <w:tcPr>
            <w:tcW w:w="6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Furniture and fixtures</w:t>
            </w: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w:t>
            </w:r>
          </w:p>
        </w:tc>
      </w:tr>
      <w:tr>
        <w:trPr>
          <w:trHeight w:val="161"/>
        </w:trPr>
        <w:tc>
          <w:tcPr>
            <w:tcW w:w="6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13,635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9,484</w:t>
            </w:r>
          </w:p>
        </w:tc>
      </w:tr>
      <w:tr>
        <w:trPr>
          <w:trHeight w:val="171"/>
        </w:trPr>
        <w:tc>
          <w:tcPr>
            <w:tcW w:w="6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 Accumulated depreciation and amortization</w:t>
            </w: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(5,767)</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(4,957)</w:t>
            </w:r>
          </w:p>
        </w:tc>
      </w:tr>
      <w:tr>
        <w:trPr>
          <w:trHeight w:val="161"/>
        </w:trPr>
        <w:tc>
          <w:tcPr>
            <w:tcW w:w="6400" w:type="dxa"/>
            <w:vAlign w:val="bottom"/>
          </w:tcPr>
          <w:p>
            <w:pPr>
              <w:spacing w:after="0"/>
              <w:rPr>
                <w:sz w:val="14"/>
                <w:szCs w:val="14"/>
                <w:color w:val="auto"/>
              </w:rPr>
            </w:pP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7,868</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4,527</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both"/>
        <w:ind w:firstLine="332"/>
        <w:spacing w:after="0" w:line="276" w:lineRule="auto"/>
        <w:rPr>
          <w:sz w:val="20"/>
          <w:szCs w:val="20"/>
          <w:color w:val="auto"/>
        </w:rPr>
      </w:pPr>
      <w:r>
        <w:rPr>
          <w:rFonts w:ascii="Arial" w:cs="Arial" w:eastAsia="Arial" w:hAnsi="Arial"/>
          <w:sz w:val="13"/>
          <w:szCs w:val="13"/>
          <w:color w:val="auto"/>
        </w:rPr>
        <w:t>Construction in progress pertains to cost of individual components of a custom instrument set used for surgical placement of the Company’s products that have not yet been placed into service. Depreciation expense was $0.5 million and $0.3 million for the three months ended June 30, 2021 and 2020, respectively, and $0.8 million and $0.5 million for the six months ended June 30, 2021 and 2020, respectively.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Accrued Liabilities and Other</w:t>
      </w:r>
      <w:r>
        <w:rPr>
          <w:rFonts w:ascii="Arial" w:cs="Arial" w:eastAsia="Arial" w:hAnsi="Arial"/>
          <w:sz w:val="13"/>
          <w:szCs w:val="13"/>
          <w:color w:val="auto"/>
        </w:rPr>
        <w:t>:</w:t>
      </w:r>
    </w:p>
    <w:p>
      <w:pPr>
        <w:spacing w:after="0" w:line="203" w:lineRule="exact"/>
        <w:rPr>
          <w:sz w:val="20"/>
          <w:szCs w:val="20"/>
          <w:color w:val="auto"/>
        </w:rPr>
      </w:pPr>
    </w:p>
    <w:tbl>
      <w:tblPr>
        <w:tblLayout w:type="fixed"/>
        <w:tblInd w:w="480" w:type="dxa"/>
        <w:tblCellMar>
          <w:top w:w="0" w:type="dxa"/>
          <w:left w:w="0" w:type="dxa"/>
          <w:bottom w:w="0" w:type="dxa"/>
          <w:right w:w="0" w:type="dxa"/>
        </w:tblCellMar>
      </w:tblPr>
      <w:tr>
        <w:trPr>
          <w:trHeight w:val="160"/>
        </w:trPr>
        <w:tc>
          <w:tcPr>
            <w:tcW w:w="6400" w:type="dxa"/>
            <w:vAlign w:val="bottom"/>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June 30, 2021</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193"/>
              <w:spacing w:after="0"/>
              <w:rPr>
                <w:sz w:val="20"/>
                <w:szCs w:val="20"/>
                <w:color w:val="auto"/>
              </w:rPr>
            </w:pPr>
            <w:r>
              <w:rPr>
                <w:rFonts w:ascii="Arial" w:cs="Arial" w:eastAsia="Arial" w:hAnsi="Arial"/>
                <w:sz w:val="12"/>
                <w:szCs w:val="12"/>
                <w:b w:val="1"/>
                <w:bCs w:val="1"/>
                <w:color w:val="auto"/>
              </w:rPr>
              <w:t>December 31, 2020</w:t>
            </w:r>
          </w:p>
        </w:tc>
      </w:tr>
      <w:tr>
        <w:trPr>
          <w:trHeight w:val="152"/>
        </w:trPr>
        <w:tc>
          <w:tcPr>
            <w:tcW w:w="6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gridSpan w:val="3"/>
          </w:tcPr>
          <w:p>
            <w:pPr>
              <w:jc w:val="right"/>
              <w:ind w:right="295"/>
              <w:spacing w:after="0"/>
              <w:rPr>
                <w:sz w:val="20"/>
                <w:szCs w:val="20"/>
                <w:color w:val="auto"/>
              </w:rPr>
            </w:pPr>
            <w:r>
              <w:rPr>
                <w:rFonts w:ascii="Arial" w:cs="Arial" w:eastAsia="Arial" w:hAnsi="Arial"/>
                <w:sz w:val="12"/>
                <w:szCs w:val="12"/>
                <w:b w:val="1"/>
                <w:bCs w:val="1"/>
                <w:color w:val="auto"/>
                <w:w w:val="94"/>
              </w:rPr>
              <w:t>(in thousands)</w:t>
            </w:r>
          </w:p>
        </w:tc>
        <w:tc>
          <w:tcPr>
            <w:tcW w:w="800" w:type="dxa"/>
            <w:vAlign w:val="bottom"/>
          </w:tcPr>
          <w:p>
            <w:pPr>
              <w:spacing w:after="0"/>
              <w:rPr>
                <w:sz w:val="13"/>
                <w:szCs w:val="13"/>
                <w:color w:val="auto"/>
              </w:rPr>
            </w:pPr>
          </w:p>
        </w:tc>
      </w:tr>
      <w:tr>
        <w:trPr>
          <w:trHeight w:val="173"/>
        </w:trPr>
        <w:tc>
          <w:tcPr>
            <w:tcW w:w="64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Accrued compensation and related expenses</w:t>
            </w:r>
          </w:p>
        </w:tc>
        <w:tc>
          <w:tcPr>
            <w:tcW w:w="1140" w:type="dxa"/>
            <w:vAlign w:val="bottom"/>
            <w:shd w:val="clear" w:color="auto" w:fill="CCEEFF"/>
          </w:tcPr>
          <w:p>
            <w:pPr>
              <w:jc w:val="right"/>
              <w:ind w:right="995"/>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7,495</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55"/>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9,175</w:t>
            </w:r>
          </w:p>
        </w:tc>
      </w:tr>
      <w:tr>
        <w:trPr>
          <w:trHeight w:val="171"/>
        </w:trPr>
        <w:tc>
          <w:tcPr>
            <w:tcW w:w="6400" w:type="dxa"/>
            <w:vAlign w:val="bottom"/>
          </w:tcPr>
          <w:p>
            <w:pPr>
              <w:ind w:left="140"/>
              <w:spacing w:after="0"/>
              <w:rPr>
                <w:sz w:val="20"/>
                <w:szCs w:val="20"/>
                <w:color w:val="auto"/>
              </w:rPr>
            </w:pPr>
            <w:r>
              <w:rPr>
                <w:rFonts w:ascii="Arial" w:cs="Arial" w:eastAsia="Arial" w:hAnsi="Arial"/>
                <w:sz w:val="13"/>
                <w:szCs w:val="13"/>
                <w:color w:val="auto"/>
              </w:rPr>
              <w:t>Accrued professional services</w:t>
            </w:r>
          </w:p>
        </w:tc>
        <w:tc>
          <w:tcPr>
            <w:tcW w:w="1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459</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511</w:t>
            </w:r>
          </w:p>
        </w:tc>
      </w:tr>
      <w:tr>
        <w:trPr>
          <w:trHeight w:val="171"/>
        </w:trPr>
        <w:tc>
          <w:tcPr>
            <w:tcW w:w="64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Others</w:t>
            </w:r>
          </w:p>
        </w:tc>
        <w:tc>
          <w:tcPr>
            <w:tcW w:w="114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752</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513</w:t>
            </w:r>
          </w:p>
        </w:tc>
      </w:tr>
      <w:tr>
        <w:trPr>
          <w:trHeight w:val="161"/>
        </w:trPr>
        <w:tc>
          <w:tcPr>
            <w:tcW w:w="6400" w:type="dxa"/>
            <w:vAlign w:val="bottom"/>
          </w:tcPr>
          <w:p>
            <w:pPr>
              <w:spacing w:after="0"/>
              <w:rPr>
                <w:sz w:val="14"/>
                <w:szCs w:val="14"/>
                <w:color w:val="auto"/>
              </w:rPr>
            </w:pPr>
          </w:p>
        </w:tc>
        <w:tc>
          <w:tcPr>
            <w:tcW w:w="1140" w:type="dxa"/>
            <w:vAlign w:val="bottom"/>
            <w:tcBorders>
              <w:bottom w:val="single" w:sz="8" w:color="auto"/>
            </w:tcBorders>
          </w:tcPr>
          <w:p>
            <w:pPr>
              <w:jc w:val="right"/>
              <w:ind w:right="995"/>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8,706</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ind w:right="555"/>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10,199</w:t>
            </w:r>
          </w:p>
        </w:tc>
      </w:tr>
      <w:tr>
        <w:trPr>
          <w:trHeight w:val="20"/>
        </w:trPr>
        <w:tc>
          <w:tcPr>
            <w:tcW w:w="6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340" w:right="9240" w:hanging="339"/>
        <w:spacing w:after="0" w:line="536" w:lineRule="auto"/>
        <w:tabs>
          <w:tab w:leader="none" w:pos="142" w:val="left"/>
        </w:tabs>
        <w:numPr>
          <w:ilvl w:val="0"/>
          <w:numId w:val="7"/>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Commitments and Contingencies </w:t>
      </w:r>
      <w:r>
        <w:rPr>
          <w:rFonts w:ascii="Arial" w:cs="Arial" w:eastAsia="Arial" w:hAnsi="Arial"/>
          <w:sz w:val="11"/>
          <w:szCs w:val="11"/>
          <w:b w:val="1"/>
          <w:bCs w:val="1"/>
          <w:i w:val="1"/>
          <w:iCs w:val="1"/>
          <w:color w:val="auto"/>
        </w:rPr>
        <w:t>Operating Leases</w:t>
      </w:r>
    </w:p>
    <w:p>
      <w:pPr>
        <w:spacing w:after="0" w:line="1" w:lineRule="exact"/>
        <w:rPr>
          <w:sz w:val="20"/>
          <w:szCs w:val="20"/>
          <w:color w:val="auto"/>
        </w:rPr>
      </w:pPr>
    </w:p>
    <w:p>
      <w:pPr>
        <w:jc w:val="both"/>
        <w:ind w:firstLine="332"/>
        <w:spacing w:after="0" w:line="270" w:lineRule="auto"/>
        <w:rPr>
          <w:sz w:val="20"/>
          <w:szCs w:val="20"/>
          <w:color w:val="auto"/>
        </w:rPr>
      </w:pPr>
      <w:r>
        <w:rPr>
          <w:rFonts w:ascii="Arial" w:cs="Arial" w:eastAsia="Arial" w:hAnsi="Arial"/>
          <w:sz w:val="13"/>
          <w:szCs w:val="13"/>
          <w:color w:val="auto"/>
        </w:rPr>
        <w:t>The Company has a non-cancelable operating lease for an office building space, located in Santa Clara, California which expires in May 2025. The Company also has non-cancelable operating leases for its office building spaces in Gallarate, Italy and Knaresborough, United Kingdom, which expire in August 2027 and December 2025, respectively. Effective April 30, 2021, the Company terminated its office lease in Mannheim, Germany, and commenced a new lease that can be terminated at any time with six months written notice to the landlord. Further, the Company also leases vehicles under operating lease arrangements for certain of its personnel in Europe which expire at various times throughout 2021 to 2025.</w:t>
      </w:r>
    </w:p>
    <w:p>
      <w:pPr>
        <w:spacing w:after="0" w:line="92" w:lineRule="exact"/>
        <w:rPr>
          <w:sz w:val="20"/>
          <w:szCs w:val="20"/>
          <w:color w:val="auto"/>
        </w:rPr>
      </w:pPr>
    </w:p>
    <w:p>
      <w:pPr>
        <w:jc w:val="both"/>
        <w:ind w:firstLine="332"/>
        <w:spacing w:after="0" w:line="294" w:lineRule="auto"/>
        <w:rPr>
          <w:sz w:val="20"/>
          <w:szCs w:val="20"/>
          <w:color w:val="auto"/>
        </w:rPr>
      </w:pPr>
      <w:r>
        <w:rPr>
          <w:rFonts w:ascii="Arial" w:cs="Arial" w:eastAsia="Arial" w:hAnsi="Arial"/>
          <w:sz w:val="13"/>
          <w:szCs w:val="13"/>
          <w:color w:val="auto"/>
        </w:rPr>
        <w:t>Rent expense is recorded over the lease terms on a straight-line basis. Rent expenses charged to operations under operating leases were $0.3 million for the three months ended June 30, 2021 and 2020, and $0.6 million for the six months ended June 30, 2021 and 2020.</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167640</wp:posOffset>
            </wp:positionV>
            <wp:extent cx="719264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t>SI-BONE,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00" w:type="dxa"/>
            <w:vAlign w:val="bottom"/>
            <w:gridSpan w:val="2"/>
          </w:tcPr>
          <w:p>
            <w:pPr>
              <w:spacing w:after="0"/>
              <w:rPr>
                <w:sz w:val="20"/>
                <w:szCs w:val="20"/>
                <w:color w:val="auto"/>
              </w:rPr>
            </w:pPr>
            <w:r>
              <w:rPr>
                <w:rFonts w:ascii="Arial" w:cs="Arial" w:eastAsia="Arial" w:hAnsi="Arial"/>
                <w:sz w:val="13"/>
                <w:szCs w:val="13"/>
                <w:color w:val="auto"/>
              </w:rPr>
              <w:t>The table below summarizes aggregate future minimum lease payments under all leases as of June 30, 2021:</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73"/>
        </w:trPr>
        <w:tc>
          <w:tcPr>
            <w:tcW w:w="96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13"/>
                <w:szCs w:val="13"/>
                <w:b w:val="1"/>
                <w:bCs w:val="1"/>
                <w:color w:val="auto"/>
              </w:rPr>
              <w:t>Year ending December 31,</w:t>
            </w:r>
          </w:p>
        </w:tc>
        <w:tc>
          <w:tcPr>
            <w:tcW w:w="160" w:type="dxa"/>
            <w:vAlign w:val="bottom"/>
          </w:tcPr>
          <w:p>
            <w:pPr>
              <w:spacing w:after="0"/>
              <w:rPr>
                <w:sz w:val="24"/>
                <w:szCs w:val="24"/>
                <w:color w:val="auto"/>
              </w:rPr>
            </w:pPr>
          </w:p>
        </w:tc>
        <w:tc>
          <w:tcPr>
            <w:tcW w:w="1100" w:type="dxa"/>
            <w:vAlign w:val="bottom"/>
          </w:tcPr>
          <w:p>
            <w:pPr>
              <w:jc w:val="right"/>
              <w:ind w:right="194"/>
              <w:spacing w:after="0"/>
              <w:rPr>
                <w:sz w:val="20"/>
                <w:szCs w:val="20"/>
                <w:color w:val="auto"/>
              </w:rPr>
            </w:pPr>
            <w:r>
              <w:rPr>
                <w:rFonts w:ascii="Arial" w:cs="Arial" w:eastAsia="Arial" w:hAnsi="Arial"/>
                <w:sz w:val="12"/>
                <w:szCs w:val="12"/>
                <w:b w:val="1"/>
                <w:bCs w:val="1"/>
                <w:color w:val="auto"/>
                <w:w w:val="99"/>
              </w:rPr>
              <w:t>(in thousands)</w:t>
            </w:r>
          </w:p>
        </w:tc>
      </w:tr>
      <w:tr>
        <w:trPr>
          <w:trHeight w:val="171"/>
        </w:trPr>
        <w:tc>
          <w:tcPr>
            <w:tcW w:w="960" w:type="dxa"/>
            <w:vAlign w:val="bottom"/>
          </w:tcPr>
          <w:p>
            <w:pPr>
              <w:spacing w:after="0"/>
              <w:rPr>
                <w:sz w:val="14"/>
                <w:szCs w:val="14"/>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Remainder of 2021</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w:t>
            </w:r>
          </w:p>
        </w:tc>
      </w:tr>
      <w:tr>
        <w:trPr>
          <w:trHeight w:val="171"/>
        </w:trPr>
        <w:tc>
          <w:tcPr>
            <w:tcW w:w="960" w:type="dxa"/>
            <w:vAlign w:val="bottom"/>
          </w:tcPr>
          <w:p>
            <w:pPr>
              <w:spacing w:after="0"/>
              <w:rPr>
                <w:sz w:val="14"/>
                <w:szCs w:val="14"/>
                <w:color w:val="auto"/>
              </w:rPr>
            </w:pPr>
          </w:p>
        </w:tc>
        <w:tc>
          <w:tcPr>
            <w:tcW w:w="5940" w:type="dxa"/>
            <w:vAlign w:val="bottom"/>
          </w:tcPr>
          <w:p>
            <w:pPr>
              <w:ind w:left="20"/>
              <w:spacing w:after="0"/>
              <w:rPr>
                <w:sz w:val="20"/>
                <w:szCs w:val="20"/>
                <w:color w:val="auto"/>
              </w:rPr>
            </w:pPr>
            <w:r>
              <w:rPr>
                <w:rFonts w:ascii="Arial" w:cs="Arial" w:eastAsia="Arial" w:hAnsi="Arial"/>
                <w:sz w:val="13"/>
                <w:szCs w:val="13"/>
                <w:color w:val="auto"/>
              </w:rPr>
              <w:t>2022</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1,091</w:t>
            </w:r>
          </w:p>
        </w:tc>
      </w:tr>
      <w:tr>
        <w:trPr>
          <w:trHeight w:val="171"/>
        </w:trPr>
        <w:tc>
          <w:tcPr>
            <w:tcW w:w="960" w:type="dxa"/>
            <w:vAlign w:val="bottom"/>
          </w:tcPr>
          <w:p>
            <w:pPr>
              <w:spacing w:after="0"/>
              <w:rPr>
                <w:sz w:val="14"/>
                <w:szCs w:val="14"/>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w:t>
            </w:r>
          </w:p>
        </w:tc>
      </w:tr>
      <w:tr>
        <w:trPr>
          <w:trHeight w:val="171"/>
        </w:trPr>
        <w:tc>
          <w:tcPr>
            <w:tcW w:w="960" w:type="dxa"/>
            <w:vAlign w:val="bottom"/>
          </w:tcPr>
          <w:p>
            <w:pPr>
              <w:spacing w:after="0"/>
              <w:rPr>
                <w:sz w:val="14"/>
                <w:szCs w:val="14"/>
                <w:color w:val="auto"/>
              </w:rPr>
            </w:pPr>
          </w:p>
        </w:tc>
        <w:tc>
          <w:tcPr>
            <w:tcW w:w="5940" w:type="dxa"/>
            <w:vAlign w:val="bottom"/>
          </w:tcPr>
          <w:p>
            <w:pPr>
              <w:ind w:left="20"/>
              <w:spacing w:after="0"/>
              <w:rPr>
                <w:sz w:val="20"/>
                <w:szCs w:val="20"/>
                <w:color w:val="auto"/>
              </w:rPr>
            </w:pPr>
            <w:r>
              <w:rPr>
                <w:rFonts w:ascii="Arial" w:cs="Arial" w:eastAsia="Arial" w:hAnsi="Arial"/>
                <w:sz w:val="13"/>
                <w:szCs w:val="13"/>
                <w:color w:val="auto"/>
              </w:rPr>
              <w:t>2024</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926</w:t>
            </w:r>
          </w:p>
        </w:tc>
      </w:tr>
      <w:tr>
        <w:trPr>
          <w:trHeight w:val="171"/>
        </w:trPr>
        <w:tc>
          <w:tcPr>
            <w:tcW w:w="960" w:type="dxa"/>
            <w:vAlign w:val="bottom"/>
          </w:tcPr>
          <w:p>
            <w:pPr>
              <w:spacing w:after="0"/>
              <w:rPr>
                <w:sz w:val="14"/>
                <w:szCs w:val="14"/>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w:t>
            </w:r>
          </w:p>
        </w:tc>
      </w:tr>
      <w:tr>
        <w:trPr>
          <w:trHeight w:val="171"/>
        </w:trPr>
        <w:tc>
          <w:tcPr>
            <w:tcW w:w="960" w:type="dxa"/>
            <w:vAlign w:val="bottom"/>
          </w:tcPr>
          <w:p>
            <w:pPr>
              <w:spacing w:after="0"/>
              <w:rPr>
                <w:sz w:val="14"/>
                <w:szCs w:val="14"/>
                <w:color w:val="auto"/>
              </w:rPr>
            </w:pPr>
          </w:p>
        </w:tc>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r>
      <w:tr>
        <w:trPr>
          <w:trHeight w:val="186"/>
        </w:trPr>
        <w:tc>
          <w:tcPr>
            <w:tcW w:w="960" w:type="dxa"/>
            <w:vAlign w:val="bottom"/>
          </w:tcPr>
          <w:p>
            <w:pPr>
              <w:spacing w:after="0"/>
              <w:rPr>
                <w:sz w:val="15"/>
                <w:szCs w:val="15"/>
                <w:color w:val="auto"/>
              </w:rPr>
            </w:pPr>
          </w:p>
        </w:tc>
        <w:tc>
          <w:tcPr>
            <w:tcW w:w="59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3,997</w:t>
            </w:r>
          </w:p>
        </w:tc>
      </w:tr>
      <w:tr>
        <w:trPr>
          <w:trHeight w:val="20"/>
        </w:trPr>
        <w:tc>
          <w:tcPr>
            <w:tcW w:w="96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Purchase Commitments and Obligations</w:t>
      </w:r>
    </w:p>
    <w:p>
      <w:pPr>
        <w:spacing w:after="0" w:line="173" w:lineRule="exact"/>
        <w:rPr>
          <w:sz w:val="20"/>
          <w:szCs w:val="20"/>
          <w:color w:val="auto"/>
        </w:rPr>
      </w:pPr>
    </w:p>
    <w:p>
      <w:pPr>
        <w:jc w:val="both"/>
        <w:ind w:firstLine="332"/>
        <w:spacing w:after="0" w:line="254" w:lineRule="auto"/>
        <w:rPr>
          <w:sz w:val="20"/>
          <w:szCs w:val="20"/>
          <w:color w:val="auto"/>
        </w:rPr>
      </w:pPr>
      <w:r>
        <w:rPr>
          <w:rFonts w:ascii="Arial" w:cs="Arial" w:eastAsia="Arial" w:hAnsi="Arial"/>
          <w:sz w:val="13"/>
          <w:szCs w:val="13"/>
          <w:color w:val="auto"/>
        </w:rPr>
        <w:t>The Company has certain purchase commitments related to its inventory management and training materials with certain suppliers wherein the Company is required to provide forecasts and purchase certain amounts included in such forecasts.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$1.8 million and $0.3 million as of June 30, 2021 and December 31, 2020, respectively.</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Indemnification</w:t>
      </w:r>
    </w:p>
    <w:p>
      <w:pPr>
        <w:spacing w:after="0" w:line="132" w:lineRule="exact"/>
        <w:rPr>
          <w:sz w:val="20"/>
          <w:szCs w:val="20"/>
          <w:color w:val="auto"/>
        </w:rPr>
      </w:pPr>
    </w:p>
    <w:p>
      <w:pPr>
        <w:jc w:val="both"/>
        <w:ind w:firstLine="332"/>
        <w:spacing w:after="0" w:line="270" w:lineRule="auto"/>
        <w:rPr>
          <w:sz w:val="20"/>
          <w:szCs w:val="20"/>
          <w:color w:val="auto"/>
        </w:rPr>
      </w:pPr>
      <w:r>
        <w:rPr>
          <w:rFonts w:ascii="Arial" w:cs="Arial" w:eastAsia="Arial" w:hAnsi="Arial"/>
          <w:sz w:val="13"/>
          <w:szCs w:val="13"/>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92" w:lineRule="exact"/>
        <w:rPr>
          <w:sz w:val="20"/>
          <w:szCs w:val="20"/>
          <w:color w:val="auto"/>
        </w:rPr>
      </w:pPr>
    </w:p>
    <w:p>
      <w:pPr>
        <w:jc w:val="both"/>
        <w:ind w:firstLine="332"/>
        <w:spacing w:after="0" w:line="294" w:lineRule="auto"/>
        <w:rPr>
          <w:sz w:val="20"/>
          <w:szCs w:val="20"/>
          <w:color w:val="auto"/>
        </w:rPr>
      </w:pPr>
      <w:r>
        <w:rPr>
          <w:rFonts w:ascii="Arial" w:cs="Arial" w:eastAsia="Arial" w:hAnsi="Arial"/>
          <w:sz w:val="13"/>
          <w:szCs w:val="13"/>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Company has not incurred costs to defend lawsuits or settle claims related to these indemnification agreements. No liability associated with such indemnifications has been recorded to date.</w:t>
      </w:r>
    </w:p>
    <w:p>
      <w:pPr>
        <w:spacing w:after="0" w:line="182" w:lineRule="exact"/>
        <w:rPr>
          <w:sz w:val="20"/>
          <w:szCs w:val="20"/>
          <w:color w:val="auto"/>
        </w:rPr>
      </w:pPr>
    </w:p>
    <w:p>
      <w:pPr>
        <w:ind w:left="300" w:right="10360" w:hanging="299"/>
        <w:spacing w:after="0" w:line="492" w:lineRule="auto"/>
        <w:tabs>
          <w:tab w:leader="none" w:pos="132"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Borrowings </w:t>
      </w:r>
      <w:r>
        <w:rPr>
          <w:rFonts w:ascii="Arial" w:cs="Arial" w:eastAsia="Arial" w:hAnsi="Arial"/>
          <w:sz w:val="12"/>
          <w:szCs w:val="12"/>
          <w:b w:val="1"/>
          <w:bCs w:val="1"/>
          <w:i w:val="1"/>
          <w:iCs w:val="1"/>
          <w:color w:val="auto"/>
        </w:rPr>
        <w:t>Term Loan</w:t>
      </w:r>
    </w:p>
    <w:p>
      <w:pPr>
        <w:ind w:left="300"/>
        <w:spacing w:after="0"/>
        <w:rPr>
          <w:rFonts w:ascii="Arial" w:cs="Arial" w:eastAsia="Arial" w:hAnsi="Arial"/>
          <w:sz w:val="12"/>
          <w:szCs w:val="12"/>
          <w:b w:val="1"/>
          <w:bCs w:val="1"/>
          <w:color w:val="auto"/>
        </w:rPr>
      </w:pPr>
      <w:r>
        <w:rPr>
          <w:rFonts w:ascii="Arial" w:cs="Arial" w:eastAsia="Arial" w:hAnsi="Arial"/>
          <w:sz w:val="13"/>
          <w:szCs w:val="13"/>
          <w:color w:val="auto"/>
        </w:rPr>
        <w:t>The following table summarizes the outstanding borrowings from the term loan described below, as of the dates presented:</w:t>
      </w:r>
    </w:p>
    <w:p>
      <w:pPr>
        <w:spacing w:after="0" w:line="203" w:lineRule="exact"/>
        <w:rPr>
          <w:sz w:val="20"/>
          <w:szCs w:val="20"/>
          <w:color w:val="auto"/>
        </w:rPr>
      </w:pPr>
    </w:p>
    <w:tbl>
      <w:tblPr>
        <w:tblLayout w:type="fixed"/>
        <w:tblInd w:w="480" w:type="dxa"/>
        <w:tblCellMar>
          <w:top w:w="0" w:type="dxa"/>
          <w:left w:w="0" w:type="dxa"/>
          <w:bottom w:w="0" w:type="dxa"/>
          <w:right w:w="0" w:type="dxa"/>
        </w:tblCellMar>
      </w:tblPr>
      <w:tr>
        <w:trPr>
          <w:trHeight w:val="160"/>
        </w:trPr>
        <w:tc>
          <w:tcPr>
            <w:tcW w:w="65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June 30, 2021</w:t>
            </w: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w w:val="96"/>
              </w:rPr>
              <w:t>December 31, 2020</w:t>
            </w:r>
          </w:p>
        </w:tc>
      </w:tr>
      <w:tr>
        <w:trPr>
          <w:trHeight w:val="152"/>
        </w:trPr>
        <w:tc>
          <w:tcPr>
            <w:tcW w:w="6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60" w:type="dxa"/>
            <w:vAlign w:val="bottom"/>
            <w:gridSpan w:val="4"/>
          </w:tcPr>
          <w:p>
            <w:pPr>
              <w:ind w:left="960"/>
              <w:spacing w:after="0"/>
              <w:rPr>
                <w:sz w:val="20"/>
                <w:szCs w:val="20"/>
                <w:color w:val="auto"/>
              </w:rPr>
            </w:pPr>
            <w:r>
              <w:rPr>
                <w:rFonts w:ascii="Arial" w:cs="Arial" w:eastAsia="Arial" w:hAnsi="Arial"/>
                <w:sz w:val="12"/>
                <w:szCs w:val="12"/>
                <w:b w:val="1"/>
                <w:bCs w:val="1"/>
                <w:color w:val="auto"/>
              </w:rPr>
              <w:t>(in thousands)</w:t>
            </w:r>
          </w:p>
        </w:tc>
      </w:tr>
      <w:tr>
        <w:trPr>
          <w:trHeight w:val="173"/>
        </w:trPr>
        <w:tc>
          <w:tcPr>
            <w:tcW w:w="6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outstanding and final fee</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41,000</w:t>
            </w:r>
          </w:p>
        </w:tc>
      </w:tr>
      <w:tr>
        <w:trPr>
          <w:trHeight w:val="171"/>
        </w:trPr>
        <w:tc>
          <w:tcPr>
            <w:tcW w:w="6560" w:type="dxa"/>
            <w:vAlign w:val="bottom"/>
          </w:tcPr>
          <w:p>
            <w:pPr>
              <w:ind w:left="20"/>
              <w:spacing w:after="0"/>
              <w:rPr>
                <w:sz w:val="20"/>
                <w:szCs w:val="20"/>
                <w:color w:val="auto"/>
              </w:rPr>
            </w:pPr>
            <w:r>
              <w:rPr>
                <w:rFonts w:ascii="Arial" w:cs="Arial" w:eastAsia="Arial" w:hAnsi="Arial"/>
                <w:sz w:val="13"/>
                <w:szCs w:val="13"/>
                <w:color w:val="auto"/>
              </w:rPr>
              <w:t>Less: Unamortized debt issuance costs</w:t>
            </w:r>
          </w:p>
        </w:tc>
        <w:tc>
          <w:tcPr>
            <w:tcW w:w="240" w:type="dxa"/>
            <w:vAlign w:val="bottom"/>
          </w:tcPr>
          <w:p>
            <w:pPr>
              <w:spacing w:after="0"/>
              <w:rPr>
                <w:sz w:val="14"/>
                <w:szCs w:val="14"/>
                <w:color w:val="auto"/>
              </w:rPr>
            </w:pPr>
          </w:p>
        </w:tc>
        <w:tc>
          <w:tcPr>
            <w:tcW w:w="1260" w:type="dxa"/>
            <w:vAlign w:val="bottom"/>
          </w:tcPr>
          <w:p>
            <w:pPr>
              <w:ind w:left="960"/>
              <w:spacing w:after="0"/>
              <w:rPr>
                <w:sz w:val="20"/>
                <w:szCs w:val="20"/>
                <w:color w:val="auto"/>
              </w:rPr>
            </w:pPr>
            <w:r>
              <w:rPr>
                <w:rFonts w:ascii="Arial" w:cs="Arial" w:eastAsia="Arial" w:hAnsi="Arial"/>
                <w:sz w:val="13"/>
                <w:szCs w:val="13"/>
                <w:color w:val="auto"/>
                <w:w w:val="92"/>
              </w:rPr>
              <w:t>(587)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(661)</w:t>
            </w:r>
          </w:p>
        </w:tc>
      </w:tr>
      <w:tr>
        <w:trPr>
          <w:trHeight w:val="171"/>
        </w:trPr>
        <w:tc>
          <w:tcPr>
            <w:tcW w:w="65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Unaccreted value of final fee</w:t>
            </w: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3"/>
                <w:szCs w:val="13"/>
                <w:color w:val="auto"/>
                <w:w w:val="92"/>
              </w:rPr>
              <w:t>(783)</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(884)</w:t>
            </w:r>
          </w:p>
        </w:tc>
      </w:tr>
      <w:tr>
        <w:trPr>
          <w:trHeight w:val="161"/>
        </w:trPr>
        <w:tc>
          <w:tcPr>
            <w:tcW w:w="6560" w:type="dxa"/>
            <w:vAlign w:val="bottom"/>
          </w:tcPr>
          <w:p>
            <w:pPr>
              <w:ind w:left="20"/>
              <w:spacing w:after="0"/>
              <w:rPr>
                <w:sz w:val="20"/>
                <w:szCs w:val="20"/>
                <w:color w:val="auto"/>
              </w:rPr>
            </w:pPr>
            <w:r>
              <w:rPr>
                <w:rFonts w:ascii="Arial" w:cs="Arial" w:eastAsia="Arial" w:hAnsi="Arial"/>
                <w:sz w:val="13"/>
                <w:szCs w:val="13"/>
                <w:color w:val="auto"/>
              </w:rPr>
              <w:t>Outstanding debt, net of debt issuance costs and unaccreted value of final fee</w:t>
            </w: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39,630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39,455</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31"/>
        </w:trPr>
        <w:tc>
          <w:tcPr>
            <w:tcW w:w="656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Classified as:</w:t>
            </w:r>
          </w:p>
        </w:tc>
        <w:tc>
          <w:tcPr>
            <w:tcW w:w="2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71"/>
        </w:trPr>
        <w:tc>
          <w:tcPr>
            <w:tcW w:w="6560" w:type="dxa"/>
            <w:vAlign w:val="bottom"/>
          </w:tcPr>
          <w:p>
            <w:pPr>
              <w:ind w:left="160"/>
              <w:spacing w:after="0"/>
              <w:rPr>
                <w:sz w:val="20"/>
                <w:szCs w:val="20"/>
                <w:color w:val="auto"/>
              </w:rPr>
            </w:pPr>
            <w:r>
              <w:rPr>
                <w:rFonts w:ascii="Arial" w:cs="Arial" w:eastAsia="Arial" w:hAnsi="Arial"/>
                <w:sz w:val="13"/>
                <w:szCs w:val="13"/>
                <w:color w:val="auto"/>
              </w:rPr>
              <w:t>Long-term borrowings</w:t>
            </w: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39,630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39,455</w:t>
            </w:r>
          </w:p>
        </w:tc>
      </w:tr>
      <w:tr>
        <w:trPr>
          <w:trHeight w:val="20"/>
        </w:trPr>
        <w:tc>
          <w:tcPr>
            <w:tcW w:w="6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ind w:firstLine="302"/>
        <w:spacing w:after="0" w:line="277" w:lineRule="auto"/>
        <w:rPr>
          <w:sz w:val="20"/>
          <w:szCs w:val="20"/>
          <w:color w:val="auto"/>
        </w:rPr>
      </w:pPr>
      <w:r>
        <w:rPr>
          <w:rFonts w:ascii="Arial" w:cs="Arial" w:eastAsia="Arial" w:hAnsi="Arial"/>
          <w:sz w:val="13"/>
          <w:szCs w:val="13"/>
          <w:color w:val="auto"/>
        </w:rPr>
        <w:t>In October 2017, the Company entered into a term loan with Biopharma Credit Investments IV Sub LP (“Pharmakon”) in for total loan proceeds of $40.0 million (the “Pharmakon Term Loan”). The Pharmakon Term Loan included an interest-only period for 35 months through September 2020 and then equal quarterly principal payments plus interest through December 2022.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167640</wp:posOffset>
            </wp:positionV>
            <wp:extent cx="719264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b w:val="1"/>
          <w:bCs w:val="1"/>
          <w:color w:val="auto"/>
        </w:rPr>
        <w:t>SI-BONE,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Pharmakon Term Loan carried a fixed interest rate of 11.5% and allowed for early prepayment. The prepayment penalty fee was equal to the remaining interest due if prepaid within the first 30 months, a 2% penalty for months 31-48, and a 1% penalty for months 49-60. The Company paid in full and terminated the Pharmakon Term Loan in May 2020.</w:t>
      </w:r>
    </w:p>
    <w:p>
      <w:pPr>
        <w:spacing w:after="0" w:line="138" w:lineRule="exact"/>
        <w:rPr>
          <w:sz w:val="20"/>
          <w:szCs w:val="20"/>
          <w:color w:val="auto"/>
        </w:rPr>
      </w:pPr>
    </w:p>
    <w:p>
      <w:pPr>
        <w:jc w:val="both"/>
        <w:ind w:firstLine="302"/>
        <w:spacing w:after="0" w:line="248" w:lineRule="auto"/>
        <w:rPr>
          <w:sz w:val="20"/>
          <w:szCs w:val="20"/>
          <w:color w:val="auto"/>
        </w:rPr>
      </w:pPr>
      <w:r>
        <w:rPr>
          <w:rFonts w:ascii="Arial" w:cs="Arial" w:eastAsia="Arial" w:hAnsi="Arial"/>
          <w:sz w:val="13"/>
          <w:szCs w:val="13"/>
          <w:color w:val="auto"/>
        </w:rPr>
        <w:t>The outstanding debt as of June 30, 2021 and December 31, 2020 is related to a term loan pursuant to the Loan and Security Agreement dated May 29, 2020, entered into by the Company with Solar Capital Partners (“Solar”). Pursuant to the Loan and Security Agreement, Solar provided an aggregate principal amount of $40.0 million term loan (the “Solar Term Loan”). The total debt issuance costs of $0.8 million associated with the Solar Term Loan were recorded in the condensed consolidated balance sheet as a direct deduction from the carrying amount of the loan, and are amortized as a component of interest expense using straight-line method over the life of the term loan. In accordance with the Loan and Security Agreement, the Company paid in full and terminated the Pharmakon Term Loan, which was accounted for as debt extinguishment in accordance with the accounting standards. The Company recognized the unamortized debt issuance costs of $0.7 million and the prepayment penalty and lender fees of $0.8 million related to Pharmakon Term Loan as a loss on debt extinguishment. The costs and fees are reflected as interest expense in the consolidated statement of operations for the year ended December 31, 2020.</w:t>
      </w:r>
    </w:p>
    <w:p>
      <w:pPr>
        <w:spacing w:after="0" w:line="157" w:lineRule="exact"/>
        <w:rPr>
          <w:sz w:val="20"/>
          <w:szCs w:val="20"/>
          <w:color w:val="auto"/>
        </w:rPr>
      </w:pPr>
    </w:p>
    <w:p>
      <w:pPr>
        <w:jc w:val="both"/>
        <w:ind w:firstLine="302"/>
        <w:spacing w:after="0" w:line="249" w:lineRule="auto"/>
        <w:rPr>
          <w:sz w:val="20"/>
          <w:szCs w:val="20"/>
          <w:color w:val="auto"/>
        </w:rPr>
      </w:pPr>
      <w:r>
        <w:rPr>
          <w:rFonts w:ascii="Arial" w:cs="Arial" w:eastAsia="Arial" w:hAnsi="Arial"/>
          <w:sz w:val="13"/>
          <w:szCs w:val="13"/>
          <w:color w:val="auto"/>
        </w:rPr>
        <w:t>The Solar Term Loan bears interest at a rate per annum equal to 9.40% plus London Interbank Offered Rate (“LIBOR”), payable monthly in arrears. LIBOR means the greater of (i) 0.33% or (ii) one-month LIBOR (or a comparable replacement rate to be determined by the collateral agent if the LIBOR is no longer available), which rate shall reset monthly. The Solar Term Loan matures in 60 months on June 1, 2025 (“Maturity Date”), with an interest-only period of 36 months through June 2023, and then repaid in equal monthly principal payments plus interest through maturity date. Pursuant to the Loan and Security Agreement, the Company may voluntarily prepay the Solar Term Loan, in full or in part, but only in increments of $10.0 million, for a prepayment premium in an amount equal to 3.0% of the principal if prepaid in year one, 1.25% of the principal if prepaid in year two, and 0.50% of the principal if prepaid in year three or later. The prepayment premium will be waived if the Company voluntarily prepays and refinances the outstanding balance with Solar. The Solar Term Loan is secured by substantially all of the Company’s assets.</w:t>
      </w:r>
    </w:p>
    <w:p>
      <w:pPr>
        <w:spacing w:after="0" w:line="157" w:lineRule="exact"/>
        <w:rPr>
          <w:sz w:val="20"/>
          <w:szCs w:val="20"/>
          <w:color w:val="auto"/>
        </w:rPr>
      </w:pPr>
    </w:p>
    <w:p>
      <w:pPr>
        <w:jc w:val="right"/>
        <w:spacing w:after="0" w:line="269" w:lineRule="auto"/>
        <w:rPr>
          <w:sz w:val="20"/>
          <w:szCs w:val="20"/>
          <w:color w:val="auto"/>
        </w:rPr>
      </w:pPr>
      <w:r>
        <w:rPr>
          <w:rFonts w:ascii="Arial" w:cs="Arial" w:eastAsia="Arial" w:hAnsi="Arial"/>
          <w:sz w:val="12"/>
          <w:szCs w:val="12"/>
          <w:color w:val="auto"/>
        </w:rPr>
        <w:t>The effective interest rate related to the Solar Term Loan was 10.6% for the three and six months ended June 30, 2021 and 11.8% and 12.0% for the three and six months ended June 30, 2020, respectively. The Company is also obligated to pay a final fee equal to $1.0 million or 2.5% of the aggregate principal amount of the Solar Term Loan, which was fully earned by Solar on the effective date of the Loan and Security Agreement. With respect to the Solar Term Loan, this final fee shall be due and payable on the earliest of (i) the maturity date, (ii) the acceleration of the loan balance or (iii) its full prepayment,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refinancing, substitution or replacement. The final fee was included within the long-term borrowings and is accreted to interest expense using straight-line method over the life of the term loan.</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summarizes the future principal and final fee payments under the Solar Term Loan as of June 30, 2021:</w:t>
      </w:r>
    </w:p>
    <w:p>
      <w:pPr>
        <w:spacing w:after="0" w:line="201"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7940" w:type="dxa"/>
            <w:vAlign w:val="bottom"/>
          </w:tcPr>
          <w:p>
            <w:pPr>
              <w:ind w:left="500"/>
              <w:spacing w:after="0"/>
              <w:rPr>
                <w:sz w:val="20"/>
                <w:szCs w:val="20"/>
                <w:color w:val="auto"/>
              </w:rPr>
            </w:pPr>
            <w:r>
              <w:rPr>
                <w:rFonts w:ascii="Arial" w:cs="Arial" w:eastAsia="Arial" w:hAnsi="Arial"/>
                <w:sz w:val="13"/>
                <w:szCs w:val="13"/>
                <w:b w:val="1"/>
                <w:bCs w:val="1"/>
                <w:color w:val="auto"/>
              </w:rPr>
              <w:t>Year ending December 31,</w:t>
            </w:r>
          </w:p>
        </w:tc>
        <w:tc>
          <w:tcPr>
            <w:tcW w:w="660" w:type="dxa"/>
            <w:vAlign w:val="bottom"/>
          </w:tcPr>
          <w:p>
            <w:pPr>
              <w:spacing w:after="0"/>
              <w:rPr>
                <w:sz w:val="15"/>
                <w:szCs w:val="15"/>
                <w:color w:val="auto"/>
              </w:rPr>
            </w:pPr>
          </w:p>
        </w:tc>
        <w:tc>
          <w:tcPr>
            <w:tcW w:w="1160" w:type="dxa"/>
            <w:vAlign w:val="bottom"/>
          </w:tcPr>
          <w:p>
            <w:pPr>
              <w:jc w:val="right"/>
              <w:ind w:right="234"/>
              <w:spacing w:after="0"/>
              <w:rPr>
                <w:sz w:val="20"/>
                <w:szCs w:val="20"/>
                <w:color w:val="auto"/>
              </w:rPr>
            </w:pPr>
            <w:r>
              <w:rPr>
                <w:rFonts w:ascii="Arial" w:cs="Arial" w:eastAsia="Arial" w:hAnsi="Arial"/>
                <w:sz w:val="12"/>
                <w:szCs w:val="12"/>
                <w:b w:val="1"/>
                <w:bCs w:val="1"/>
                <w:color w:val="auto"/>
              </w:rPr>
              <w:t>(in thousands)</w:t>
            </w:r>
          </w:p>
        </w:tc>
      </w:tr>
      <w:tr>
        <w:trPr>
          <w:trHeight w:val="171"/>
        </w:trPr>
        <w:tc>
          <w:tcPr>
            <w:tcW w:w="79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2021 (remaining six months)</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940" w:type="dxa"/>
            <w:vAlign w:val="bottom"/>
          </w:tcPr>
          <w:p>
            <w:pPr>
              <w:ind w:left="500"/>
              <w:spacing w:after="0"/>
              <w:rPr>
                <w:sz w:val="20"/>
                <w:szCs w:val="20"/>
                <w:color w:val="auto"/>
              </w:rPr>
            </w:pPr>
            <w:r>
              <w:rPr>
                <w:rFonts w:ascii="Arial" w:cs="Arial" w:eastAsia="Arial" w:hAnsi="Arial"/>
                <w:sz w:val="13"/>
                <w:szCs w:val="13"/>
                <w:color w:val="auto"/>
              </w:rPr>
              <w:t>2022</w:t>
            </w:r>
          </w:p>
        </w:tc>
        <w:tc>
          <w:tcPr>
            <w:tcW w:w="6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9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2023</w:t>
            </w:r>
          </w:p>
        </w:tc>
        <w:tc>
          <w:tcPr>
            <w:tcW w:w="6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11,667</w:t>
            </w:r>
          </w:p>
        </w:tc>
      </w:tr>
      <w:tr>
        <w:trPr>
          <w:trHeight w:val="171"/>
        </w:trPr>
        <w:tc>
          <w:tcPr>
            <w:tcW w:w="7940" w:type="dxa"/>
            <w:vAlign w:val="bottom"/>
          </w:tcPr>
          <w:p>
            <w:pPr>
              <w:ind w:left="500"/>
              <w:spacing w:after="0"/>
              <w:rPr>
                <w:sz w:val="20"/>
                <w:szCs w:val="20"/>
                <w:color w:val="auto"/>
              </w:rPr>
            </w:pPr>
            <w:r>
              <w:rPr>
                <w:rFonts w:ascii="Arial" w:cs="Arial" w:eastAsia="Arial" w:hAnsi="Arial"/>
                <w:sz w:val="13"/>
                <w:szCs w:val="13"/>
                <w:color w:val="auto"/>
              </w:rPr>
              <w:t>2024</w:t>
            </w:r>
          </w:p>
        </w:tc>
        <w:tc>
          <w:tcPr>
            <w:tcW w:w="6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20,000</w:t>
            </w:r>
          </w:p>
        </w:tc>
      </w:tr>
      <w:tr>
        <w:trPr>
          <w:trHeight w:val="171"/>
        </w:trPr>
        <w:tc>
          <w:tcPr>
            <w:tcW w:w="79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2025</w:t>
            </w:r>
          </w:p>
        </w:tc>
        <w:tc>
          <w:tcPr>
            <w:tcW w:w="6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9,333</w:t>
            </w:r>
          </w:p>
        </w:tc>
      </w:tr>
      <w:tr>
        <w:trPr>
          <w:trHeight w:val="161"/>
        </w:trPr>
        <w:tc>
          <w:tcPr>
            <w:tcW w:w="7940" w:type="dxa"/>
            <w:vAlign w:val="bottom"/>
          </w:tcPr>
          <w:p>
            <w:pPr>
              <w:ind w:left="660"/>
              <w:spacing w:after="0"/>
              <w:rPr>
                <w:sz w:val="20"/>
                <w:szCs w:val="20"/>
                <w:color w:val="auto"/>
              </w:rPr>
            </w:pPr>
            <w:r>
              <w:rPr>
                <w:rFonts w:ascii="Arial" w:cs="Arial" w:eastAsia="Arial" w:hAnsi="Arial"/>
                <w:sz w:val="13"/>
                <w:szCs w:val="13"/>
                <w:color w:val="auto"/>
              </w:rPr>
              <w:t>Total principal and final fee payments</w:t>
            </w: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41,000</w:t>
            </w:r>
          </w:p>
        </w:tc>
      </w:tr>
      <w:tr>
        <w:trPr>
          <w:trHeight w:val="20"/>
        </w:trPr>
        <w:tc>
          <w:tcPr>
            <w:tcW w:w="79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ind w:firstLine="332"/>
        <w:spacing w:after="0" w:line="272" w:lineRule="auto"/>
        <w:rPr>
          <w:sz w:val="20"/>
          <w:szCs w:val="20"/>
          <w:color w:val="auto"/>
        </w:rPr>
      </w:pPr>
      <w:r>
        <w:rPr>
          <w:rFonts w:ascii="Arial" w:cs="Arial" w:eastAsia="Arial" w:hAnsi="Arial"/>
          <w:sz w:val="12"/>
          <w:szCs w:val="12"/>
          <w:color w:val="auto"/>
        </w:rPr>
        <w:t>Subject to other customary covenants set forth in the Loan and Security Agreement with Solar, the Company is required to maintain unrestricted cash and cash equivalents based on the trailing 12-month net products revenues tested on a monthly basis as follows: (a) $15.0 million if net product revenue is less than $75.0 million; or (b) $7.5 million if net product revenue is greater than or equal to $75.0 million, but less than $100.0 million (the “minimum liquidity requirement”). The Company is not subject to minimum liquidity requirement when trailing twelve-month net product revenues exceeds $100.0 million. Upon the occurrence of an event of default of certain customary covenants, including the minimum liquidity requirements, as specified in the Loan and Security Agreement, subject to specified cure periods, all amounts owed by the Company would begin to bear interest at a rate that is 5.0% above the rate effective immediately before the event of default and may be declared immediately due and payable by Solar. As of June 30, 2021, the Company was in compliance with all debt covenants. Though there are uncertainties surrounding the impact of the COVID-19 pandemic that may impact its future revenue, the Company believes that it has sufficient cash and cash equivalents to meet the minimum liquidity requirements in the foreseeable succeeding periods.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CARES Act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167640</wp:posOffset>
            </wp:positionV>
            <wp:extent cx="719264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 w:name="page18"/>
    <w:bookmarkEnd w:id="17"/>
    <w:p>
      <w:pPr>
        <w:jc w:val="center"/>
        <w:spacing w:after="0"/>
        <w:rPr>
          <w:sz w:val="20"/>
          <w:szCs w:val="20"/>
          <w:color w:val="auto"/>
        </w:rPr>
      </w:pPr>
      <w:r>
        <w:rPr>
          <w:rFonts w:ascii="Arial" w:cs="Arial" w:eastAsia="Arial" w:hAnsi="Arial"/>
          <w:sz w:val="13"/>
          <w:szCs w:val="13"/>
          <w:b w:val="1"/>
          <w:bCs w:val="1"/>
          <w:color w:val="auto"/>
        </w:rPr>
        <w:t>SI-BONE,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204" w:lineRule="exact"/>
        <w:rPr>
          <w:sz w:val="20"/>
          <w:szCs w:val="20"/>
          <w:color w:val="auto"/>
        </w:rPr>
      </w:pPr>
    </w:p>
    <w:p>
      <w:pPr>
        <w:jc w:val="both"/>
        <w:ind w:firstLine="362"/>
        <w:spacing w:after="0" w:line="260" w:lineRule="auto"/>
        <w:rPr>
          <w:sz w:val="20"/>
          <w:szCs w:val="20"/>
          <w:color w:val="auto"/>
        </w:rPr>
      </w:pPr>
      <w:r>
        <w:rPr>
          <w:rFonts w:ascii="Arial" w:cs="Arial" w:eastAsia="Arial" w:hAnsi="Arial"/>
          <w:sz w:val="13"/>
          <w:szCs w:val="13"/>
          <w:color w:val="auto"/>
        </w:rPr>
        <w:t>On March 27, 2020, the U.S. federal government enacted the “Coronavirus Aid, Relief and Economic Security (CARES) Act,” which, among other things, allowed employers to defer the deposit and payment of an employer's share of social security taxes through December 31, 2020. The Company recorded a total liability of $1.0 million related to the deferral of the social security taxes of which $0.5 million is included in each accrued liabilities and other and other long-term liabilities in the condensed consolidated balance sheets as of June 30, 2021 and December 31, 2020.</w:t>
      </w:r>
    </w:p>
    <w:p>
      <w:pPr>
        <w:spacing w:after="0" w:line="308" w:lineRule="exact"/>
        <w:rPr>
          <w:sz w:val="20"/>
          <w:szCs w:val="20"/>
          <w:color w:val="auto"/>
        </w:rPr>
      </w:pPr>
    </w:p>
    <w:p>
      <w:pPr>
        <w:ind w:left="340" w:right="8660" w:hanging="339"/>
        <w:spacing w:after="0" w:line="535" w:lineRule="auto"/>
        <w:tabs>
          <w:tab w:leader="none" w:pos="142"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Stock-Based Incentive Compensation Plans </w:t>
      </w:r>
      <w:r>
        <w:rPr>
          <w:rFonts w:ascii="Arial" w:cs="Arial" w:eastAsia="Arial" w:hAnsi="Arial"/>
          <w:sz w:val="13"/>
          <w:szCs w:val="13"/>
          <w:b w:val="1"/>
          <w:bCs w:val="1"/>
          <w:i w:val="1"/>
          <w:iCs w:val="1"/>
          <w:color w:val="auto"/>
        </w:rPr>
        <w:t>Stock Options</w:t>
      </w:r>
    </w:p>
    <w:p>
      <w:pPr>
        <w:ind w:left="340"/>
        <w:spacing w:after="0"/>
        <w:rPr>
          <w:rFonts w:ascii="Arial" w:cs="Arial" w:eastAsia="Arial" w:hAnsi="Arial"/>
          <w:sz w:val="13"/>
          <w:szCs w:val="13"/>
          <w:b w:val="1"/>
          <w:bCs w:val="1"/>
          <w:color w:val="auto"/>
        </w:rPr>
      </w:pPr>
      <w:r>
        <w:rPr>
          <w:rFonts w:ascii="Arial" w:cs="Arial" w:eastAsia="Arial" w:hAnsi="Arial"/>
          <w:sz w:val="13"/>
          <w:szCs w:val="13"/>
          <w:color w:val="auto"/>
        </w:rPr>
        <w:t>The table below summarizes the stock option activity for the six months ended June 30, 2021:</w:t>
      </w:r>
    </w:p>
    <w:p>
      <w:pPr>
        <w:spacing w:after="0" w:line="146" w:lineRule="exact"/>
        <w:rPr>
          <w:sz w:val="20"/>
          <w:szCs w:val="20"/>
          <w:color w:val="auto"/>
        </w:rPr>
      </w:pPr>
    </w:p>
    <w:tbl>
      <w:tblPr>
        <w:tblLayout w:type="fixed"/>
        <w:tblInd w:w="960" w:type="dxa"/>
        <w:tblCellMar>
          <w:top w:w="0" w:type="dxa"/>
          <w:left w:w="0" w:type="dxa"/>
          <w:bottom w:w="0" w:type="dxa"/>
          <w:right w:w="0" w:type="dxa"/>
        </w:tblCellMar>
      </w:tblPr>
      <w:tr>
        <w:trPr>
          <w:trHeight w:val="138"/>
        </w:trPr>
        <w:tc>
          <w:tcPr>
            <w:tcW w:w="4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89"/>
              </w:rPr>
              <w:t>Weighted-</w:t>
            </w:r>
          </w:p>
        </w:tc>
        <w:tc>
          <w:tcPr>
            <w:tcW w:w="0" w:type="dxa"/>
            <w:vAlign w:val="bottom"/>
          </w:tcPr>
          <w:p>
            <w:pPr>
              <w:spacing w:after="0"/>
              <w:rPr>
                <w:sz w:val="1"/>
                <w:szCs w:val="1"/>
                <w:color w:val="auto"/>
              </w:rPr>
            </w:pPr>
          </w:p>
        </w:tc>
      </w:tr>
      <w:tr>
        <w:trPr>
          <w:trHeight w:val="121"/>
        </w:trPr>
        <w:tc>
          <w:tcPr>
            <w:tcW w:w="4620" w:type="dxa"/>
            <w:vAlign w:val="bottom"/>
          </w:tcPr>
          <w:p>
            <w:pPr>
              <w:spacing w:after="0"/>
              <w:rPr>
                <w:sz w:val="10"/>
                <w:szCs w:val="10"/>
                <w:color w:val="auto"/>
              </w:rPr>
            </w:pPr>
          </w:p>
        </w:tc>
        <w:tc>
          <w:tcPr>
            <w:tcW w:w="1220" w:type="dxa"/>
            <w:vAlign w:val="bottom"/>
            <w:vMerge w:val="restart"/>
          </w:tcPr>
          <w:p>
            <w:pPr>
              <w:jc w:val="right"/>
              <w:ind w:right="275"/>
              <w:spacing w:after="0"/>
              <w:rPr>
                <w:sz w:val="20"/>
                <w:szCs w:val="20"/>
                <w:color w:val="auto"/>
              </w:rPr>
            </w:pPr>
            <w:r>
              <w:rPr>
                <w:rFonts w:ascii="Arial" w:cs="Arial" w:eastAsia="Arial" w:hAnsi="Arial"/>
                <w:sz w:val="12"/>
                <w:szCs w:val="12"/>
                <w:b w:val="1"/>
                <w:bCs w:val="1"/>
                <w:color w:val="auto"/>
              </w:rPr>
              <w:t>Number of</w:t>
            </w:r>
          </w:p>
        </w:tc>
        <w:tc>
          <w:tcPr>
            <w:tcW w:w="100" w:type="dxa"/>
            <w:vAlign w:val="bottom"/>
          </w:tcPr>
          <w:p>
            <w:pPr>
              <w:spacing w:after="0"/>
              <w:rPr>
                <w:sz w:val="10"/>
                <w:szCs w:val="10"/>
                <w:color w:val="auto"/>
              </w:rPr>
            </w:pPr>
          </w:p>
        </w:tc>
        <w:tc>
          <w:tcPr>
            <w:tcW w:w="122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21"/>
        </w:trPr>
        <w:tc>
          <w:tcPr>
            <w:tcW w:w="46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9"/>
              </w:rPr>
              <w:t>Exercise</w:t>
            </w:r>
          </w:p>
        </w:tc>
        <w:tc>
          <w:tcPr>
            <w:tcW w:w="0" w:type="dxa"/>
            <w:vAlign w:val="bottom"/>
          </w:tcPr>
          <w:p>
            <w:pPr>
              <w:spacing w:after="0"/>
              <w:rPr>
                <w:sz w:val="1"/>
                <w:szCs w:val="1"/>
                <w:color w:val="auto"/>
              </w:rPr>
            </w:pPr>
          </w:p>
        </w:tc>
      </w:tr>
      <w:tr>
        <w:trPr>
          <w:trHeight w:val="159"/>
        </w:trPr>
        <w:tc>
          <w:tcPr>
            <w:tcW w:w="462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2"/>
                <w:szCs w:val="12"/>
                <w:b w:val="1"/>
                <w:bCs w:val="1"/>
                <w:color w:val="auto"/>
              </w:rPr>
              <w:t>Shares</w:t>
            </w: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Price</w:t>
            </w:r>
          </w:p>
        </w:tc>
        <w:tc>
          <w:tcPr>
            <w:tcW w:w="0" w:type="dxa"/>
            <w:vAlign w:val="bottom"/>
          </w:tcPr>
          <w:p>
            <w:pPr>
              <w:spacing w:after="0"/>
              <w:rPr>
                <w:sz w:val="1"/>
                <w:szCs w:val="1"/>
                <w:color w:val="auto"/>
              </w:rPr>
            </w:pPr>
          </w:p>
        </w:tc>
      </w:tr>
      <w:tr>
        <w:trPr>
          <w:trHeight w:val="163"/>
        </w:trPr>
        <w:tc>
          <w:tcPr>
            <w:tcW w:w="4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Outstanding as of December 31, 2020</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2,405,957</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$8.54</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3"/>
                <w:szCs w:val="13"/>
                <w:color w:val="auto"/>
              </w:rPr>
              <w:t>Exercised</w:t>
            </w:r>
          </w:p>
        </w:tc>
        <w:tc>
          <w:tcPr>
            <w:tcW w:w="1220" w:type="dxa"/>
            <w:vAlign w:val="bottom"/>
          </w:tcPr>
          <w:p>
            <w:pPr>
              <w:jc w:val="right"/>
              <w:spacing w:after="0"/>
              <w:rPr>
                <w:sz w:val="20"/>
                <w:szCs w:val="20"/>
                <w:color w:val="auto"/>
              </w:rPr>
            </w:pPr>
            <w:r>
              <w:rPr>
                <w:rFonts w:ascii="Arial" w:cs="Arial" w:eastAsia="Arial" w:hAnsi="Arial"/>
                <w:sz w:val="13"/>
                <w:szCs w:val="13"/>
                <w:color w:val="auto"/>
              </w:rPr>
              <w:t>(234,892)</w:t>
            </w:r>
          </w:p>
        </w:tc>
        <w:tc>
          <w:tcPr>
            <w:tcW w:w="1320" w:type="dxa"/>
            <w:vAlign w:val="bottom"/>
            <w:gridSpan w:val="2"/>
          </w:tcPr>
          <w:p>
            <w:pPr>
              <w:jc w:val="center"/>
              <w:ind w:left="33"/>
              <w:spacing w:after="0"/>
              <w:rPr>
                <w:sz w:val="20"/>
                <w:szCs w:val="20"/>
                <w:color w:val="auto"/>
              </w:rPr>
            </w:pPr>
            <w:r>
              <w:rPr>
                <w:rFonts w:ascii="Arial" w:cs="Arial" w:eastAsia="Arial" w:hAnsi="Arial"/>
                <w:sz w:val="13"/>
                <w:szCs w:val="13"/>
                <w:color w:val="auto"/>
                <w:w w:val="86"/>
              </w:rPr>
              <w:t>5.33</w:t>
            </w:r>
          </w:p>
        </w:tc>
        <w:tc>
          <w:tcPr>
            <w:tcW w:w="0" w:type="dxa"/>
            <w:vAlign w:val="bottom"/>
          </w:tcPr>
          <w:p>
            <w:pPr>
              <w:spacing w:after="0"/>
              <w:rPr>
                <w:sz w:val="1"/>
                <w:szCs w:val="1"/>
                <w:color w:val="auto"/>
              </w:rPr>
            </w:pPr>
          </w:p>
        </w:tc>
      </w:tr>
      <w:tr>
        <w:trPr>
          <w:trHeight w:val="171"/>
        </w:trPr>
        <w:tc>
          <w:tcPr>
            <w:tcW w:w="4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Canceled and forfeited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(23,170)</w:t>
            </w:r>
          </w:p>
        </w:tc>
        <w:tc>
          <w:tcPr>
            <w:tcW w:w="1320" w:type="dxa"/>
            <w:vAlign w:val="bottom"/>
            <w:gridSpan w:val="2"/>
            <w:shd w:val="clear" w:color="auto" w:fill="CCEEFF"/>
          </w:tcPr>
          <w:p>
            <w:pPr>
              <w:jc w:val="center"/>
              <w:ind w:left="33"/>
              <w:spacing w:after="0"/>
              <w:rPr>
                <w:sz w:val="20"/>
                <w:szCs w:val="20"/>
                <w:color w:val="auto"/>
              </w:rPr>
            </w:pPr>
            <w:r>
              <w:rPr>
                <w:rFonts w:ascii="Arial" w:cs="Arial" w:eastAsia="Arial" w:hAnsi="Arial"/>
                <w:sz w:val="13"/>
                <w:szCs w:val="13"/>
                <w:color w:val="auto"/>
                <w:w w:val="92"/>
              </w:rPr>
              <w:t>16.02</w:t>
            </w:r>
          </w:p>
        </w:tc>
        <w:tc>
          <w:tcPr>
            <w:tcW w:w="0" w:type="dxa"/>
            <w:vAlign w:val="bottom"/>
          </w:tcPr>
          <w:p>
            <w:pPr>
              <w:spacing w:after="0"/>
              <w:rPr>
                <w:sz w:val="1"/>
                <w:szCs w:val="1"/>
                <w:color w:val="auto"/>
              </w:rPr>
            </w:pPr>
          </w:p>
        </w:tc>
      </w:tr>
      <w:tr>
        <w:trPr>
          <w:trHeight w:val="161"/>
        </w:trPr>
        <w:tc>
          <w:tcPr>
            <w:tcW w:w="4620" w:type="dxa"/>
            <w:vAlign w:val="bottom"/>
          </w:tcPr>
          <w:p>
            <w:pPr>
              <w:ind w:left="20"/>
              <w:spacing w:after="0"/>
              <w:rPr>
                <w:sz w:val="20"/>
                <w:szCs w:val="20"/>
                <w:color w:val="auto"/>
              </w:rPr>
            </w:pPr>
            <w:r>
              <w:rPr>
                <w:rFonts w:ascii="Arial" w:cs="Arial" w:eastAsia="Arial" w:hAnsi="Arial"/>
                <w:sz w:val="13"/>
                <w:szCs w:val="13"/>
                <w:b w:val="1"/>
                <w:bCs w:val="1"/>
                <w:color w:val="auto"/>
              </w:rPr>
              <w:t>Outstanding as of June 30, 2021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2,147,895</w:t>
            </w:r>
          </w:p>
        </w:tc>
        <w:tc>
          <w:tcPr>
            <w:tcW w:w="1320" w:type="dxa"/>
            <w:vAlign w:val="bottom"/>
            <w:gridSpan w:val="2"/>
          </w:tcPr>
          <w:p>
            <w:pPr>
              <w:jc w:val="center"/>
              <w:ind w:left="33"/>
              <w:spacing w:after="0"/>
              <w:rPr>
                <w:sz w:val="20"/>
                <w:szCs w:val="20"/>
                <w:color w:val="auto"/>
              </w:rPr>
            </w:pPr>
            <w:r>
              <w:rPr>
                <w:rFonts w:ascii="Arial" w:cs="Arial" w:eastAsia="Arial" w:hAnsi="Arial"/>
                <w:sz w:val="13"/>
                <w:szCs w:val="13"/>
                <w:color w:val="auto"/>
                <w:w w:val="86"/>
              </w:rPr>
              <w:t>8.81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As of June 30, 2021, the unrecognized compensation cost related to stock options was $2.1 million, which is expected to be recognized over a period of approximately 1.4 years.</w:t>
      </w:r>
    </w:p>
    <w:p>
      <w:pPr>
        <w:spacing w:after="0" w:line="193" w:lineRule="exact"/>
        <w:rPr>
          <w:sz w:val="20"/>
          <w:szCs w:val="20"/>
          <w:color w:val="auto"/>
        </w:rPr>
      </w:pPr>
    </w:p>
    <w:p>
      <w:pPr>
        <w:jc w:val="both"/>
        <w:ind w:firstLine="362"/>
        <w:spacing w:after="0" w:line="294" w:lineRule="auto"/>
        <w:rPr>
          <w:sz w:val="20"/>
          <w:szCs w:val="20"/>
          <w:color w:val="auto"/>
        </w:rPr>
      </w:pPr>
      <w:r>
        <w:rPr>
          <w:rFonts w:ascii="Arial" w:cs="Arial" w:eastAsia="Arial" w:hAnsi="Arial"/>
          <w:sz w:val="13"/>
          <w:szCs w:val="13"/>
          <w:color w:val="auto"/>
        </w:rPr>
        <w:t>There were no stock options granted during the three months ended June 30, 2020 and six months ended June 30, 2021. The table below summarizes the weighted average grant date fair value per share and the assumptions used to estimate the grant date fair value using the Black-Scholes option-pricing model of the stock options granted in the six months ended June 30, 2020:</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160"/>
        </w:trPr>
        <w:tc>
          <w:tcPr>
            <w:tcW w:w="362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Six Months Ended June 30,</w:t>
            </w:r>
          </w:p>
        </w:tc>
        <w:tc>
          <w:tcPr>
            <w:tcW w:w="1160" w:type="dxa"/>
            <w:vAlign w:val="bottom"/>
            <w:tcBorders>
              <w:bottom w:val="single" w:sz="8" w:color="auto"/>
            </w:tcBorders>
          </w:tcPr>
          <w:p>
            <w:pPr>
              <w:spacing w:after="0"/>
              <w:rPr>
                <w:sz w:val="13"/>
                <w:szCs w:val="13"/>
                <w:color w:val="auto"/>
              </w:rPr>
            </w:pPr>
          </w:p>
        </w:tc>
      </w:tr>
      <w:tr>
        <w:trPr>
          <w:trHeight w:val="152"/>
        </w:trPr>
        <w:tc>
          <w:tcPr>
            <w:tcW w:w="362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c>
          <w:tcPr>
            <w:tcW w:w="1160" w:type="dxa"/>
            <w:vAlign w:val="bottom"/>
            <w:tcBorders>
              <w:bottom w:val="single" w:sz="8" w:color="auto"/>
            </w:tcBorders>
          </w:tcPr>
          <w:p>
            <w:pPr>
              <w:spacing w:after="0"/>
              <w:rPr>
                <w:sz w:val="13"/>
                <w:szCs w:val="13"/>
                <w:color w:val="auto"/>
              </w:rPr>
            </w:pPr>
          </w:p>
        </w:tc>
      </w:tr>
      <w:tr>
        <w:trPr>
          <w:trHeight w:val="163"/>
        </w:trPr>
        <w:tc>
          <w:tcPr>
            <w:tcW w:w="3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Weighted average grant date fair value per share</w:t>
            </w:r>
          </w:p>
        </w:tc>
        <w:tc>
          <w:tcPr>
            <w:tcW w:w="1180" w:type="dxa"/>
            <w:vAlign w:val="bottom"/>
            <w:shd w:val="clear" w:color="auto" w:fill="CCEEFF"/>
          </w:tcPr>
          <w:p>
            <w:pPr>
              <w:spacing w:after="0"/>
              <w:rPr>
                <w:sz w:val="14"/>
                <w:szCs w:val="14"/>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$8.37</w:t>
            </w:r>
          </w:p>
        </w:tc>
        <w:tc>
          <w:tcPr>
            <w:tcW w:w="1160" w:type="dxa"/>
            <w:vAlign w:val="bottom"/>
            <w:shd w:val="clear" w:color="auto" w:fill="CCEEFF"/>
          </w:tcPr>
          <w:p>
            <w:pPr>
              <w:spacing w:after="0"/>
              <w:rPr>
                <w:sz w:val="14"/>
                <w:szCs w:val="14"/>
                <w:color w:val="auto"/>
              </w:rPr>
            </w:pPr>
          </w:p>
        </w:tc>
      </w:tr>
      <w:tr>
        <w:trPr>
          <w:trHeight w:val="171"/>
        </w:trPr>
        <w:tc>
          <w:tcPr>
            <w:tcW w:w="3620" w:type="dxa"/>
            <w:vAlign w:val="bottom"/>
          </w:tcPr>
          <w:p>
            <w:pPr>
              <w:ind w:left="40"/>
              <w:spacing w:after="0"/>
              <w:rPr>
                <w:sz w:val="20"/>
                <w:szCs w:val="20"/>
                <w:color w:val="auto"/>
              </w:rPr>
            </w:pPr>
            <w:r>
              <w:rPr>
                <w:rFonts w:ascii="Arial" w:cs="Arial" w:eastAsia="Arial" w:hAnsi="Arial"/>
                <w:sz w:val="13"/>
                <w:szCs w:val="13"/>
                <w:color w:val="auto"/>
              </w:rPr>
              <w:t>Expected term (years)</w:t>
            </w:r>
          </w:p>
        </w:tc>
        <w:tc>
          <w:tcPr>
            <w:tcW w:w="1180" w:type="dxa"/>
            <w:vAlign w:val="bottom"/>
          </w:tcPr>
          <w:p>
            <w:pPr>
              <w:jc w:val="center"/>
              <w:ind w:left="213"/>
              <w:spacing w:after="0"/>
              <w:rPr>
                <w:sz w:val="20"/>
                <w:szCs w:val="20"/>
                <w:color w:val="auto"/>
              </w:rPr>
            </w:pPr>
            <w:r>
              <w:rPr>
                <w:rFonts w:ascii="Arial" w:cs="Arial" w:eastAsia="Arial" w:hAnsi="Arial"/>
                <w:sz w:val="13"/>
                <w:szCs w:val="13"/>
                <w:color w:val="auto"/>
                <w:w w:val="99"/>
              </w:rPr>
              <w:t>5.5</w:t>
            </w:r>
          </w:p>
        </w:tc>
        <w:tc>
          <w:tcPr>
            <w:tcW w:w="1980" w:type="dxa"/>
            <w:vAlign w:val="bottom"/>
          </w:tcPr>
          <w:p>
            <w:pPr>
              <w:jc w:val="center"/>
              <w:spacing w:after="0"/>
              <w:rPr>
                <w:sz w:val="20"/>
                <w:szCs w:val="20"/>
                <w:color w:val="auto"/>
              </w:rPr>
            </w:pPr>
            <w:r>
              <w:rPr>
                <w:rFonts w:ascii="Arial" w:cs="Arial" w:eastAsia="Arial" w:hAnsi="Arial"/>
                <w:sz w:val="13"/>
                <w:szCs w:val="13"/>
                <w:color w:val="auto"/>
                <w:w w:val="91"/>
              </w:rPr>
              <w:t>to</w:t>
            </w:r>
          </w:p>
        </w:tc>
        <w:tc>
          <w:tcPr>
            <w:tcW w:w="1160" w:type="dxa"/>
            <w:vAlign w:val="bottom"/>
          </w:tcPr>
          <w:p>
            <w:pPr>
              <w:jc w:val="center"/>
              <w:ind w:right="193"/>
              <w:spacing w:after="0"/>
              <w:rPr>
                <w:sz w:val="20"/>
                <w:szCs w:val="20"/>
                <w:color w:val="auto"/>
              </w:rPr>
            </w:pPr>
            <w:r>
              <w:rPr>
                <w:rFonts w:ascii="Arial" w:cs="Arial" w:eastAsia="Arial" w:hAnsi="Arial"/>
                <w:sz w:val="13"/>
                <w:szCs w:val="13"/>
                <w:color w:val="auto"/>
                <w:w w:val="99"/>
              </w:rPr>
              <w:t>7.0</w:t>
            </w:r>
          </w:p>
        </w:tc>
      </w:tr>
      <w:tr>
        <w:trPr>
          <w:trHeight w:val="171"/>
        </w:trPr>
        <w:tc>
          <w:tcPr>
            <w:tcW w:w="3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Expected volatility</w:t>
            </w:r>
          </w:p>
        </w:tc>
        <w:tc>
          <w:tcPr>
            <w:tcW w:w="1180" w:type="dxa"/>
            <w:vAlign w:val="bottom"/>
            <w:shd w:val="clear" w:color="auto" w:fill="CCEEFF"/>
          </w:tcPr>
          <w:p>
            <w:pPr>
              <w:jc w:val="center"/>
              <w:ind w:left="213"/>
              <w:spacing w:after="0"/>
              <w:rPr>
                <w:sz w:val="20"/>
                <w:szCs w:val="20"/>
                <w:color w:val="auto"/>
              </w:rPr>
            </w:pPr>
            <w:r>
              <w:rPr>
                <w:rFonts w:ascii="Arial" w:cs="Arial" w:eastAsia="Arial" w:hAnsi="Arial"/>
                <w:sz w:val="13"/>
                <w:szCs w:val="13"/>
                <w:color w:val="auto"/>
                <w:w w:val="92"/>
              </w:rPr>
              <w:t>46.7%</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to</w:t>
            </w:r>
          </w:p>
        </w:tc>
        <w:tc>
          <w:tcPr>
            <w:tcW w:w="1160" w:type="dxa"/>
            <w:vAlign w:val="bottom"/>
            <w:shd w:val="clear" w:color="auto" w:fill="CCEEFF"/>
          </w:tcPr>
          <w:p>
            <w:pPr>
              <w:jc w:val="center"/>
              <w:ind w:right="193"/>
              <w:spacing w:after="0"/>
              <w:rPr>
                <w:sz w:val="20"/>
                <w:szCs w:val="20"/>
                <w:color w:val="auto"/>
              </w:rPr>
            </w:pPr>
            <w:r>
              <w:rPr>
                <w:rFonts w:ascii="Arial" w:cs="Arial" w:eastAsia="Arial" w:hAnsi="Arial"/>
                <w:sz w:val="13"/>
                <w:szCs w:val="13"/>
                <w:color w:val="auto"/>
                <w:w w:val="92"/>
              </w:rPr>
              <w:t>47.2%</w:t>
            </w:r>
          </w:p>
        </w:tc>
      </w:tr>
      <w:tr>
        <w:trPr>
          <w:trHeight w:val="171"/>
        </w:trPr>
        <w:tc>
          <w:tcPr>
            <w:tcW w:w="3620" w:type="dxa"/>
            <w:vAlign w:val="bottom"/>
          </w:tcPr>
          <w:p>
            <w:pPr>
              <w:ind w:left="40"/>
              <w:spacing w:after="0"/>
              <w:rPr>
                <w:sz w:val="20"/>
                <w:szCs w:val="20"/>
                <w:color w:val="auto"/>
              </w:rPr>
            </w:pPr>
            <w:r>
              <w:rPr>
                <w:rFonts w:ascii="Arial" w:cs="Arial" w:eastAsia="Arial" w:hAnsi="Arial"/>
                <w:sz w:val="13"/>
                <w:szCs w:val="13"/>
                <w:color w:val="auto"/>
              </w:rPr>
              <w:t>Risk-free interest rate</w:t>
            </w:r>
          </w:p>
        </w:tc>
        <w:tc>
          <w:tcPr>
            <w:tcW w:w="1180" w:type="dxa"/>
            <w:vAlign w:val="bottom"/>
          </w:tcPr>
          <w:p>
            <w:pPr>
              <w:jc w:val="center"/>
              <w:ind w:left="213"/>
              <w:spacing w:after="0"/>
              <w:rPr>
                <w:sz w:val="20"/>
                <w:szCs w:val="20"/>
                <w:color w:val="auto"/>
              </w:rPr>
            </w:pPr>
            <w:r>
              <w:rPr>
                <w:rFonts w:ascii="Arial" w:cs="Arial" w:eastAsia="Arial" w:hAnsi="Arial"/>
                <w:sz w:val="13"/>
                <w:szCs w:val="13"/>
                <w:color w:val="auto"/>
                <w:w w:val="92"/>
              </w:rPr>
              <w:t>1.56%</w:t>
            </w:r>
          </w:p>
        </w:tc>
        <w:tc>
          <w:tcPr>
            <w:tcW w:w="1980" w:type="dxa"/>
            <w:vAlign w:val="bottom"/>
          </w:tcPr>
          <w:p>
            <w:pPr>
              <w:jc w:val="center"/>
              <w:spacing w:after="0"/>
              <w:rPr>
                <w:sz w:val="20"/>
                <w:szCs w:val="20"/>
                <w:color w:val="auto"/>
              </w:rPr>
            </w:pPr>
            <w:r>
              <w:rPr>
                <w:rFonts w:ascii="Arial" w:cs="Arial" w:eastAsia="Arial" w:hAnsi="Arial"/>
                <w:sz w:val="13"/>
                <w:szCs w:val="13"/>
                <w:color w:val="auto"/>
                <w:w w:val="91"/>
              </w:rPr>
              <w:t>to</w:t>
            </w:r>
          </w:p>
        </w:tc>
        <w:tc>
          <w:tcPr>
            <w:tcW w:w="1160" w:type="dxa"/>
            <w:vAlign w:val="bottom"/>
          </w:tcPr>
          <w:p>
            <w:pPr>
              <w:jc w:val="center"/>
              <w:ind w:right="193"/>
              <w:spacing w:after="0"/>
              <w:rPr>
                <w:sz w:val="20"/>
                <w:szCs w:val="20"/>
                <w:color w:val="auto"/>
              </w:rPr>
            </w:pPr>
            <w:r>
              <w:rPr>
                <w:rFonts w:ascii="Arial" w:cs="Arial" w:eastAsia="Arial" w:hAnsi="Arial"/>
                <w:sz w:val="13"/>
                <w:szCs w:val="13"/>
                <w:color w:val="auto"/>
                <w:w w:val="92"/>
              </w:rPr>
              <w:t>1.64%</w:t>
            </w:r>
          </w:p>
        </w:tc>
      </w:tr>
      <w:tr>
        <w:trPr>
          <w:trHeight w:val="171"/>
        </w:trPr>
        <w:tc>
          <w:tcPr>
            <w:tcW w:w="3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 yield</w:t>
            </w:r>
          </w:p>
        </w:tc>
        <w:tc>
          <w:tcPr>
            <w:tcW w:w="1180" w:type="dxa"/>
            <w:vAlign w:val="bottom"/>
            <w:shd w:val="clear" w:color="auto" w:fill="CCEEFF"/>
          </w:tcPr>
          <w:p>
            <w:pPr>
              <w:spacing w:after="0"/>
              <w:rPr>
                <w:sz w:val="14"/>
                <w:szCs w:val="14"/>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w:t>
            </w:r>
          </w:p>
        </w:tc>
        <w:tc>
          <w:tcPr>
            <w:tcW w:w="116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Early Exercise of Unvested Stock Options</w:t>
      </w:r>
    </w:p>
    <w:p>
      <w:pPr>
        <w:spacing w:after="0" w:line="92" w:lineRule="exact"/>
        <w:rPr>
          <w:sz w:val="20"/>
          <w:szCs w:val="20"/>
          <w:color w:val="auto"/>
        </w:rPr>
      </w:pPr>
    </w:p>
    <w:p>
      <w:pPr>
        <w:jc w:val="both"/>
        <w:ind w:firstLine="332"/>
        <w:spacing w:after="0" w:line="270" w:lineRule="auto"/>
        <w:rPr>
          <w:sz w:val="20"/>
          <w:szCs w:val="20"/>
          <w:color w:val="auto"/>
        </w:rPr>
      </w:pPr>
      <w:r>
        <w:rPr>
          <w:rFonts w:ascii="Arial" w:cs="Arial" w:eastAsia="Arial" w:hAnsi="Arial"/>
          <w:sz w:val="13"/>
          <w:szCs w:val="13"/>
          <w:color w:val="auto"/>
        </w:rPr>
        <w:t>Early exercises of stock options under the Company's 2008 Stock Option Plan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equity as the options vest. As of June 30, 2021 and December 31, 2020, the Company had a total of 1,945 shares and 5,836 shares of common stock, respectively, subject to repurchase under the Company's 2008 Stock Option Plan.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167640</wp:posOffset>
            </wp:positionV>
            <wp:extent cx="719264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3"/>
          <w:szCs w:val="13"/>
          <w:b w:val="1"/>
          <w:bCs w:val="1"/>
          <w:color w:val="auto"/>
        </w:rPr>
        <w:t>SI-BONE,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Restricted Stock Units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table below summarizes restricted stock units activity for the six months ended June 30, 2021:</w:t>
      </w:r>
    </w:p>
    <w:p>
      <w:pPr>
        <w:spacing w:after="0" w:line="186" w:lineRule="exact"/>
        <w:rPr>
          <w:sz w:val="20"/>
          <w:szCs w:val="20"/>
          <w:color w:val="auto"/>
        </w:rPr>
      </w:pPr>
    </w:p>
    <w:tbl>
      <w:tblPr>
        <w:tblLayout w:type="fixed"/>
        <w:tblInd w:w="820" w:type="dxa"/>
        <w:tblCellMar>
          <w:top w:w="0" w:type="dxa"/>
          <w:left w:w="0" w:type="dxa"/>
          <w:bottom w:w="0" w:type="dxa"/>
          <w:right w:w="0" w:type="dxa"/>
        </w:tblCellMar>
      </w:tblPr>
      <w:tr>
        <w:trPr>
          <w:trHeight w:val="138"/>
        </w:trPr>
        <w:tc>
          <w:tcPr>
            <w:tcW w:w="5000" w:type="dxa"/>
            <w:vAlign w:val="bottom"/>
          </w:tcPr>
          <w:p>
            <w:pPr>
              <w:spacing w:after="0"/>
              <w:rPr>
                <w:sz w:val="12"/>
                <w:szCs w:val="12"/>
                <w:color w:val="auto"/>
              </w:rPr>
            </w:pPr>
          </w:p>
        </w:tc>
        <w:tc>
          <w:tcPr>
            <w:tcW w:w="1260" w:type="dxa"/>
            <w:vAlign w:val="bottom"/>
            <w:vMerge w:val="restart"/>
          </w:tcPr>
          <w:p>
            <w:pPr>
              <w:jc w:val="right"/>
              <w:ind w:right="115"/>
              <w:spacing w:after="0"/>
              <w:rPr>
                <w:sz w:val="20"/>
                <w:szCs w:val="20"/>
                <w:color w:val="auto"/>
              </w:rPr>
            </w:pPr>
            <w:r>
              <w:rPr>
                <w:rFonts w:ascii="Arial" w:cs="Arial" w:eastAsia="Arial" w:hAnsi="Arial"/>
                <w:sz w:val="12"/>
                <w:szCs w:val="12"/>
                <w:b w:val="1"/>
                <w:bCs w:val="1"/>
                <w:color w:val="auto"/>
              </w:rPr>
              <w:t>Number of</w:t>
            </w:r>
          </w:p>
        </w:tc>
        <w:tc>
          <w:tcPr>
            <w:tcW w:w="200" w:type="dxa"/>
            <w:vAlign w:val="bottom"/>
          </w:tcPr>
          <w:p>
            <w:pPr>
              <w:spacing w:after="0"/>
              <w:rPr>
                <w:sz w:val="12"/>
                <w:szCs w:val="12"/>
                <w:color w:val="auto"/>
              </w:rPr>
            </w:pPr>
          </w:p>
        </w:tc>
        <w:tc>
          <w:tcPr>
            <w:tcW w:w="1260" w:type="dxa"/>
            <w:vAlign w:val="bottom"/>
          </w:tcPr>
          <w:p>
            <w:pPr>
              <w:ind w:left="560"/>
              <w:spacing w:after="0"/>
              <w:rPr>
                <w:sz w:val="20"/>
                <w:szCs w:val="20"/>
                <w:color w:val="auto"/>
              </w:rPr>
            </w:pPr>
            <w:r>
              <w:rPr>
                <w:rFonts w:ascii="Arial" w:cs="Arial" w:eastAsia="Arial" w:hAnsi="Arial"/>
                <w:sz w:val="12"/>
                <w:szCs w:val="12"/>
                <w:b w:val="1"/>
                <w:bCs w:val="1"/>
                <w:color w:val="auto"/>
              </w:rPr>
              <w:t>Weighted</w:t>
            </w:r>
          </w:p>
        </w:tc>
        <w:tc>
          <w:tcPr>
            <w:tcW w:w="0" w:type="dxa"/>
            <w:vAlign w:val="bottom"/>
          </w:tcPr>
          <w:p>
            <w:pPr>
              <w:spacing w:after="0"/>
              <w:rPr>
                <w:sz w:val="1"/>
                <w:szCs w:val="1"/>
                <w:color w:val="auto"/>
              </w:rPr>
            </w:pPr>
          </w:p>
        </w:tc>
      </w:tr>
      <w:tr>
        <w:trPr>
          <w:trHeight w:val="121"/>
        </w:trPr>
        <w:tc>
          <w:tcPr>
            <w:tcW w:w="50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1"/>
              </w:rPr>
              <w:t>Average Grant Date</w:t>
            </w:r>
          </w:p>
        </w:tc>
        <w:tc>
          <w:tcPr>
            <w:tcW w:w="0" w:type="dxa"/>
            <w:vAlign w:val="bottom"/>
          </w:tcPr>
          <w:p>
            <w:pPr>
              <w:spacing w:after="0"/>
              <w:rPr>
                <w:sz w:val="1"/>
                <w:szCs w:val="1"/>
                <w:color w:val="auto"/>
              </w:rPr>
            </w:pPr>
          </w:p>
        </w:tc>
      </w:tr>
      <w:tr>
        <w:trPr>
          <w:trHeight w:val="159"/>
        </w:trPr>
        <w:tc>
          <w:tcPr>
            <w:tcW w:w="50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ind w:right="395"/>
              <w:spacing w:after="0"/>
              <w:rPr>
                <w:sz w:val="20"/>
                <w:szCs w:val="20"/>
                <w:color w:val="auto"/>
              </w:rPr>
            </w:pPr>
            <w:r>
              <w:rPr>
                <w:rFonts w:ascii="Arial" w:cs="Arial" w:eastAsia="Arial" w:hAnsi="Arial"/>
                <w:sz w:val="12"/>
                <w:szCs w:val="12"/>
                <w:b w:val="1"/>
                <w:bCs w:val="1"/>
                <w:color w:val="auto"/>
              </w:rPr>
              <w:t>Shares</w:t>
            </w:r>
          </w:p>
        </w:tc>
        <w:tc>
          <w:tcPr>
            <w:tcW w:w="2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Fair Value</w:t>
            </w:r>
          </w:p>
        </w:tc>
        <w:tc>
          <w:tcPr>
            <w:tcW w:w="0" w:type="dxa"/>
            <w:vAlign w:val="bottom"/>
          </w:tcPr>
          <w:p>
            <w:pPr>
              <w:spacing w:after="0"/>
              <w:rPr>
                <w:sz w:val="1"/>
                <w:szCs w:val="1"/>
                <w:color w:val="auto"/>
              </w:rPr>
            </w:pPr>
          </w:p>
        </w:tc>
      </w:tr>
      <w:tr>
        <w:trPr>
          <w:trHeight w:val="163"/>
        </w:trPr>
        <w:tc>
          <w:tcPr>
            <w:tcW w:w="5000" w:type="dxa"/>
            <w:vAlign w:val="bottom"/>
            <w:shd w:val="clear" w:color="auto" w:fill="CCEEFF"/>
          </w:tcPr>
          <w:p>
            <w:pPr>
              <w:ind w:left="340"/>
              <w:spacing w:after="0"/>
              <w:rPr>
                <w:sz w:val="20"/>
                <w:szCs w:val="20"/>
                <w:color w:val="auto"/>
              </w:rPr>
            </w:pPr>
            <w:r>
              <w:rPr>
                <w:rFonts w:ascii="Arial" w:cs="Arial" w:eastAsia="Arial" w:hAnsi="Arial"/>
                <w:sz w:val="13"/>
                <w:szCs w:val="13"/>
                <w:b w:val="1"/>
                <w:bCs w:val="1"/>
                <w:color w:val="auto"/>
              </w:rPr>
              <w:t>Outstanding as of December 31, 2020</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1,165,295</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center"/>
              <w:ind w:left="278"/>
              <w:spacing w:after="0"/>
              <w:rPr>
                <w:sz w:val="20"/>
                <w:szCs w:val="20"/>
                <w:color w:val="auto"/>
              </w:rPr>
            </w:pPr>
            <w:r>
              <w:rPr>
                <w:rFonts w:ascii="Arial" w:cs="Arial" w:eastAsia="Arial" w:hAnsi="Arial"/>
                <w:sz w:val="13"/>
                <w:szCs w:val="13"/>
                <w:color w:val="auto"/>
                <w:w w:val="90"/>
              </w:rPr>
              <w:t>$20.07</w:t>
            </w:r>
          </w:p>
        </w:tc>
        <w:tc>
          <w:tcPr>
            <w:tcW w:w="0" w:type="dxa"/>
            <w:vAlign w:val="bottom"/>
          </w:tcPr>
          <w:p>
            <w:pPr>
              <w:spacing w:after="0"/>
              <w:rPr>
                <w:sz w:val="1"/>
                <w:szCs w:val="1"/>
                <w:color w:val="auto"/>
              </w:rPr>
            </w:pPr>
          </w:p>
        </w:tc>
      </w:tr>
      <w:tr>
        <w:trPr>
          <w:trHeight w:val="171"/>
        </w:trPr>
        <w:tc>
          <w:tcPr>
            <w:tcW w:w="5000" w:type="dxa"/>
            <w:vAlign w:val="bottom"/>
          </w:tcPr>
          <w:p>
            <w:pPr>
              <w:ind w:left="340"/>
              <w:spacing w:after="0"/>
              <w:rPr>
                <w:sz w:val="20"/>
                <w:szCs w:val="20"/>
                <w:color w:val="auto"/>
              </w:rPr>
            </w:pPr>
            <w:r>
              <w:rPr>
                <w:rFonts w:ascii="Arial" w:cs="Arial" w:eastAsia="Arial" w:hAnsi="Arial"/>
                <w:sz w:val="13"/>
                <w:szCs w:val="13"/>
                <w:color w:val="auto"/>
              </w:rPr>
              <w:t>Granted</w:t>
            </w:r>
          </w:p>
        </w:tc>
        <w:tc>
          <w:tcPr>
            <w:tcW w:w="1260" w:type="dxa"/>
            <w:vAlign w:val="bottom"/>
          </w:tcPr>
          <w:p>
            <w:pPr>
              <w:jc w:val="right"/>
              <w:spacing w:after="0"/>
              <w:rPr>
                <w:sz w:val="20"/>
                <w:szCs w:val="20"/>
                <w:color w:val="auto"/>
              </w:rPr>
            </w:pPr>
            <w:r>
              <w:rPr>
                <w:rFonts w:ascii="Arial" w:cs="Arial" w:eastAsia="Arial" w:hAnsi="Arial"/>
                <w:sz w:val="13"/>
                <w:szCs w:val="13"/>
                <w:color w:val="auto"/>
              </w:rPr>
              <w:t>1,000,129</w:t>
            </w:r>
          </w:p>
        </w:tc>
        <w:tc>
          <w:tcPr>
            <w:tcW w:w="1460" w:type="dxa"/>
            <w:vAlign w:val="bottom"/>
            <w:gridSpan w:val="2"/>
          </w:tcPr>
          <w:p>
            <w:pPr>
              <w:jc w:val="center"/>
              <w:ind w:left="453"/>
              <w:spacing w:after="0"/>
              <w:rPr>
                <w:sz w:val="20"/>
                <w:szCs w:val="20"/>
                <w:color w:val="auto"/>
              </w:rPr>
            </w:pPr>
            <w:r>
              <w:rPr>
                <w:rFonts w:ascii="Arial" w:cs="Arial" w:eastAsia="Arial" w:hAnsi="Arial"/>
                <w:sz w:val="13"/>
                <w:szCs w:val="13"/>
                <w:color w:val="auto"/>
                <w:w w:val="92"/>
              </w:rPr>
              <w:t>29.72</w:t>
            </w:r>
          </w:p>
        </w:tc>
        <w:tc>
          <w:tcPr>
            <w:tcW w:w="0" w:type="dxa"/>
            <w:vAlign w:val="bottom"/>
          </w:tcPr>
          <w:p>
            <w:pPr>
              <w:spacing w:after="0"/>
              <w:rPr>
                <w:sz w:val="1"/>
                <w:szCs w:val="1"/>
                <w:color w:val="auto"/>
              </w:rPr>
            </w:pPr>
          </w:p>
        </w:tc>
      </w:tr>
      <w:tr>
        <w:trPr>
          <w:trHeight w:val="171"/>
        </w:trPr>
        <w:tc>
          <w:tcPr>
            <w:tcW w:w="50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(313,297)</w:t>
            </w:r>
          </w:p>
        </w:tc>
        <w:tc>
          <w:tcPr>
            <w:tcW w:w="1460" w:type="dxa"/>
            <w:vAlign w:val="bottom"/>
            <w:gridSpan w:val="2"/>
            <w:shd w:val="clear" w:color="auto" w:fill="CCEEFF"/>
          </w:tcPr>
          <w:p>
            <w:pPr>
              <w:jc w:val="center"/>
              <w:ind w:left="453"/>
              <w:spacing w:after="0"/>
              <w:rPr>
                <w:sz w:val="20"/>
                <w:szCs w:val="20"/>
                <w:color w:val="auto"/>
              </w:rPr>
            </w:pPr>
            <w:r>
              <w:rPr>
                <w:rFonts w:ascii="Arial" w:cs="Arial" w:eastAsia="Arial" w:hAnsi="Arial"/>
                <w:sz w:val="13"/>
                <w:szCs w:val="13"/>
                <w:color w:val="auto"/>
                <w:w w:val="92"/>
              </w:rPr>
              <w:t>20.14</w:t>
            </w:r>
          </w:p>
        </w:tc>
        <w:tc>
          <w:tcPr>
            <w:tcW w:w="0" w:type="dxa"/>
            <w:vAlign w:val="bottom"/>
          </w:tcPr>
          <w:p>
            <w:pPr>
              <w:spacing w:after="0"/>
              <w:rPr>
                <w:sz w:val="1"/>
                <w:szCs w:val="1"/>
                <w:color w:val="auto"/>
              </w:rPr>
            </w:pPr>
          </w:p>
        </w:tc>
      </w:tr>
      <w:tr>
        <w:trPr>
          <w:trHeight w:val="171"/>
        </w:trPr>
        <w:tc>
          <w:tcPr>
            <w:tcW w:w="500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Canceled and 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(132,763)</w:t>
            </w:r>
          </w:p>
        </w:tc>
        <w:tc>
          <w:tcPr>
            <w:tcW w:w="1460" w:type="dxa"/>
            <w:vAlign w:val="bottom"/>
            <w:tcBorders>
              <w:bottom w:val="single" w:sz="8" w:color="CCEEFF"/>
            </w:tcBorders>
            <w:gridSpan w:val="2"/>
          </w:tcPr>
          <w:p>
            <w:pPr>
              <w:jc w:val="center"/>
              <w:ind w:left="453"/>
              <w:spacing w:after="0"/>
              <w:rPr>
                <w:sz w:val="20"/>
                <w:szCs w:val="20"/>
                <w:color w:val="auto"/>
              </w:rPr>
            </w:pPr>
            <w:r>
              <w:rPr>
                <w:rFonts w:ascii="Arial" w:cs="Arial" w:eastAsia="Arial" w:hAnsi="Arial"/>
                <w:sz w:val="13"/>
                <w:szCs w:val="13"/>
                <w:color w:val="auto"/>
                <w:w w:val="92"/>
              </w:rPr>
              <w:t>25.51</w:t>
            </w:r>
          </w:p>
        </w:tc>
        <w:tc>
          <w:tcPr>
            <w:tcW w:w="0" w:type="dxa"/>
            <w:vAlign w:val="bottom"/>
          </w:tcPr>
          <w:p>
            <w:pPr>
              <w:spacing w:after="0"/>
              <w:rPr>
                <w:sz w:val="1"/>
                <w:szCs w:val="1"/>
                <w:color w:val="auto"/>
              </w:rPr>
            </w:pPr>
          </w:p>
        </w:tc>
      </w:tr>
      <w:tr>
        <w:trPr>
          <w:trHeight w:val="186"/>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b w:val="1"/>
                <w:bCs w:val="1"/>
                <w:color w:val="auto"/>
              </w:rPr>
              <w:t>Outstanding as of June 30, 2021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1,719,364</w:t>
            </w:r>
          </w:p>
        </w:tc>
        <w:tc>
          <w:tcPr>
            <w:tcW w:w="1460" w:type="dxa"/>
            <w:vAlign w:val="bottom"/>
            <w:tcBorders>
              <w:bottom w:val="single" w:sz="8" w:color="CCEEFF"/>
            </w:tcBorders>
            <w:gridSpan w:val="2"/>
            <w:shd w:val="clear" w:color="auto" w:fill="CCEEFF"/>
          </w:tcPr>
          <w:p>
            <w:pPr>
              <w:jc w:val="center"/>
              <w:ind w:left="453"/>
              <w:spacing w:after="0"/>
              <w:rPr>
                <w:sz w:val="20"/>
                <w:szCs w:val="20"/>
                <w:color w:val="auto"/>
              </w:rPr>
            </w:pPr>
            <w:r>
              <w:rPr>
                <w:rFonts w:ascii="Arial" w:cs="Arial" w:eastAsia="Arial" w:hAnsi="Arial"/>
                <w:sz w:val="13"/>
                <w:szCs w:val="13"/>
                <w:color w:val="auto"/>
                <w:w w:val="92"/>
              </w:rPr>
              <w:t>25.25</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360"/>
        <w:spacing w:after="0"/>
        <w:rPr>
          <w:sz w:val="20"/>
          <w:szCs w:val="20"/>
          <w:color w:val="auto"/>
        </w:rPr>
      </w:pPr>
      <w:r>
        <w:rPr>
          <w:rFonts w:ascii="Arial" w:cs="Arial" w:eastAsia="Arial" w:hAnsi="Arial"/>
          <w:sz w:val="13"/>
          <w:szCs w:val="13"/>
          <w:color w:val="auto"/>
        </w:rPr>
        <w:t>As of June 30, 2021, the unrecognized compensation cost related to the restricted stock units was $37.4 million, which is expected to be recognized over a period of approximately 3.1 years.</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Employee Stock Purchase Plan</w:t>
      </w:r>
    </w:p>
    <w:p>
      <w:pPr>
        <w:spacing w:after="0" w:line="173" w:lineRule="exact"/>
        <w:rPr>
          <w:sz w:val="20"/>
          <w:szCs w:val="20"/>
          <w:color w:val="auto"/>
        </w:rPr>
      </w:pPr>
    </w:p>
    <w:p>
      <w:pPr>
        <w:jc w:val="both"/>
        <w:ind w:firstLine="302"/>
        <w:spacing w:after="0" w:line="267" w:lineRule="auto"/>
        <w:rPr>
          <w:sz w:val="20"/>
          <w:szCs w:val="20"/>
          <w:color w:val="auto"/>
        </w:rPr>
      </w:pPr>
      <w:r>
        <w:rPr>
          <w:rFonts w:ascii="Arial" w:cs="Arial" w:eastAsia="Arial" w:hAnsi="Arial"/>
          <w:sz w:val="13"/>
          <w:szCs w:val="13"/>
          <w:color w:val="auto"/>
        </w:rPr>
        <w:t>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provided for automatic enrollment in a new offering, and provided that the offering which commenced in May 2020 be twelve months in duration and consist of two purchase periods. The current offering period under the ESPP began on May 17, 2021 and the related purchase will occur on November 15, 2021.</w:t>
      </w:r>
    </w:p>
    <w:p>
      <w:pPr>
        <w:spacing w:after="0" w:line="135" w:lineRule="exact"/>
        <w:rPr>
          <w:sz w:val="20"/>
          <w:szCs w:val="20"/>
          <w:color w:val="auto"/>
        </w:rPr>
      </w:pPr>
    </w:p>
    <w:p>
      <w:pPr>
        <w:jc w:val="both"/>
        <w:ind w:firstLine="302"/>
        <w:spacing w:after="0" w:line="270" w:lineRule="auto"/>
        <w:rPr>
          <w:sz w:val="20"/>
          <w:szCs w:val="20"/>
          <w:color w:val="auto"/>
        </w:rPr>
      </w:pPr>
      <w:r>
        <w:rPr>
          <w:rFonts w:ascii="Arial" w:cs="Arial" w:eastAsia="Arial" w:hAnsi="Arial"/>
          <w:sz w:val="13"/>
          <w:szCs w:val="13"/>
          <w:color w:val="auto"/>
        </w:rPr>
        <w:t>The fair value of the ESPP shares is estimated using the Black-Scholes option pricing model, which is being amortized over the requisite service period. The Company issued 104,861 shares and 74,685 shares under the ESPP, representing approximately $1.6 million and $1.0 million in employee contributions, for six months ended June 30, 2021 and June 30, 2020, respectively. As of June 30, 2021 and December 31, 2020, total accumulated ESPP related employee payroll deductions amounted to $0.3 million and $0.4 million, respectively, which were included within accrued compensation and related expenses in the condensed consolidated balance sheets.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table below presents the detail of stock-based compensation expense amounts included in the condensed consolidated statements of operations: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gridSpan w:val="4"/>
          </w:tcPr>
          <w:p>
            <w:pPr>
              <w:jc w:val="right"/>
              <w:ind w:right="13"/>
              <w:spacing w:after="0"/>
              <w:rPr>
                <w:sz w:val="20"/>
                <w:szCs w:val="20"/>
                <w:color w:val="auto"/>
              </w:rPr>
            </w:pPr>
            <w:r>
              <w:rPr>
                <w:rFonts w:ascii="Arial" w:cs="Arial" w:eastAsia="Arial" w:hAnsi="Arial"/>
                <w:sz w:val="12"/>
                <w:szCs w:val="12"/>
                <w:b w:val="1"/>
                <w:bCs w:val="1"/>
                <w:color w:val="auto"/>
                <w:w w:val="96"/>
              </w:rPr>
              <w:t>Three Months Ended</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4"/>
          </w:tcPr>
          <w:p>
            <w:pPr>
              <w:jc w:val="right"/>
              <w:ind w:right="33"/>
              <w:spacing w:after="0"/>
              <w:rPr>
                <w:sz w:val="20"/>
                <w:szCs w:val="20"/>
                <w:color w:val="auto"/>
              </w:rPr>
            </w:pPr>
            <w:r>
              <w:rPr>
                <w:rFonts w:ascii="Arial" w:cs="Arial" w:eastAsia="Arial" w:hAnsi="Arial"/>
                <w:sz w:val="12"/>
                <w:szCs w:val="12"/>
                <w:b w:val="1"/>
                <w:bCs w:val="1"/>
                <w:color w:val="auto"/>
              </w:rPr>
              <w:t>Six Months Ended</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30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ind w:left="260"/>
              <w:spacing w:after="0"/>
              <w:rPr>
                <w:sz w:val="20"/>
                <w:szCs w:val="20"/>
                <w:color w:val="auto"/>
              </w:rPr>
            </w:pPr>
            <w:r>
              <w:rPr>
                <w:rFonts w:ascii="Arial" w:cs="Arial" w:eastAsia="Arial" w:hAnsi="Arial"/>
                <w:sz w:val="12"/>
                <w:szCs w:val="12"/>
                <w:b w:val="1"/>
                <w:bCs w:val="1"/>
                <w:color w:val="auto"/>
                <w:w w:val="99"/>
              </w:rPr>
              <w:t>June 30,</w:t>
            </w: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ind w:left="740"/>
              <w:spacing w:after="0"/>
              <w:rPr>
                <w:sz w:val="20"/>
                <w:szCs w:val="20"/>
                <w:color w:val="auto"/>
              </w:rPr>
            </w:pPr>
            <w:r>
              <w:rPr>
                <w:rFonts w:ascii="Arial" w:cs="Arial" w:eastAsia="Arial" w:hAnsi="Arial"/>
                <w:sz w:val="12"/>
                <w:szCs w:val="12"/>
                <w:b w:val="1"/>
                <w:bCs w:val="1"/>
                <w:color w:val="auto"/>
                <w:w w:val="99"/>
              </w:rPr>
              <w:t>June 30,</w:t>
            </w: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30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5"/>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3"/>
                <w:szCs w:val="13"/>
                <w:color w:val="auto"/>
              </w:rPr>
            </w:pPr>
          </w:p>
        </w:tc>
      </w:tr>
      <w:tr>
        <w:trPr>
          <w:trHeight w:val="151"/>
        </w:trPr>
        <w:tc>
          <w:tcPr>
            <w:tcW w:w="30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40" w:type="dxa"/>
            <w:vAlign w:val="bottom"/>
            <w:gridSpan w:val="3"/>
          </w:tcPr>
          <w:p>
            <w:pPr>
              <w:jc w:val="right"/>
              <w:ind w:right="93"/>
              <w:spacing w:after="0"/>
              <w:rPr>
                <w:sz w:val="20"/>
                <w:szCs w:val="20"/>
                <w:color w:val="auto"/>
              </w:rPr>
            </w:pPr>
            <w:r>
              <w:rPr>
                <w:rFonts w:ascii="Arial" w:cs="Arial" w:eastAsia="Arial" w:hAnsi="Arial"/>
                <w:sz w:val="12"/>
                <w:szCs w:val="12"/>
                <w:b w:val="1"/>
                <w:bCs w:val="1"/>
                <w:color w:val="auto"/>
              </w:rPr>
              <w:t>(in thousands)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300" w:type="dxa"/>
            <w:vAlign w:val="bottom"/>
          </w:tcPr>
          <w:p>
            <w:pPr>
              <w:spacing w:after="0"/>
              <w:rPr>
                <w:sz w:val="15"/>
                <w:szCs w:val="15"/>
                <w:color w:val="auto"/>
              </w:rPr>
            </w:pPr>
          </w:p>
        </w:tc>
        <w:tc>
          <w:tcPr>
            <w:tcW w:w="4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Cost of goods sold</w:t>
            </w:r>
          </w:p>
        </w:tc>
        <w:tc>
          <w:tcPr>
            <w:tcW w:w="1120" w:type="dxa"/>
            <w:vAlign w:val="bottom"/>
            <w:shd w:val="clear" w:color="auto" w:fill="CCEEFF"/>
          </w:tcPr>
          <w:p>
            <w:pPr>
              <w:jc w:val="right"/>
              <w:ind w:right="675"/>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20" w:type="dxa"/>
            <w:vAlign w:val="bottom"/>
          </w:tcPr>
          <w:p>
            <w:pPr>
              <w:spacing w:after="0"/>
              <w:rPr>
                <w:sz w:val="15"/>
                <w:szCs w:val="15"/>
                <w:color w:val="auto"/>
              </w:rPr>
            </w:pPr>
          </w:p>
        </w:tc>
      </w:tr>
      <w:tr>
        <w:trPr>
          <w:trHeight w:val="171"/>
        </w:trPr>
        <w:tc>
          <w:tcPr>
            <w:tcW w:w="300" w:type="dxa"/>
            <w:vAlign w:val="bottom"/>
          </w:tcPr>
          <w:p>
            <w:pPr>
              <w:spacing w:after="0"/>
              <w:rPr>
                <w:sz w:val="14"/>
                <w:szCs w:val="14"/>
                <w:color w:val="auto"/>
              </w:rPr>
            </w:pPr>
          </w:p>
        </w:tc>
        <w:tc>
          <w:tcPr>
            <w:tcW w:w="4520" w:type="dxa"/>
            <w:vAlign w:val="bottom"/>
          </w:tcPr>
          <w:p>
            <w:pPr>
              <w:ind w:left="40"/>
              <w:spacing w:after="0"/>
              <w:rPr>
                <w:sz w:val="20"/>
                <w:szCs w:val="20"/>
                <w:color w:val="auto"/>
              </w:rPr>
            </w:pPr>
            <w:r>
              <w:rPr>
                <w:rFonts w:ascii="Arial" w:cs="Arial" w:eastAsia="Arial" w:hAnsi="Arial"/>
                <w:sz w:val="13"/>
                <w:szCs w:val="13"/>
                <w:color w:val="auto"/>
              </w:rPr>
              <w:t>Sales and marketing</w:t>
            </w:r>
          </w:p>
        </w:tc>
        <w:tc>
          <w:tcPr>
            <w:tcW w:w="1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2,125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1,347</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2,488</w:t>
            </w:r>
          </w:p>
        </w:tc>
        <w:tc>
          <w:tcPr>
            <w:tcW w:w="20" w:type="dxa"/>
            <w:vAlign w:val="bottom"/>
          </w:tcPr>
          <w:p>
            <w:pPr>
              <w:spacing w:after="0"/>
              <w:rPr>
                <w:sz w:val="14"/>
                <w:szCs w:val="14"/>
                <w:color w:val="auto"/>
              </w:rPr>
            </w:pPr>
          </w:p>
        </w:tc>
      </w:tr>
      <w:tr>
        <w:trPr>
          <w:trHeight w:val="171"/>
        </w:trPr>
        <w:tc>
          <w:tcPr>
            <w:tcW w:w="300" w:type="dxa"/>
            <w:vAlign w:val="bottom"/>
          </w:tcPr>
          <w:p>
            <w:pPr>
              <w:spacing w:after="0"/>
              <w:rPr>
                <w:sz w:val="14"/>
                <w:szCs w:val="14"/>
                <w:color w:val="auto"/>
              </w:rPr>
            </w:pPr>
          </w:p>
        </w:tc>
        <w:tc>
          <w:tcPr>
            <w:tcW w:w="4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Research and development</w:t>
            </w:r>
          </w:p>
        </w:tc>
        <w:tc>
          <w:tcPr>
            <w:tcW w:w="1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w:t>
            </w:r>
          </w:p>
        </w:tc>
        <w:tc>
          <w:tcPr>
            <w:tcW w:w="20" w:type="dxa"/>
            <w:vAlign w:val="bottom"/>
          </w:tcPr>
          <w:p>
            <w:pPr>
              <w:spacing w:after="0"/>
              <w:rPr>
                <w:sz w:val="14"/>
                <w:szCs w:val="14"/>
                <w:color w:val="auto"/>
              </w:rPr>
            </w:pPr>
          </w:p>
        </w:tc>
      </w:tr>
      <w:tr>
        <w:trPr>
          <w:trHeight w:val="171"/>
        </w:trPr>
        <w:tc>
          <w:tcPr>
            <w:tcW w:w="300" w:type="dxa"/>
            <w:vAlign w:val="bottom"/>
          </w:tcPr>
          <w:p>
            <w:pPr>
              <w:spacing w:after="0"/>
              <w:rPr>
                <w:sz w:val="14"/>
                <w:szCs w:val="14"/>
                <w:color w:val="auto"/>
              </w:rPr>
            </w:pPr>
          </w:p>
        </w:tc>
        <w:tc>
          <w:tcPr>
            <w:tcW w:w="45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General and administrative</w:t>
            </w:r>
          </w:p>
        </w:tc>
        <w:tc>
          <w:tcPr>
            <w:tcW w:w="1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1,235</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2,405</w:t>
            </w:r>
          </w:p>
        </w:tc>
        <w:tc>
          <w:tcPr>
            <w:tcW w:w="20" w:type="dxa"/>
            <w:vAlign w:val="bottom"/>
          </w:tcPr>
          <w:p>
            <w:pPr>
              <w:spacing w:after="0"/>
              <w:rPr>
                <w:sz w:val="14"/>
                <w:szCs w:val="14"/>
                <w:color w:val="auto"/>
              </w:rPr>
            </w:pPr>
          </w:p>
        </w:tc>
      </w:tr>
      <w:tr>
        <w:trPr>
          <w:trHeight w:val="186"/>
        </w:trPr>
        <w:tc>
          <w:tcPr>
            <w:tcW w:w="300" w:type="dxa"/>
            <w:vAlign w:val="bottom"/>
          </w:tcPr>
          <w:p>
            <w:pPr>
              <w:spacing w:after="0"/>
              <w:rPr>
                <w:sz w:val="15"/>
                <w:szCs w:val="15"/>
                <w:color w:val="auto"/>
              </w:rPr>
            </w:pPr>
          </w:p>
        </w:tc>
        <w:tc>
          <w:tcPr>
            <w:tcW w:w="45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2,955</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8,287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5,577</w:t>
            </w:r>
          </w:p>
        </w:tc>
        <w:tc>
          <w:tcPr>
            <w:tcW w:w="2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5"/>
        </w:trPr>
        <w:tc>
          <w:tcPr>
            <w:tcW w:w="3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120" w:type="dxa"/>
            <w:vAlign w:val="bottom"/>
          </w:tcPr>
          <w:p>
            <w:pPr>
              <w:jc w:val="right"/>
              <w:ind w:right="155"/>
              <w:spacing w:after="0"/>
              <w:rPr>
                <w:sz w:val="20"/>
                <w:szCs w:val="20"/>
                <w:color w:val="auto"/>
              </w:rPr>
            </w:pPr>
            <w:r>
              <w:rPr>
                <w:rFonts w:ascii="Arial" w:cs="Arial" w:eastAsia="Arial" w:hAnsi="Arial"/>
                <w:sz w:val="13"/>
                <w:szCs w:val="13"/>
                <w:color w:val="auto"/>
              </w:rPr>
              <w:t>18</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300" w:type="dxa"/>
            <w:vAlign w:val="bottom"/>
            <w:tcBorders>
              <w:bottom w:val="single" w:sz="8" w:color="9A9A9A"/>
            </w:tcBorders>
          </w:tcPr>
          <w:p>
            <w:pPr>
              <w:spacing w:after="0"/>
              <w:rPr>
                <w:sz w:val="22"/>
                <w:szCs w:val="22"/>
                <w:color w:val="auto"/>
              </w:rPr>
            </w:pPr>
          </w:p>
        </w:tc>
        <w:tc>
          <w:tcPr>
            <w:tcW w:w="4520" w:type="dxa"/>
            <w:vAlign w:val="bottom"/>
            <w:tcBorders>
              <w:bottom w:val="single" w:sz="8" w:color="9A9A9A"/>
            </w:tcBorders>
          </w:tcPr>
          <w:p>
            <w:pPr>
              <w:spacing w:after="0"/>
              <w:rPr>
                <w:sz w:val="22"/>
                <w:szCs w:val="22"/>
                <w:color w:val="auto"/>
              </w:rPr>
            </w:pPr>
          </w:p>
        </w:tc>
        <w:tc>
          <w:tcPr>
            <w:tcW w:w="1120" w:type="dxa"/>
            <w:vAlign w:val="bottom"/>
            <w:tcBorders>
              <w:bottom w:val="single" w:sz="8" w:color="9A9A9A"/>
            </w:tcBorders>
          </w:tcPr>
          <w:p>
            <w:pPr>
              <w:spacing w:after="0"/>
              <w:rPr>
                <w:sz w:val="22"/>
                <w:szCs w:val="22"/>
                <w:color w:val="auto"/>
              </w:rPr>
            </w:pPr>
          </w:p>
        </w:tc>
        <w:tc>
          <w:tcPr>
            <w:tcW w:w="4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480" w:type="dxa"/>
            <w:vAlign w:val="bottom"/>
            <w:tcBorders>
              <w:bottom w:val="single" w:sz="8" w:color="9A9A9A"/>
            </w:tcBorders>
          </w:tcPr>
          <w:p>
            <w:pPr>
              <w:spacing w:after="0"/>
              <w:rPr>
                <w:sz w:val="22"/>
                <w:szCs w:val="22"/>
                <w:color w:val="auto"/>
              </w:rPr>
            </w:pPr>
          </w:p>
        </w:tc>
        <w:tc>
          <w:tcPr>
            <w:tcW w:w="82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640" w:type="dxa"/>
            <w:vAlign w:val="bottom"/>
            <w:tcBorders>
              <w:bottom w:val="single" w:sz="8" w:color="9A9A9A"/>
            </w:tcBorders>
          </w:tcPr>
          <w:p>
            <w:pPr>
              <w:spacing w:after="0"/>
              <w:rPr>
                <w:sz w:val="22"/>
                <w:szCs w:val="22"/>
                <w:color w:val="auto"/>
              </w:rPr>
            </w:pPr>
          </w:p>
        </w:tc>
        <w:tc>
          <w:tcPr>
            <w:tcW w:w="9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440" w:type="dxa"/>
            <w:vAlign w:val="bottom"/>
            <w:tcBorders>
              <w:bottom w:val="single" w:sz="8" w:color="9A9A9A"/>
            </w:tcBorders>
          </w:tcPr>
          <w:p>
            <w:pPr>
              <w:spacing w:after="0"/>
              <w:rPr>
                <w:sz w:val="22"/>
                <w:szCs w:val="22"/>
                <w:color w:val="auto"/>
              </w:rPr>
            </w:pPr>
          </w:p>
        </w:tc>
        <w:tc>
          <w:tcPr>
            <w:tcW w:w="86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9" w:name="page20"/>
    <w:bookmarkEnd w:id="19"/>
    <w:p>
      <w:pPr>
        <w:jc w:val="center"/>
        <w:spacing w:after="0"/>
        <w:rPr>
          <w:sz w:val="20"/>
          <w:szCs w:val="20"/>
          <w:color w:val="auto"/>
        </w:rPr>
      </w:pPr>
      <w:r>
        <w:rPr>
          <w:rFonts w:ascii="Arial" w:cs="Arial" w:eastAsia="Arial" w:hAnsi="Arial"/>
          <w:sz w:val="13"/>
          <w:szCs w:val="13"/>
          <w:b w:val="1"/>
          <w:bCs w:val="1"/>
          <w:color w:val="auto"/>
        </w:rPr>
        <w:t>SI-BONE,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Net Loss Per Share of Common Stock</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table below summarizes the computation of basic and diluted net loss per share:</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160"/>
        </w:trPr>
        <w:tc>
          <w:tcPr>
            <w:tcW w:w="4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80" w:type="dxa"/>
            <w:vAlign w:val="bottom"/>
            <w:gridSpan w:val="5"/>
          </w:tcPr>
          <w:p>
            <w:pPr>
              <w:ind w:left="360"/>
              <w:spacing w:after="0"/>
              <w:rPr>
                <w:sz w:val="20"/>
                <w:szCs w:val="20"/>
                <w:color w:val="auto"/>
              </w:rPr>
            </w:pPr>
            <w:r>
              <w:rPr>
                <w:rFonts w:ascii="Arial" w:cs="Arial" w:eastAsia="Arial" w:hAnsi="Arial"/>
                <w:sz w:val="12"/>
                <w:szCs w:val="12"/>
                <w:b w:val="1"/>
                <w:bCs w:val="1"/>
                <w:color w:val="auto"/>
              </w:rPr>
              <w:t>Three Months Ended June 30,</w:t>
            </w:r>
          </w:p>
        </w:tc>
        <w:tc>
          <w:tcPr>
            <w:tcW w:w="340" w:type="dxa"/>
            <w:vAlign w:val="bottom"/>
          </w:tcPr>
          <w:p>
            <w:pPr>
              <w:spacing w:after="0"/>
              <w:rPr>
                <w:sz w:val="13"/>
                <w:szCs w:val="13"/>
                <w:color w:val="auto"/>
              </w:rPr>
            </w:pPr>
          </w:p>
        </w:tc>
        <w:tc>
          <w:tcPr>
            <w:tcW w:w="2600" w:type="dxa"/>
            <w:vAlign w:val="bottom"/>
            <w:gridSpan w:val="4"/>
          </w:tcPr>
          <w:p>
            <w:pPr>
              <w:ind w:left="420"/>
              <w:spacing w:after="0"/>
              <w:rPr>
                <w:sz w:val="20"/>
                <w:szCs w:val="20"/>
                <w:color w:val="auto"/>
              </w:rPr>
            </w:pPr>
            <w:r>
              <w:rPr>
                <w:rFonts w:ascii="Arial" w:cs="Arial" w:eastAsia="Arial" w:hAnsi="Arial"/>
                <w:sz w:val="12"/>
                <w:szCs w:val="12"/>
                <w:b w:val="1"/>
                <w:bCs w:val="1"/>
                <w:color w:val="auto"/>
              </w:rPr>
              <w:t>Six Months Ended June 30,</w:t>
            </w:r>
          </w:p>
        </w:tc>
      </w:tr>
      <w:tr>
        <w:trPr>
          <w:trHeight w:val="152"/>
        </w:trPr>
        <w:tc>
          <w:tcPr>
            <w:tcW w:w="440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2"/>
                <w:szCs w:val="12"/>
                <w:b w:val="1"/>
                <w:bCs w:val="1"/>
                <w:color w:val="auto"/>
              </w:rPr>
              <w:t>2020</w:t>
            </w:r>
          </w:p>
        </w:tc>
      </w:tr>
      <w:tr>
        <w:trPr>
          <w:trHeight w:val="151"/>
        </w:trPr>
        <w:tc>
          <w:tcPr>
            <w:tcW w:w="4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60" w:type="dxa"/>
            <w:vAlign w:val="bottom"/>
            <w:gridSpan w:val="5"/>
          </w:tcPr>
          <w:p>
            <w:pPr>
              <w:ind w:left="80"/>
              <w:spacing w:after="0"/>
              <w:rPr>
                <w:sz w:val="20"/>
                <w:szCs w:val="20"/>
                <w:color w:val="auto"/>
              </w:rPr>
            </w:pPr>
            <w:r>
              <w:rPr>
                <w:rFonts w:ascii="Arial" w:cs="Arial" w:eastAsia="Arial" w:hAnsi="Arial"/>
                <w:sz w:val="12"/>
                <w:szCs w:val="12"/>
                <w:b w:val="1"/>
                <w:bCs w:val="1"/>
                <w:color w:val="auto"/>
              </w:rPr>
              <w:t>(in thousands, except share and per share data)</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3"/>
        </w:trPr>
        <w:tc>
          <w:tcPr>
            <w:tcW w:w="4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w:t>
            </w: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(13,981)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(12,472)</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(26,223)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(25,244)</w:t>
            </w:r>
          </w:p>
        </w:tc>
      </w:tr>
      <w:tr>
        <w:trPr>
          <w:trHeight w:val="342"/>
        </w:trPr>
        <w:tc>
          <w:tcPr>
            <w:tcW w:w="4400" w:type="dxa"/>
            <w:vAlign w:val="bottom"/>
          </w:tcPr>
          <w:p>
            <w:pPr>
              <w:ind w:left="40"/>
              <w:spacing w:after="0"/>
              <w:rPr>
                <w:sz w:val="20"/>
                <w:szCs w:val="20"/>
                <w:color w:val="auto"/>
              </w:rPr>
            </w:pPr>
            <w:r>
              <w:rPr>
                <w:rFonts w:ascii="Arial" w:cs="Arial" w:eastAsia="Arial" w:hAnsi="Arial"/>
                <w:sz w:val="13"/>
                <w:szCs w:val="13"/>
                <w:color w:val="auto"/>
                <w:w w:val="95"/>
              </w:rPr>
              <w:t>Weighted-average shares used to compute basic and diluted net loss per share</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32,978,914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28,492,582</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w w:val="98"/>
              </w:rPr>
              <w:t>32,836,040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27,872,505</w:t>
            </w:r>
          </w:p>
        </w:tc>
      </w:tr>
      <w:tr>
        <w:trPr>
          <w:trHeight w:val="20"/>
        </w:trPr>
        <w:tc>
          <w:tcPr>
            <w:tcW w:w="4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2"/>
        </w:trPr>
        <w:tc>
          <w:tcPr>
            <w:tcW w:w="4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loss per share, basic and diluted</w:t>
            </w: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(0.91)</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ind w:firstLine="423"/>
        <w:spacing w:after="0" w:line="276" w:lineRule="auto"/>
        <w:rPr>
          <w:sz w:val="20"/>
          <w:szCs w:val="20"/>
          <w:color w:val="auto"/>
        </w:rPr>
      </w:pPr>
      <w:r>
        <w:rPr>
          <w:rFonts w:ascii="Arial" w:cs="Arial" w:eastAsia="Arial" w:hAnsi="Arial"/>
          <w:sz w:val="13"/>
          <w:szCs w:val="13"/>
          <w:color w:val="auto"/>
        </w:rPr>
        <w:t>Because the Company has reported a net loss in all periods presented, outstanding stock options, restricted stock units, shares subject to repurchase,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540" w:type="dxa"/>
            <w:vAlign w:val="bottom"/>
          </w:tcPr>
          <w:p>
            <w:pPr>
              <w:spacing w:after="0"/>
              <w:rPr>
                <w:sz w:val="13"/>
                <w:szCs w:val="13"/>
                <w:color w:val="auto"/>
              </w:rPr>
            </w:pPr>
          </w:p>
        </w:tc>
        <w:tc>
          <w:tcPr>
            <w:tcW w:w="3100" w:type="dxa"/>
            <w:vAlign w:val="bottom"/>
            <w:gridSpan w:val="4"/>
          </w:tcPr>
          <w:p>
            <w:pPr>
              <w:ind w:left="720"/>
              <w:spacing w:after="0"/>
              <w:rPr>
                <w:sz w:val="20"/>
                <w:szCs w:val="20"/>
                <w:color w:val="auto"/>
              </w:rPr>
            </w:pPr>
            <w:r>
              <w:rPr>
                <w:rFonts w:ascii="Arial" w:cs="Arial" w:eastAsia="Arial" w:hAnsi="Arial"/>
                <w:sz w:val="12"/>
                <w:szCs w:val="12"/>
                <w:b w:val="1"/>
                <w:bCs w:val="1"/>
                <w:color w:val="auto"/>
              </w:rPr>
              <w:t>Three Months Ended June 30,</w:t>
            </w:r>
          </w:p>
        </w:tc>
        <w:tc>
          <w:tcPr>
            <w:tcW w:w="3020" w:type="dxa"/>
            <w:vAlign w:val="bottom"/>
            <w:gridSpan w:val="3"/>
          </w:tcPr>
          <w:p>
            <w:pPr>
              <w:jc w:val="right"/>
              <w:ind w:right="734"/>
              <w:spacing w:after="0"/>
              <w:rPr>
                <w:sz w:val="20"/>
                <w:szCs w:val="20"/>
                <w:color w:val="auto"/>
              </w:rPr>
            </w:pPr>
            <w:r>
              <w:rPr>
                <w:rFonts w:ascii="Arial" w:cs="Arial" w:eastAsia="Arial" w:hAnsi="Arial"/>
                <w:sz w:val="12"/>
                <w:szCs w:val="12"/>
                <w:b w:val="1"/>
                <w:bCs w:val="1"/>
                <w:color w:val="auto"/>
              </w:rPr>
              <w:t>Six Months Ended June 30,</w:t>
            </w:r>
          </w:p>
        </w:tc>
      </w:tr>
      <w:tr>
        <w:trPr>
          <w:trHeight w:val="152"/>
        </w:trPr>
        <w:tc>
          <w:tcPr>
            <w:tcW w:w="4540" w:type="dxa"/>
            <w:vAlign w:val="bottom"/>
            <w:tcBorders>
              <w:bottom w:val="single" w:sz="8" w:color="CCEEFF"/>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bottom w:val="single" w:sz="8" w:color="CCEEFF"/>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bottom w:val="single" w:sz="8" w:color="CCEEFF"/>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2"/>
                <w:szCs w:val="12"/>
                <w:b w:val="1"/>
                <w:bCs w:val="1"/>
                <w:color w:val="auto"/>
              </w:rPr>
              <w:t>2020</w:t>
            </w:r>
          </w:p>
        </w:tc>
      </w:tr>
      <w:tr>
        <w:trPr>
          <w:trHeight w:val="163"/>
        </w:trPr>
        <w:tc>
          <w:tcPr>
            <w:tcW w:w="4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2,147,895</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2,652,683</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2,147,895</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2,652,683</w:t>
            </w:r>
          </w:p>
        </w:tc>
      </w:tr>
      <w:tr>
        <w:trPr>
          <w:trHeight w:val="171"/>
        </w:trPr>
        <w:tc>
          <w:tcPr>
            <w:tcW w:w="4540" w:type="dxa"/>
            <w:vAlign w:val="bottom"/>
          </w:tcPr>
          <w:p>
            <w:pPr>
              <w:ind w:left="40"/>
              <w:spacing w:after="0"/>
              <w:rPr>
                <w:sz w:val="20"/>
                <w:szCs w:val="20"/>
                <w:color w:val="auto"/>
              </w:rPr>
            </w:pPr>
            <w:r>
              <w:rPr>
                <w:rFonts w:ascii="Arial" w:cs="Arial" w:eastAsia="Arial" w:hAnsi="Arial"/>
                <w:sz w:val="13"/>
                <w:szCs w:val="13"/>
                <w:color w:val="auto"/>
              </w:rPr>
              <w:t>Restricted stock units</w:t>
            </w:r>
          </w:p>
        </w:tc>
        <w:tc>
          <w:tcPr>
            <w:tcW w:w="1460" w:type="dxa"/>
            <w:vAlign w:val="bottom"/>
          </w:tcPr>
          <w:p>
            <w:pPr>
              <w:jc w:val="right"/>
              <w:spacing w:after="0"/>
              <w:rPr>
                <w:sz w:val="20"/>
                <w:szCs w:val="20"/>
                <w:color w:val="auto"/>
              </w:rPr>
            </w:pPr>
            <w:r>
              <w:rPr>
                <w:rFonts w:ascii="Arial" w:cs="Arial" w:eastAsia="Arial" w:hAnsi="Arial"/>
                <w:sz w:val="13"/>
                <w:szCs w:val="13"/>
                <w:color w:val="auto"/>
              </w:rPr>
              <w:t>1,719,364</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1,333,501</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1,719,364</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1,333,501</w:t>
            </w:r>
          </w:p>
        </w:tc>
      </w:tr>
      <w:tr>
        <w:trPr>
          <w:trHeight w:val="171"/>
        </w:trPr>
        <w:tc>
          <w:tcPr>
            <w:tcW w:w="4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Shares subject to repurchase</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1,945</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9,732</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1,945</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9,732</w:t>
            </w:r>
          </w:p>
        </w:tc>
      </w:tr>
      <w:tr>
        <w:trPr>
          <w:trHeight w:val="171"/>
        </w:trPr>
        <w:tc>
          <w:tcPr>
            <w:tcW w:w="4540" w:type="dxa"/>
            <w:vAlign w:val="bottom"/>
          </w:tcPr>
          <w:p>
            <w:pPr>
              <w:ind w:left="40"/>
              <w:spacing w:after="0"/>
              <w:rPr>
                <w:sz w:val="20"/>
                <w:szCs w:val="20"/>
                <w:color w:val="auto"/>
              </w:rPr>
            </w:pPr>
            <w:r>
              <w:rPr>
                <w:rFonts w:ascii="Arial" w:cs="Arial" w:eastAsia="Arial" w:hAnsi="Arial"/>
                <w:sz w:val="13"/>
                <w:szCs w:val="13"/>
                <w:color w:val="auto"/>
              </w:rPr>
              <w:t>ESPP purchase rights</w:t>
            </w:r>
          </w:p>
        </w:tc>
        <w:tc>
          <w:tcPr>
            <w:tcW w:w="1460" w:type="dxa"/>
            <w:vAlign w:val="bottom"/>
          </w:tcPr>
          <w:p>
            <w:pPr>
              <w:jc w:val="right"/>
              <w:spacing w:after="0"/>
              <w:rPr>
                <w:sz w:val="20"/>
                <w:szCs w:val="20"/>
                <w:color w:val="auto"/>
              </w:rPr>
            </w:pPr>
            <w:r>
              <w:rPr>
                <w:rFonts w:ascii="Arial" w:cs="Arial" w:eastAsia="Arial" w:hAnsi="Arial"/>
                <w:sz w:val="13"/>
                <w:szCs w:val="13"/>
                <w:color w:val="auto"/>
              </w:rPr>
              <w:t>34,070</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124,266</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34,070</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124,266</w:t>
            </w:r>
          </w:p>
        </w:tc>
      </w:tr>
      <w:tr>
        <w:trPr>
          <w:trHeight w:val="171"/>
        </w:trPr>
        <w:tc>
          <w:tcPr>
            <w:tcW w:w="4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 stock warrants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118,122</w:t>
            </w:r>
          </w:p>
        </w:tc>
        <w:tc>
          <w:tcPr>
            <w:tcW w:w="10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118,122</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118,122</w:t>
            </w:r>
          </w:p>
        </w:tc>
        <w:tc>
          <w:tcPr>
            <w:tcW w:w="10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118,122</w:t>
            </w:r>
          </w:p>
        </w:tc>
      </w:tr>
      <w:tr>
        <w:trPr>
          <w:trHeight w:val="161"/>
        </w:trPr>
        <w:tc>
          <w:tcPr>
            <w:tcW w:w="454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4,021,396</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4,238,304</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4,021,396</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4,238,304</w:t>
            </w:r>
          </w:p>
        </w:tc>
      </w:tr>
      <w:tr>
        <w:trPr>
          <w:trHeight w:val="20"/>
        </w:trPr>
        <w:tc>
          <w:tcPr>
            <w:tcW w:w="4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167640</wp:posOffset>
            </wp:positionV>
            <wp:extent cx="719264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0" w:name="page21"/>
    <w:bookmarkEnd w:id="20"/>
    <w:p>
      <w:pPr>
        <w:jc w:val="center"/>
        <w:spacing w:after="0"/>
        <w:rPr>
          <w:sz w:val="20"/>
          <w:szCs w:val="20"/>
          <w:color w:val="auto"/>
        </w:rPr>
      </w:pPr>
      <w:r>
        <w:rPr>
          <w:rFonts w:ascii="Arial" w:cs="Arial" w:eastAsia="Arial" w:hAnsi="Arial"/>
          <w:sz w:val="13"/>
          <w:szCs w:val="13"/>
          <w:b w:val="1"/>
          <w:bCs w:val="1"/>
          <w:color w:val="auto"/>
        </w:rPr>
        <w:t>SI-BONE,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Related Party Transaction</w:t>
      </w:r>
    </w:p>
    <w:p>
      <w:pPr>
        <w:spacing w:after="0" w:line="175" w:lineRule="exact"/>
        <w:rPr>
          <w:sz w:val="20"/>
          <w:szCs w:val="20"/>
          <w:color w:val="auto"/>
        </w:rPr>
      </w:pPr>
    </w:p>
    <w:p>
      <w:pPr>
        <w:jc w:val="both"/>
        <w:ind w:firstLine="362"/>
        <w:spacing w:after="0" w:line="270" w:lineRule="auto"/>
        <w:rPr>
          <w:sz w:val="20"/>
          <w:szCs w:val="20"/>
          <w:color w:val="auto"/>
        </w:rPr>
      </w:pPr>
      <w:r>
        <w:rPr>
          <w:rFonts w:ascii="Arial" w:cs="Arial" w:eastAsia="Arial" w:hAnsi="Arial"/>
          <w:sz w:val="13"/>
          <w:szCs w:val="13"/>
          <w:color w:val="auto"/>
        </w:rPr>
        <w:t>On February 24, 2020, the Company entered into a joint development agreement (the “Development Agreement”) with SeaSpine Orthopedics Corporation (“SeaSpine”) to develop a next generation device for sacropelvic fixation. Mr. Keith Valentine, who serves as the President, Chief Executive Officer and a member of the board of directors of SeaSpine, also serves as a member of the Company's Board of Directors since August 2015. On April 27, 2021, Addendum No.1 to the Development Agreement was entered into by and between the Company and SeaSpine to extend certain obligations as described under the Development Agreement to a consultant of the Company.</w:t>
      </w:r>
    </w:p>
    <w:p>
      <w:pPr>
        <w:spacing w:after="0" w:line="133" w:lineRule="exact"/>
        <w:rPr>
          <w:sz w:val="20"/>
          <w:szCs w:val="20"/>
          <w:color w:val="auto"/>
        </w:rPr>
      </w:pPr>
    </w:p>
    <w:p>
      <w:pPr>
        <w:jc w:val="both"/>
        <w:ind w:firstLine="362"/>
        <w:spacing w:after="0" w:line="294" w:lineRule="auto"/>
        <w:rPr>
          <w:sz w:val="20"/>
          <w:szCs w:val="20"/>
          <w:color w:val="auto"/>
        </w:rPr>
      </w:pPr>
      <w:r>
        <w:rPr>
          <w:rFonts w:ascii="Arial" w:cs="Arial" w:eastAsia="Arial" w:hAnsi="Arial"/>
          <w:sz w:val="12"/>
          <w:szCs w:val="12"/>
          <w:color w:val="auto"/>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three months ended June 30, 2021 and 2020, the Company expensed $13,854 and $10,000, respectively, of the reimbursement charges from SeaSpine. For the six months ended June 30, 2021 and 2020, the Company expensed $23,854 and $44,000, respectively, of the reimbursement charges from SeaSpine. The reimbursement charges were recorded within research and development expense in the condensed consolidated statements of operations. There were no outstanding liabilities to SeaSpine as of June 30, 2021 and December 31, 2020.</w:t>
      </w:r>
    </w:p>
    <w:p>
      <w:pPr>
        <w:spacing w:after="0" w:line="121" w:lineRule="exact"/>
        <w:rPr>
          <w:sz w:val="20"/>
          <w:szCs w:val="20"/>
          <w:color w:val="auto"/>
        </w:rPr>
      </w:pPr>
    </w:p>
    <w:p>
      <w:pPr>
        <w:jc w:val="both"/>
        <w:ind w:firstLine="362"/>
        <w:spacing w:after="0" w:line="267" w:lineRule="auto"/>
        <w:rPr>
          <w:sz w:val="20"/>
          <w:szCs w:val="20"/>
          <w:color w:val="auto"/>
        </w:rPr>
      </w:pPr>
      <w:r>
        <w:rPr>
          <w:rFonts w:ascii="Arial" w:cs="Arial" w:eastAsia="Arial" w:hAnsi="Arial"/>
          <w:sz w:val="13"/>
          <w:szCs w:val="13"/>
          <w:color w:val="auto"/>
        </w:rPr>
        <w:t>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party, as provided for by the Development Agreement.</w:t>
      </w: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Income Taxes</w:t>
      </w:r>
    </w:p>
    <w:p>
      <w:pPr>
        <w:spacing w:after="0" w:line="195" w:lineRule="exact"/>
        <w:rPr>
          <w:sz w:val="20"/>
          <w:szCs w:val="20"/>
          <w:color w:val="auto"/>
        </w:rPr>
      </w:pPr>
    </w:p>
    <w:p>
      <w:pPr>
        <w:jc w:val="both"/>
        <w:ind w:firstLine="362"/>
        <w:spacing w:after="0" w:line="270" w:lineRule="auto"/>
        <w:rPr>
          <w:sz w:val="20"/>
          <w:szCs w:val="20"/>
          <w:color w:val="auto"/>
        </w:rPr>
      </w:pPr>
      <w:r>
        <w:rPr>
          <w:rFonts w:ascii="Arial" w:cs="Arial" w:eastAsia="Arial" w:hAnsi="Arial"/>
          <w:sz w:val="13"/>
          <w:szCs w:val="13"/>
          <w:color w:val="auto"/>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and six months ended June 30, 2021 and 2020. The Company continues to maintain a full valuation allowance against its net deferred tax assets due to the uncertainty surrounding realization of such assets.</w:t>
      </w:r>
    </w:p>
    <w:p>
      <w:pPr>
        <w:spacing w:after="0" w:line="133" w:lineRule="exact"/>
        <w:rPr>
          <w:sz w:val="20"/>
          <w:szCs w:val="20"/>
          <w:color w:val="auto"/>
        </w:rPr>
      </w:pPr>
    </w:p>
    <w:p>
      <w:pPr>
        <w:jc w:val="both"/>
        <w:ind w:firstLine="362"/>
        <w:spacing w:after="0" w:line="338" w:lineRule="auto"/>
        <w:rPr>
          <w:sz w:val="20"/>
          <w:szCs w:val="20"/>
          <w:color w:val="auto"/>
        </w:rPr>
      </w:pPr>
      <w:r>
        <w:rPr>
          <w:rFonts w:ascii="Arial" w:cs="Arial" w:eastAsia="Arial" w:hAnsi="Arial"/>
          <w:sz w:val="12"/>
          <w:szCs w:val="12"/>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167640</wp:posOffset>
            </wp:positionV>
            <wp:extent cx="719264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155"/>
        <w:spacing w:after="0" w:line="277" w:lineRule="auto"/>
        <w:rPr>
          <w:sz w:val="20"/>
          <w:szCs w:val="20"/>
          <w:color w:val="auto"/>
        </w:rPr>
      </w:pPr>
      <w:r>
        <w:rPr>
          <w:rFonts w:ascii="Arial" w:cs="Arial" w:eastAsia="Arial" w:hAnsi="Arial"/>
          <w:sz w:val="12"/>
          <w:szCs w:val="12"/>
          <w:i w:val="1"/>
          <w:iCs w:val="1"/>
          <w:color w:val="auto"/>
        </w:rPr>
        <w:t xml:space="preserve">The following discussion and analysis of our financial condition and results of operations should be read in conjunction with our condensed consolidated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March 10, 2021.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w:t>
      </w:r>
      <w:r>
        <w:rPr>
          <w:rFonts w:ascii="Arial" w:cs="Arial" w:eastAsia="Arial" w:hAnsi="Arial"/>
          <w:sz w:val="12"/>
          <w:szCs w:val="12"/>
          <w:color w:val="auto"/>
        </w:rPr>
        <w:t>“</w:t>
      </w:r>
      <w:r>
        <w:rPr>
          <w:rFonts w:ascii="Arial" w:cs="Arial" w:eastAsia="Arial" w:hAnsi="Arial"/>
          <w:sz w:val="12"/>
          <w:szCs w:val="12"/>
          <w:i w:val="1"/>
          <w:iCs w:val="1"/>
          <w:color w:val="auto"/>
        </w:rPr>
        <w:t>Risk Factors</w:t>
      </w:r>
      <w:r>
        <w:rPr>
          <w:rFonts w:ascii="Arial" w:cs="Arial" w:eastAsia="Arial" w:hAnsi="Arial"/>
          <w:sz w:val="12"/>
          <w:szCs w:val="12"/>
          <w:color w:val="auto"/>
        </w:rPr>
        <w:t>”</w:t>
      </w:r>
      <w:r>
        <w:rPr>
          <w:rFonts w:ascii="Arial" w:cs="Arial" w:eastAsia="Arial" w:hAnsi="Arial"/>
          <w:sz w:val="12"/>
          <w:szCs w:val="12"/>
          <w:i w:val="1"/>
          <w:iCs w:val="1"/>
          <w:color w:val="auto"/>
        </w:rPr>
        <w:t xml:space="preserve"> section of this Quarterly Report on Form 10-Q, our actual results could differ materially from the results described in, or implied, by these forward-looking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75" w:lineRule="exact"/>
        <w:rPr>
          <w:sz w:val="20"/>
          <w:szCs w:val="20"/>
          <w:color w:val="auto"/>
        </w:rPr>
      </w:pPr>
    </w:p>
    <w:p>
      <w:pPr>
        <w:jc w:val="both"/>
        <w:ind w:firstLine="242"/>
        <w:spacing w:after="0" w:line="260" w:lineRule="auto"/>
        <w:rPr>
          <w:sz w:val="20"/>
          <w:szCs w:val="20"/>
          <w:color w:val="auto"/>
        </w:rPr>
      </w:pPr>
      <w:r>
        <w:rPr>
          <w:rFonts w:ascii="Arial" w:cs="Arial" w:eastAsia="Arial" w:hAnsi="Arial"/>
          <w:sz w:val="13"/>
          <w:szCs w:val="13"/>
          <w:color w:val="auto"/>
        </w:rPr>
        <w:t>We are a medical device company dedicated to solving musculoskeletal disorders of the scropelvic anatomy. We have pioneered a proprietary minimally invasive surgical implant system, which we call iFuse, to fuse the sacroiliac joint and treat sacroiliac joint dysfunction, which often causes severe lower back pain. Since we introduced iFuse in 2009, as of June 30, 2021, more than 55,000 procedures have been performed by over 2,400 surgeons in the U.S. and 36 other countries.</w:t>
      </w:r>
    </w:p>
    <w:p>
      <w:pPr>
        <w:spacing w:after="0" w:line="128" w:lineRule="exact"/>
        <w:rPr>
          <w:sz w:val="20"/>
          <w:szCs w:val="20"/>
          <w:color w:val="auto"/>
        </w:rPr>
      </w:pPr>
    </w:p>
    <w:p>
      <w:pPr>
        <w:jc w:val="both"/>
        <w:ind w:firstLine="242"/>
        <w:spacing w:after="0" w:line="291" w:lineRule="auto"/>
        <w:rPr>
          <w:sz w:val="20"/>
          <w:szCs w:val="20"/>
          <w:color w:val="auto"/>
        </w:rPr>
      </w:pPr>
      <w:r>
        <w:rPr>
          <w:rFonts w:ascii="Arial" w:cs="Arial" w:eastAsia="Arial" w:hAnsi="Arial"/>
          <w:sz w:val="12"/>
          <w:szCs w:val="12"/>
          <w:color w:val="auto"/>
        </w:rPr>
        <w:t>Our iFuse Implant System includes a series of patented triangular titanium implants and the instruments we have developed to enable surgeons to perform the procedure. Surgeons place our implants across the sacroiliac joint, either from a lateral approach through the iliac bones into the sacrum, or from a posterior approach through the sacrum and into the iliac bones. Surgeons typically use three iFuse implants to fuse a sacroiliac joint in the lateral procedure, and one iFuse implant in each sacroiliac joint, typically alongside another device crossing the joint and joining to the spinal construct.</w:t>
      </w:r>
    </w:p>
    <w:p>
      <w:pPr>
        <w:spacing w:after="0" w:line="112" w:lineRule="exact"/>
        <w:rPr>
          <w:sz w:val="20"/>
          <w:szCs w:val="20"/>
          <w:color w:val="auto"/>
        </w:rPr>
      </w:pPr>
    </w:p>
    <w:p>
      <w:pPr>
        <w:jc w:val="both"/>
        <w:ind w:firstLine="242"/>
        <w:spacing w:after="0" w:line="299" w:lineRule="auto"/>
        <w:rPr>
          <w:sz w:val="20"/>
          <w:szCs w:val="20"/>
          <w:color w:val="auto"/>
        </w:rPr>
      </w:pPr>
      <w:r>
        <w:rPr>
          <w:rFonts w:ascii="Arial" w:cs="Arial" w:eastAsia="Arial" w:hAnsi="Arial"/>
          <w:sz w:val="12"/>
          <w:szCs w:val="12"/>
          <w:color w:val="auto"/>
        </w:rPr>
        <w:t>Our iFuse implants have a triangular cross section that resists twisting or rotation of the implant within the bone in which it is implanted, regardless of the surgical approach and technique used to place the implants. The triangular shape of our implants helps stabilize the joint, and the implants’ porous surface enables biologic fixation of the bone onto the implant, or bony ongrowth and ingrowth, that results in fusion. Each titanium iFuse implant has at least three times the strength of a typical eight-millimeter cannulated surgical screw. We hold issued patents on implants with cross-sections of many non-round shapes, including the triangular shape of the iFuse implant. We also hold issued patents for the method of placing those implants across the sacroiliac joint, as well as other parts of the spine and pelvis.</w:t>
      </w:r>
    </w:p>
    <w:p>
      <w:pPr>
        <w:spacing w:after="0" w:line="118" w:lineRule="exact"/>
        <w:rPr>
          <w:sz w:val="20"/>
          <w:szCs w:val="20"/>
          <w:color w:val="auto"/>
        </w:rPr>
      </w:pPr>
    </w:p>
    <w:p>
      <w:pPr>
        <w:jc w:val="both"/>
        <w:ind w:firstLine="242"/>
        <w:spacing w:after="0" w:line="270" w:lineRule="auto"/>
        <w:rPr>
          <w:sz w:val="20"/>
          <w:szCs w:val="20"/>
          <w:color w:val="auto"/>
        </w:rPr>
      </w:pPr>
      <w:r>
        <w:rPr>
          <w:rFonts w:ascii="Arial" w:cs="Arial" w:eastAsia="Arial" w:hAnsi="Arial"/>
          <w:sz w:val="13"/>
          <w:szCs w:val="13"/>
          <w:color w:val="auto"/>
        </w:rPr>
        <w:t>We introduced our second-generation implant, the iFuse-3D, in 2017. This patented titanium implant combines the triangular cross-section of the iFuse implant with the proprietary 3D-printed porous surface and fenestrated design. This design also allows the surgeon to fill the implant with ground-up bone before implantation, which some surgeons believe accelerates bone through-growth and biological fixation. iFuse-3D implants have shown positive bony ingrowth, ongrowth and through-growth and in animal studies, whether or not ground-up bone is used. We hold issued patents on 3D-printed triangular implants with fenestrations, or holes, which allow bone to grow into and through the implants.</w:t>
      </w:r>
    </w:p>
    <w:p>
      <w:pPr>
        <w:spacing w:after="0" w:line="133" w:lineRule="exact"/>
        <w:rPr>
          <w:sz w:val="20"/>
          <w:szCs w:val="20"/>
          <w:color w:val="auto"/>
        </w:rPr>
      </w:pPr>
    </w:p>
    <w:p>
      <w:pPr>
        <w:jc w:val="both"/>
        <w:ind w:firstLine="302"/>
        <w:spacing w:after="0" w:line="270" w:lineRule="auto"/>
        <w:rPr>
          <w:sz w:val="20"/>
          <w:szCs w:val="20"/>
          <w:color w:val="auto"/>
        </w:rPr>
      </w:pPr>
      <w:r>
        <w:rPr>
          <w:rFonts w:ascii="Arial" w:cs="Arial" w:eastAsia="Arial" w:hAnsi="Arial"/>
          <w:sz w:val="13"/>
          <w:szCs w:val="13"/>
          <w:color w:val="auto"/>
        </w:rPr>
        <w:t>In April 2019, we received clearance from the United States Food and Drug Administration, or FDA, to promote the use of our iFuse Implant System for fusion of the sacroiliac joint in conjunction with multi-level spinal fusion procedures to provide further stabilization and immobilization of the sacroiliac joint. For this indication, surgeons typically use the posterior approach, through the sacrum and into the iliac bones, which we call the Bedrock technique. We received CE marking and began marketing our iFuse Implant System for this indication and surgical technique in Europe in December 2019. In March 2020, we received FDA 510(k) clearance for an expanded indication for the iFuse Implant System to support our trauma program.</w:t>
      </w:r>
    </w:p>
    <w:p>
      <w:pPr>
        <w:spacing w:after="0" w:line="92" w:lineRule="exact"/>
        <w:rPr>
          <w:sz w:val="20"/>
          <w:szCs w:val="20"/>
          <w:color w:val="auto"/>
        </w:rPr>
      </w:pPr>
    </w:p>
    <w:p>
      <w:pPr>
        <w:jc w:val="both"/>
        <w:ind w:firstLine="302"/>
        <w:spacing w:after="0" w:line="260" w:lineRule="auto"/>
        <w:rPr>
          <w:sz w:val="20"/>
          <w:szCs w:val="20"/>
          <w:color w:val="auto"/>
        </w:rPr>
      </w:pPr>
      <w:r>
        <w:rPr>
          <w:rFonts w:ascii="Arial" w:cs="Arial" w:eastAsia="Arial" w:hAnsi="Arial"/>
          <w:sz w:val="13"/>
          <w:szCs w:val="13"/>
          <w:color w:val="auto"/>
        </w:rPr>
        <w:t>In February 2021, we received clearance from the FDA for iFuse-TORQ, a 3D-printed portfolio of threaded implants designed to meet the needs of pelvic trauma and minimally invasive sacroiliac joint fusion applications. In the pelvic trauma segment, we are targeting an unmet clinical needs for low energy pelvic ring fractures and chronic sacroiliac joint pain after high energy pelvic ring trauma. iFuse-TORQ also provides an opportunity for us to convert competitive screw business for minimally invasive sacroiliac joint fusions.</w:t>
      </w:r>
    </w:p>
    <w:p>
      <w:pPr>
        <w:spacing w:after="0" w:line="88" w:lineRule="exact"/>
        <w:rPr>
          <w:sz w:val="20"/>
          <w:szCs w:val="20"/>
          <w:color w:val="auto"/>
        </w:rPr>
      </w:pPr>
    </w:p>
    <w:p>
      <w:pPr>
        <w:ind w:left="300"/>
        <w:spacing w:after="0"/>
        <w:rPr>
          <w:sz w:val="20"/>
          <w:szCs w:val="20"/>
          <w:color w:val="auto"/>
        </w:rPr>
      </w:pPr>
      <w:r>
        <w:rPr>
          <w:rFonts w:ascii="Arial" w:cs="Arial" w:eastAsia="Arial" w:hAnsi="Arial"/>
          <w:sz w:val="13"/>
          <w:szCs w:val="13"/>
          <w:color w:val="auto"/>
        </w:rPr>
        <w:t>We market our products primarily with a direct sales force as well as a number of distributors in the U.S., and with a combination of a direct sales force and distributors in other countries.</w:t>
      </w:r>
    </w:p>
    <w:p>
      <w:pPr>
        <w:spacing w:after="0" w:line="122" w:lineRule="exact"/>
        <w:rPr>
          <w:sz w:val="20"/>
          <w:szCs w:val="20"/>
          <w:color w:val="auto"/>
        </w:rPr>
      </w:pPr>
    </w:p>
    <w:p>
      <w:pPr>
        <w:jc w:val="both"/>
        <w:ind w:firstLine="302"/>
        <w:spacing w:after="0" w:line="260" w:lineRule="auto"/>
        <w:rPr>
          <w:sz w:val="20"/>
          <w:szCs w:val="20"/>
          <w:color w:val="auto"/>
        </w:rPr>
      </w:pPr>
      <w:r>
        <w:rPr>
          <w:rFonts w:ascii="Arial" w:cs="Arial" w:eastAsia="Arial" w:hAnsi="Arial"/>
          <w:sz w:val="13"/>
          <w:szCs w:val="13"/>
          <w:color w:val="auto"/>
        </w:rPr>
        <w:t>In October 2018, we completed our initial public offering (“IPO”) resulting in net proceeds of $113.4 million after deducting underwriting discounts and commissions and offering expenses. In January and February 2020, we received a total of $63.0 million of net proceeds, after deducting the underwriting discounts, commissions and offering costs, from our first follow-on public offering of our common stock. In October 2020, we received a total of $71.6 million of net proceeds from our second follow-on offering of our common stock.</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2" w:right="31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color w:val="auto"/>
        </w:rPr>
        <w:t>Impact of the COVID-19 Pandemic</w:t>
      </w:r>
    </w:p>
    <w:p>
      <w:pPr>
        <w:spacing w:after="0" w:line="185" w:lineRule="exact"/>
        <w:rPr>
          <w:sz w:val="20"/>
          <w:szCs w:val="20"/>
          <w:color w:val="auto"/>
        </w:rPr>
      </w:pPr>
    </w:p>
    <w:p>
      <w:pPr>
        <w:jc w:val="both"/>
        <w:ind w:firstLine="302"/>
        <w:spacing w:after="0" w:line="244" w:lineRule="auto"/>
        <w:rPr>
          <w:sz w:val="20"/>
          <w:szCs w:val="20"/>
          <w:color w:val="auto"/>
        </w:rPr>
      </w:pPr>
      <w:r>
        <w:rPr>
          <w:rFonts w:ascii="Arial" w:cs="Arial" w:eastAsia="Arial" w:hAnsi="Arial"/>
          <w:sz w:val="13"/>
          <w:szCs w:val="13"/>
          <w:color w:val="333333"/>
        </w:rPr>
        <w:t>The global COVID-19 pandemic presents significant risks to us and has impacted, and continues to impact our business, operations, and financial results and condition, directly and indirectly, including, without limitation, impacts on the health of our management and employees; our manufacturing, distribution, marketing and sales operations; our research and development activities, including clinical activities; and customer and patient behaviors.</w:t>
      </w:r>
    </w:p>
    <w:p>
      <w:pPr>
        <w:spacing w:after="0" w:line="148" w:lineRule="exact"/>
        <w:rPr>
          <w:sz w:val="20"/>
          <w:szCs w:val="20"/>
          <w:color w:val="auto"/>
        </w:rPr>
      </w:pPr>
    </w:p>
    <w:p>
      <w:pPr>
        <w:jc w:val="both"/>
        <w:ind w:firstLine="302"/>
        <w:spacing w:after="0" w:line="236" w:lineRule="auto"/>
        <w:rPr>
          <w:sz w:val="20"/>
          <w:szCs w:val="20"/>
          <w:color w:val="auto"/>
        </w:rPr>
      </w:pPr>
      <w:r>
        <w:rPr>
          <w:rFonts w:ascii="Arial" w:cs="Arial" w:eastAsia="Arial" w:hAnsi="Arial"/>
          <w:sz w:val="13"/>
          <w:szCs w:val="13"/>
          <w:color w:val="333333"/>
        </w:rPr>
        <w:t>Access to many hospitals and other customer sites continues to be impacted by prevalence of COVID-19, which negatively impacts our ability to promote the use of our products with physicians. Additionally, many hospitals and ambulatory surgery centers have in the past suspended and may suspend or continue to suspend in the future, many elective procedures, resulting in a reduced volume of procedures using our products. Our customer behavior is impacted by the prevalence of COVID-19 and changes in the infection rates in the locations where are customers reside. Quarantines, shelter-in-place and similar government orders have also impacted, and may continue to impact, our third-party manufacturers and suppliers, and could in turn adversely impact the availability or cost of materials, which could disrupt our supply chain.</w:t>
      </w:r>
    </w:p>
    <w:p>
      <w:pPr>
        <w:spacing w:after="0" w:line="151" w:lineRule="exact"/>
        <w:rPr>
          <w:sz w:val="20"/>
          <w:szCs w:val="20"/>
          <w:color w:val="auto"/>
        </w:rPr>
      </w:pPr>
    </w:p>
    <w:p>
      <w:pPr>
        <w:jc w:val="both"/>
        <w:ind w:firstLine="302"/>
        <w:spacing w:after="0" w:line="234" w:lineRule="auto"/>
        <w:rPr>
          <w:sz w:val="20"/>
          <w:szCs w:val="20"/>
          <w:color w:val="auto"/>
        </w:rPr>
      </w:pPr>
      <w:r>
        <w:rPr>
          <w:rFonts w:ascii="Arial" w:cs="Arial" w:eastAsia="Arial" w:hAnsi="Arial"/>
          <w:sz w:val="13"/>
          <w:szCs w:val="13"/>
          <w:color w:val="333333"/>
        </w:rPr>
        <w:t>We took a variety of steps to address the impact of the COVID-19 pandemic, while attempting to minimize business disruption. Essential staff in operations and limited support functions worked from our Santa Clara headquarters throughout the pandemic, following appropriate hygiene and social distancing protocols. To reduce risk to our employees and families from potential exposure to COVID-19, other staff in our Santa Clara headquarters worked from home. We also restricted non-essential travel to protect the health and safety of our employees and customers. Starting June 15, 2021, we began the return to work for all headquarter personnel based upon new guidelines from the State of California. We are continuing to monitor the impact of the COVID-19 pandemic on our employees and customers and on the markets in which we operate, and will take further actions that are considered prudent to address the COVID-19 pandemic, while ensuring that we can support our customers and continue to develop our products.</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existence and further duration of the COVID-19 pandemic may also further exacerbate certain risks as described in “Item 1A - Risk Factors”.</w:t>
      </w:r>
    </w:p>
    <w:p>
      <w:pPr>
        <w:spacing w:after="0" w:line="183" w:lineRule="exact"/>
        <w:rPr>
          <w:sz w:val="20"/>
          <w:szCs w:val="20"/>
          <w:color w:val="auto"/>
        </w:rPr>
      </w:pPr>
    </w:p>
    <w:p>
      <w:pPr>
        <w:jc w:val="both"/>
        <w:ind w:firstLine="302"/>
        <w:spacing w:after="0" w:line="277" w:lineRule="auto"/>
        <w:rPr>
          <w:sz w:val="20"/>
          <w:szCs w:val="20"/>
          <w:color w:val="auto"/>
        </w:rPr>
      </w:pPr>
      <w:r>
        <w:rPr>
          <w:rFonts w:ascii="Arial" w:cs="Arial" w:eastAsia="Arial" w:hAnsi="Arial"/>
          <w:sz w:val="13"/>
          <w:szCs w:val="13"/>
          <w:color w:val="auto"/>
        </w:rPr>
        <w:t>We cannot currently predict with certainty the full extent to which the COVID-19 pandemic will impact demand for our products in the future, or the impact of the COVID-19 pandemic on our supply chain or other aspects of our business, and such it could have a material adverse effect on our results of operations, financial condition and capital resources.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Factors Affecting Results of Operations and Key Performance Indicators</w:t>
      </w:r>
    </w:p>
    <w:p>
      <w:pPr>
        <w:spacing w:after="0" w:line="175" w:lineRule="exact"/>
        <w:rPr>
          <w:sz w:val="20"/>
          <w:szCs w:val="20"/>
          <w:color w:val="auto"/>
        </w:rPr>
      </w:pPr>
    </w:p>
    <w:p>
      <w:pPr>
        <w:jc w:val="both"/>
        <w:ind w:firstLine="302"/>
        <w:spacing w:after="0" w:line="276" w:lineRule="auto"/>
        <w:rPr>
          <w:sz w:val="20"/>
          <w:szCs w:val="20"/>
          <w:color w:val="auto"/>
        </w:rPr>
      </w:pPr>
      <w:r>
        <w:rPr>
          <w:rFonts w:ascii="Arial" w:cs="Arial" w:eastAsia="Arial" w:hAnsi="Arial"/>
          <w:sz w:val="13"/>
          <w:szCs w:val="13"/>
          <w:color w:val="auto"/>
        </w:rPr>
        <w:t>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leverage our sales force, increase surgeon activity and training, engage key opinion leaders, and leverage broad coverage.</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Leverage our sales force</w:t>
      </w:r>
    </w:p>
    <w:p>
      <w:pPr>
        <w:spacing w:after="0" w:line="163" w:lineRule="exact"/>
        <w:rPr>
          <w:sz w:val="20"/>
          <w:szCs w:val="20"/>
          <w:color w:val="auto"/>
        </w:rPr>
      </w:pPr>
    </w:p>
    <w:p>
      <w:pPr>
        <w:ind w:right="220" w:firstLine="302"/>
        <w:spacing w:after="0" w:line="244" w:lineRule="auto"/>
        <w:rPr>
          <w:sz w:val="20"/>
          <w:szCs w:val="20"/>
          <w:color w:val="auto"/>
        </w:rPr>
      </w:pPr>
      <w:r>
        <w:rPr>
          <w:rFonts w:ascii="Arial" w:cs="Arial" w:eastAsia="Arial" w:hAnsi="Arial"/>
          <w:sz w:val="13"/>
          <w:szCs w:val="13"/>
          <w:color w:val="auto"/>
        </w:rPr>
        <w:t>We have made significant investments in our sales force since our initial public offering in 2018. We have built a valuable sales team, and we believe they are the key to the recovery that follows the pandemic. We limited new sales force hiring in the second and third quarter of 2020 due to uncertainty from the COVID-19 pandemic and focused on sales force productivity during this period, but resumed hiring of salespeople in the fourth quarter of 2020, expanded the sales team in the first half of 2021 and expect to further expand it in the second half of 2021.</w:t>
      </w:r>
    </w:p>
    <w:p>
      <w:pPr>
        <w:spacing w:after="0" w:line="138" w:lineRule="exact"/>
        <w:rPr>
          <w:sz w:val="20"/>
          <w:szCs w:val="20"/>
          <w:color w:val="auto"/>
        </w:rPr>
      </w:pPr>
    </w:p>
    <w:p>
      <w:pPr>
        <w:jc w:val="both"/>
        <w:ind w:firstLine="302"/>
        <w:spacing w:after="0" w:line="276" w:lineRule="auto"/>
        <w:rPr>
          <w:sz w:val="20"/>
          <w:szCs w:val="20"/>
          <w:color w:val="auto"/>
        </w:rPr>
      </w:pPr>
      <w:r>
        <w:rPr>
          <w:rFonts w:ascii="Arial" w:cs="Arial" w:eastAsia="Arial" w:hAnsi="Arial"/>
          <w:sz w:val="13"/>
          <w:szCs w:val="13"/>
          <w:color w:val="auto"/>
        </w:rPr>
        <w:t>As of June 30, 2021, our U.S. sales force consisted of 74 territory sales managers and 59 clinical support specialists directly employed by us and 48 third-party distributors, compared to 62 territory sales managers and 54 clinical support specialists directly employed by us and 37 third-party distributors as of June 30, 2020. As of June 30, 2021, our international sales force consisted of 21 sales representatives directly employed by us and 30 third-party distributors, compared to 20 sales representatives directly employed by us and 31 third-party distributors as of June 30, 2020.</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Increase surgeon activity and training</w:t>
      </w:r>
    </w:p>
    <w:p>
      <w:pPr>
        <w:spacing w:after="0" w:line="193" w:lineRule="exact"/>
        <w:rPr>
          <w:sz w:val="20"/>
          <w:szCs w:val="20"/>
          <w:color w:val="auto"/>
        </w:rPr>
      </w:pPr>
    </w:p>
    <w:p>
      <w:pPr>
        <w:jc w:val="both"/>
        <w:ind w:firstLine="302"/>
        <w:spacing w:after="0" w:line="270" w:lineRule="auto"/>
        <w:rPr>
          <w:sz w:val="20"/>
          <w:szCs w:val="20"/>
          <w:color w:val="auto"/>
        </w:rPr>
      </w:pPr>
      <w:r>
        <w:rPr>
          <w:rFonts w:ascii="Arial" w:cs="Arial" w:eastAsia="Arial" w:hAnsi="Arial"/>
          <w:sz w:val="13"/>
          <w:szCs w:val="13"/>
          <w:color w:val="auto"/>
        </w:rPr>
        <w:t>Our medical affairs team works closely with our sales team to increase surgeon activity and training. Surgeon activity includes both the number of surgeons performing iFuse procedures as well as the number of procedures performed per surgeon. As of June 30, 2021 and 2020, in the U.S., more than 1,700 surgeons and 1,500 surgeons, respectively, have been trained on our products and have treated at least one patient. Outside the U.S., as of June 30, 2021 and 2020, more than 700 surgeons and 600 surgeons, respectively, have been trained on iFuse and have treated at least one patient. We will continue to pursue the remainder of the approximately 7,500 target surgeons in the U.S., as well as international surgeons for training in the future.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2" w:right="319" w:bottom="1440" w:gutter="0" w:footer="0" w:header="0"/>
        </w:sectPr>
      </w:pPr>
    </w:p>
    <w:bookmarkStart w:id="23" w:name="page24"/>
    <w:bookmarkEnd w:id="23"/>
    <w:p>
      <w:pPr>
        <w:jc w:val="both"/>
        <w:ind w:firstLine="302"/>
        <w:spacing w:after="0" w:line="276" w:lineRule="auto"/>
        <w:rPr>
          <w:sz w:val="20"/>
          <w:szCs w:val="20"/>
          <w:color w:val="auto"/>
        </w:rPr>
      </w:pPr>
      <w:r>
        <w:rPr>
          <w:rFonts w:ascii="Arial" w:cs="Arial" w:eastAsia="Arial" w:hAnsi="Arial"/>
          <w:sz w:val="13"/>
          <w:szCs w:val="13"/>
          <w:color w:val="auto"/>
        </w:rPr>
        <w:t>The COVID-19 outbreak challenged our traditional method of hands-on cadaveric and dry-lab training. Therefore, in addition to utilizing a virtual education series for surgeons and mid-level practitioners for training activities, we began using the SI-BONE SImulator; a portable, radiation-free, haptics and computer-based simulator for training purposes. Starting in July 2020 we began deploying the SImulators to cover all US regions and European subsidiaries and had 24 SImulators in our offices and the field as of the date of this report.</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Launch new products</w:t>
      </w:r>
    </w:p>
    <w:p>
      <w:pPr>
        <w:spacing w:after="0" w:line="193"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3"/>
          <w:szCs w:val="13"/>
          <w:color w:val="auto"/>
        </w:rPr>
        <w:t>Our Bedrock technique is used in the treatment of adult spinal deformity. We introduced this technique in June 2019 for use in the fusion of the sacroiliac joints in conjunction with a multi-segment spinal fusion, or long construct, procedure. The Bedrock technique utilizes our proprietary iFuse Implants, with one implant placed across each sacroiliac joint (for a total of two implants per case) using a posterior approach, through the sacrum, across the sacroiliac joint, and into the ilium. The Bedrock technique differs from our traditional iFuse procedure, whereby three iFuse Implants are placed across one sacroiliac joint via a lateral transarticular approach through the ilium and into the sacrum. The Bedrock technique is performed to increase stability at the base of a long construct. Biomechanical testing has shown that iFuse Implants placed in this position reduce sacroiliac joint motion by approximately 30% in conjunction with a long construct. We received CE mark clearance for the promotion of the Bedrock technique in Europe and we launched the promotion of this technique in select European markets.</w:t>
      </w:r>
    </w:p>
    <w:p>
      <w:pPr>
        <w:spacing w:after="0" w:line="157"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3"/>
          <w:szCs w:val="13"/>
          <w:color w:val="auto"/>
        </w:rPr>
        <w:t>In addition, we received FDA clearance for our new trauma product, iFuse-TORQ, in the first quarter of 2021. iFuse-TORQ is a highly differentiated 3D-printed threaded implant for pelvic trauma and minimally invasive sacroiliac joint fusion applications. Relative to competitive trauma products, iFuse-TORQ is roughly 2 times stronger in bending and requires 10 times the rotational resistance, or torque, to insert due to its porosity and other design features. We believe that this rotational resistance gives surgeons confidence in the strength of mechanical fixation that iFuse-TORQ provides, and that the technological advancements incorporated into iFuse-TORQ represent a significant improvement compared to conventional trauma screws. Furthermore, iFuse-TORQ has a larger surface area for bone ingrowth than competitive trauma products and was specifically designed to allow for osteointegration. The addition of iFuse-TORQ to our product portfolio will allow us to serve a significant unmet need for patients with pelvic trauma, as well as sacroiliac joint dysfunction and degeneration.</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Engage key opinion leaders</w:t>
      </w:r>
    </w:p>
    <w:p>
      <w:pPr>
        <w:spacing w:after="0" w:line="183" w:lineRule="exact"/>
        <w:rPr>
          <w:sz w:val="20"/>
          <w:szCs w:val="20"/>
          <w:color w:val="auto"/>
        </w:rPr>
      </w:pPr>
    </w:p>
    <w:p>
      <w:pPr>
        <w:jc w:val="both"/>
        <w:ind w:firstLine="302"/>
        <w:spacing w:after="0" w:line="238" w:lineRule="auto"/>
        <w:rPr>
          <w:sz w:val="20"/>
          <w:szCs w:val="20"/>
          <w:color w:val="auto"/>
        </w:rPr>
      </w:pPr>
      <w:r>
        <w:rPr>
          <w:rFonts w:ascii="Arial" w:cs="Arial" w:eastAsia="Arial" w:hAnsi="Arial"/>
          <w:sz w:val="13"/>
          <w:szCs w:val="13"/>
          <w:color w:val="auto"/>
        </w:rPr>
        <w:t>We conduct training courses in several academic centers in the U.S. and engage key opinion leaders to support our development efforts. Interest in the Bedrock technique among deformity surgeons, including many key opinion leaders, has provided our sales representatives with access to important academic medical centers in the U.S. This enables our representatives to train a broader group of spine surgeons, including residents and fellows at these centers, on both the Bedrock technique and minimally invasive sacroiliac fusion. To date, we have trained residents and fellows in over 130 academic programs in the U.S., resulting in the training of more than 650 surgical residents and fellows since August 1, 2018.</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Leverage broad coverage</w:t>
      </w:r>
    </w:p>
    <w:p>
      <w:pPr>
        <w:spacing w:after="0" w:line="193" w:lineRule="exact"/>
        <w:rPr>
          <w:sz w:val="20"/>
          <w:szCs w:val="20"/>
          <w:color w:val="auto"/>
        </w:rPr>
      </w:pPr>
    </w:p>
    <w:p>
      <w:pPr>
        <w:jc w:val="both"/>
        <w:ind w:firstLine="302"/>
        <w:spacing w:after="0" w:line="264" w:lineRule="auto"/>
        <w:rPr>
          <w:sz w:val="20"/>
          <w:szCs w:val="20"/>
          <w:color w:val="auto"/>
        </w:rPr>
      </w:pPr>
      <w:r>
        <w:rPr>
          <w:rFonts w:ascii="Arial" w:cs="Arial" w:eastAsia="Arial" w:hAnsi="Arial"/>
          <w:sz w:val="13"/>
          <w:szCs w:val="13"/>
          <w:color w:val="auto"/>
        </w:rPr>
        <w:t>We made significant progress in the number of covered lives for minimally invasive sacroiliac fusion in the U.S. With recent coverage decisions by Anthem, Inc. and Centene Corporation, over 300 million people in the U.S. have access to minimally invasive SI joint fusion. As of July 31, 2021, more than 35 U.S. payors have issued positive coverage policies exclusive to iFuse for sacroiliac joint fusion because of the clinical evidence. Further, as of July 31, 2021, an additional 21 private payors cover iFuse and other products for sacroiliac joint fusion. Anthem adopted coverage guidelines that are exclusive to our iFuse triangular titanium implants for minimally invasive SI joint fusion which begin taking effect on July 30, 2021. Anthem is the second largest private payor in the U.S. with over 40 million members. Effective July 3, 2021, Centene established positive coverage for minimally invasive SI joint fusion. Centene is a major intermediary for both government-sponsored and privately insured health care programs and covers more than 25 million members. We believe that the full impact of each coverage decision grows over time as surgeons gain confidence that they will receive reimbursement for the majority of their diagnosed patients.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773" w:right="31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color w:val="auto"/>
        </w:rPr>
        <w:t>Components of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Revenue</w:t>
      </w:r>
    </w:p>
    <w:p>
      <w:pPr>
        <w:spacing w:after="0" w:line="173" w:lineRule="exact"/>
        <w:rPr>
          <w:sz w:val="20"/>
          <w:szCs w:val="20"/>
          <w:color w:val="auto"/>
        </w:rPr>
      </w:pPr>
    </w:p>
    <w:p>
      <w:pPr>
        <w:jc w:val="both"/>
        <w:ind w:firstLine="332"/>
        <w:spacing w:after="0" w:line="291" w:lineRule="auto"/>
        <w:rPr>
          <w:sz w:val="20"/>
          <w:szCs w:val="20"/>
          <w:color w:val="auto"/>
        </w:rPr>
      </w:pPr>
      <w:r>
        <w:rPr>
          <w:rFonts w:ascii="Arial" w:cs="Arial" w:eastAsia="Arial" w:hAnsi="Arial"/>
          <w:sz w:val="12"/>
          <w:szCs w:val="12"/>
          <w:color w:val="auto"/>
        </w:rPr>
        <w:t>We generate most of our revenue from sales of iFuse. Revenue from sales of iFuse fluctuate based on volume of cases (procedures performed), discounts, mix of international and U.S. sales, and the number of implants used for a particular patient. Similar to other orthopedic companies, our case volume can vary from quarter to quarter due to a variety of factors including reimbursement, sales force changes, physician activities, and seasonality. In addition, our revenue is impacted by changes in average selling price as we respond to the competitive landscape and price differences at different medical facilities, such as hospitals and ambulatory surgical centers, or ASCs. Further, revenue results can differ based upon the mix of business between U.S. and international sales and mix of our products either delivered at the point of implantation at the hospital or other medical facilities or delivered through distributors or to hospitals where the products were ordered in advance of the procedure. Our revenue from international sales is impacted by fluctuations in foreign currency exchange rates between the U.S. dollar (our reporting currency) and the local currency.</w:t>
      </w:r>
    </w:p>
    <w:p>
      <w:pPr>
        <w:spacing w:after="0" w:line="114" w:lineRule="exact"/>
        <w:rPr>
          <w:sz w:val="20"/>
          <w:szCs w:val="20"/>
          <w:color w:val="auto"/>
        </w:rPr>
      </w:pPr>
    </w:p>
    <w:p>
      <w:pPr>
        <w:jc w:val="both"/>
        <w:ind w:firstLine="332"/>
        <w:spacing w:after="0" w:line="252" w:lineRule="auto"/>
        <w:rPr>
          <w:sz w:val="20"/>
          <w:szCs w:val="20"/>
          <w:color w:val="auto"/>
        </w:rPr>
      </w:pPr>
      <w:r>
        <w:rPr>
          <w:rFonts w:ascii="Arial" w:cs="Arial" w:eastAsia="Arial" w:hAnsi="Arial"/>
          <w:sz w:val="12"/>
          <w:szCs w:val="12"/>
          <w:color w:val="auto"/>
        </w:rPr>
        <w:t>The COVID-19 pandemic has reduced our expected number of cases beginning mid-March 2020. The largest impact was felt in April 2020, when revenue declined by 84% from the prior year. Given the situation, a considerable number of cases were deferred from mid-March through the end of April 2020. Starting in May 2020, case volumes began to recover as hospitals and medical centers across the U.S. and Europe resumed performance of elective surgery procedures. In the third quarter of 2020, we saw a more normalized revenue growth resulting in a 26% increase compared to the prior year. In the fourth quarter of 2020, we again began to see the deferral of elective surgeries by hospitals, surgeons, and patients in the U.S. and across Europe, resulting in only a 12% increase in revenue compared to the prior year. We continued to experience deferral of elective surgeries in January and February 2021, with a recovery starting in March 2021 with the rescheduling of previously cancelled cases. In the first quarter of 2021, we experienced revenue growth of 22% compared to the prior year. We continued to see recovery in elective procedures in the second quarter of 2021, which resulted in revenue growth of 9% compared to the first quarter of 2021. In the second quarter of 2021, we continued to experience month-to-month revenue variability driven by deferral of cases due to surgeons and patients taking advantage of economic reopening to plan vacations earlier in the summer and timing of backlog replenishment due to delay in diagnosis and use of telehealth to manage patients during previous COVID-19 surges. We continue to monitor the impacts of COVID-19 to our product sales in the U.S. and international markets.</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3"/>
          <w:szCs w:val="13"/>
          <w:b w:val="1"/>
          <w:bCs w:val="1"/>
          <w:i w:val="1"/>
          <w:iCs w:val="1"/>
          <w:color w:val="auto"/>
        </w:rPr>
        <w:t>Cost of Goods Sold, Gross Profit, and Gross Margin</w:t>
      </w:r>
    </w:p>
    <w:p>
      <w:pPr>
        <w:spacing w:after="0" w:line="173" w:lineRule="exact"/>
        <w:rPr>
          <w:sz w:val="20"/>
          <w:szCs w:val="20"/>
          <w:color w:val="auto"/>
        </w:rPr>
      </w:pPr>
    </w:p>
    <w:p>
      <w:pPr>
        <w:jc w:val="both"/>
        <w:ind w:firstLine="332"/>
        <w:spacing w:after="0" w:line="338" w:lineRule="auto"/>
        <w:rPr>
          <w:sz w:val="20"/>
          <w:szCs w:val="20"/>
          <w:color w:val="auto"/>
        </w:rPr>
      </w:pPr>
      <w:r>
        <w:rPr>
          <w:rFonts w:ascii="Arial" w:cs="Arial" w:eastAsia="Arial" w:hAnsi="Arial"/>
          <w:sz w:val="12"/>
          <w:szCs w:val="12"/>
          <w:color w:val="auto"/>
        </w:rPr>
        <w:t>We utilize third-party manufacturers for production of our implants and instrument sets. Cost of goods sold consists primarily of costs of the components of iFuse implants and instruments, instrument set depreciation, scrap and inventory obsolescence, as well as distribution-related expenses such as logistics and shipping costs. Our cost of goods sold has historically increased as case levels increase.</w:t>
      </w:r>
    </w:p>
    <w:p>
      <w:pPr>
        <w:spacing w:after="0" w:line="95" w:lineRule="exact"/>
        <w:rPr>
          <w:sz w:val="20"/>
          <w:szCs w:val="20"/>
          <w:color w:val="auto"/>
        </w:rPr>
      </w:pPr>
    </w:p>
    <w:p>
      <w:pPr>
        <w:jc w:val="both"/>
        <w:ind w:firstLine="362"/>
        <w:spacing w:after="0" w:line="294" w:lineRule="auto"/>
        <w:rPr>
          <w:sz w:val="20"/>
          <w:szCs w:val="20"/>
          <w:color w:val="auto"/>
        </w:rPr>
      </w:pPr>
      <w:r>
        <w:rPr>
          <w:rFonts w:ascii="Arial" w:cs="Arial" w:eastAsia="Arial" w:hAnsi="Arial"/>
          <w:sz w:val="13"/>
          <w:szCs w:val="13"/>
          <w:color w:val="auto"/>
        </w:rPr>
        <w:t>Our gross profit and gross margin are affected by factors impacting revenue and cost of goods sold. In addition, our gross margins are typically higher on products we sell directly as compared to products we sell through third-party distributors. As a result, changes in the mix of direct versus distributor sales can directly influence our gross margins.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2" w:lineRule="exact"/>
        <w:rPr>
          <w:sz w:val="20"/>
          <w:szCs w:val="20"/>
          <w:color w:val="auto"/>
        </w:rPr>
      </w:pPr>
    </w:p>
    <w:p>
      <w:pPr>
        <w:jc w:val="both"/>
        <w:ind w:firstLine="362"/>
        <w:spacing w:after="0" w:line="299" w:lineRule="auto"/>
        <w:rPr>
          <w:sz w:val="20"/>
          <w:szCs w:val="20"/>
          <w:color w:val="auto"/>
        </w:rPr>
      </w:pPr>
      <w:r>
        <w:rPr>
          <w:rFonts w:ascii="Arial" w:cs="Arial" w:eastAsia="Arial" w:hAnsi="Arial"/>
          <w:sz w:val="12"/>
          <w:szCs w:val="12"/>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anticipate operating expenses will continue to increase to support our growth. During the second quarter of 2020, we took steps to reduce variable expenses that were ineffective and slowed down hiring due to the impact to our revenue from COVID-19. We returned to more normalized spending levels in the fourth quarter of 2020. We continue to monitor the rapidly evolving situation, but as operations return to normal levels, we intend to make investments to execute our strategic plans and operational initiatives.</w:t>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Sales and Marketing Expenses</w:t>
      </w:r>
    </w:p>
    <w:p>
      <w:pPr>
        <w:spacing w:after="0" w:line="193" w:lineRule="exact"/>
        <w:rPr>
          <w:sz w:val="20"/>
          <w:szCs w:val="20"/>
          <w:color w:val="auto"/>
        </w:rPr>
      </w:pPr>
    </w:p>
    <w:p>
      <w:pPr>
        <w:jc w:val="both"/>
        <w:ind w:firstLine="302"/>
        <w:spacing w:after="0" w:line="276" w:lineRule="auto"/>
        <w:rPr>
          <w:sz w:val="20"/>
          <w:szCs w:val="20"/>
          <w:color w:val="auto"/>
        </w:rPr>
      </w:pPr>
      <w:r>
        <w:rPr>
          <w:rFonts w:ascii="Arial" w:cs="Arial" w:eastAsia="Arial" w:hAnsi="Arial"/>
          <w:sz w:val="13"/>
          <w:szCs w:val="13"/>
          <w:color w:val="auto"/>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to our senior sales management, direct territory sales managers, clinical support specialists and third-party distributors.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2" w:right="319" w:bottom="1440" w:gutter="0" w:footer="0" w:header="0"/>
        </w:sectPr>
      </w:pPr>
    </w:p>
    <w:bookmarkStart w:id="25" w:name="page26"/>
    <w:bookmarkEnd w:id="25"/>
    <w:p>
      <w:pPr>
        <w:jc w:val="both"/>
        <w:ind w:firstLine="362"/>
        <w:spacing w:after="0" w:line="249" w:lineRule="auto"/>
        <w:rPr>
          <w:sz w:val="20"/>
          <w:szCs w:val="20"/>
          <w:color w:val="auto"/>
        </w:rPr>
      </w:pPr>
      <w:r>
        <w:rPr>
          <w:rFonts w:ascii="Arial" w:cs="Arial" w:eastAsia="Arial" w:hAnsi="Arial"/>
          <w:sz w:val="13"/>
          <w:szCs w:val="13"/>
          <w:color w:val="auto"/>
        </w:rPr>
        <w:t>Our sales and marketing spending reflected normal business activities into mid-March 2020. Due to the COVID-19 pandemic, we focused on protecting key investments in our field force while curtailing most other areas of sales and marketing spend during the second and third quarter of 2020. For example, we guaranteed certain levels of incentive compensation to members of our field sales organization in order to retain these employees and partially mitigate the impact of the pandemic to their compensation. In contrast, we reduced certain other spending during the COVID-19 pandemic, such as travel and related expenses, regional surgeon training, trade shows, and discretionary marketing. In the fourth quarter of 2020, with returning revenue growth and raising of additional equity, we returned to more normalized spending levels and resumed hiring of salespeople and expect to continue to expand the sales team into 2021. We plan to increase investments in our sales force, surgeon training and in initiatives to increase patient awareness to capture future revenue growth opportunities.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Research and Development Expenses</w:t>
      </w:r>
    </w:p>
    <w:p>
      <w:pPr>
        <w:spacing w:after="0" w:line="193" w:lineRule="exact"/>
        <w:rPr>
          <w:sz w:val="20"/>
          <w:szCs w:val="20"/>
          <w:color w:val="auto"/>
        </w:rPr>
      </w:pPr>
    </w:p>
    <w:p>
      <w:pPr>
        <w:jc w:val="both"/>
        <w:ind w:firstLine="302"/>
        <w:spacing w:after="0" w:line="276" w:lineRule="auto"/>
        <w:rPr>
          <w:sz w:val="20"/>
          <w:szCs w:val="20"/>
          <w:color w:val="auto"/>
        </w:rPr>
      </w:pPr>
      <w:r>
        <w:rPr>
          <w:rFonts w:ascii="Arial" w:cs="Arial" w:eastAsia="Arial" w:hAnsi="Arial"/>
          <w:sz w:val="13"/>
          <w:szCs w:val="13"/>
          <w:color w:val="auto"/>
        </w:rPr>
        <w:t>Our research and development expenses primarily consist of engineering, product development, clinical and regulatory expenses (including clinical study expenses), and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w:t>
      </w:r>
    </w:p>
    <w:p>
      <w:pPr>
        <w:spacing w:after="0" w:line="149" w:lineRule="exact"/>
        <w:rPr>
          <w:sz w:val="20"/>
          <w:szCs w:val="20"/>
          <w:color w:val="auto"/>
        </w:rPr>
      </w:pPr>
    </w:p>
    <w:p>
      <w:pPr>
        <w:jc w:val="both"/>
        <w:ind w:firstLine="302"/>
        <w:spacing w:after="0" w:line="309" w:lineRule="auto"/>
        <w:rPr>
          <w:sz w:val="20"/>
          <w:szCs w:val="20"/>
          <w:color w:val="auto"/>
        </w:rPr>
      </w:pPr>
      <w:r>
        <w:rPr>
          <w:rFonts w:ascii="Arial" w:cs="Arial" w:eastAsia="Arial" w:hAnsi="Arial"/>
          <w:sz w:val="12"/>
          <w:szCs w:val="12"/>
          <w:color w:val="auto"/>
        </w:rPr>
        <w:t>Research and development expenses for engineering projects fluctuate with project timing. Based upon our broader set of product development initiatives and the stage of the underlying projects, we expect to continue to make investments in research and development. Clinical study expenses declined during mid-March through April 2020 due to hospital postponement of trials as a result of the COVID-19 pandemic. However, most hospitals allowed the resumption of clinical trials starting in May 2020. As such, we anticipate that research and development expenses will continue to increase in the future.</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General and Administrative Expenses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2"/>
          <w:szCs w:val="12"/>
          <w:color w:val="auto"/>
        </w:rPr>
        <w:t>General and administrative expenses primarily consist of salaries, stock-based compensation expense, and other costs for finance, accounting, legal, insurance, compliance, and administrative matters.</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Interest Income</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Interest income is primarily related to our investments of excess cash in money market funds and marketable securities.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Interest expense is primarily related to borrowings, amortization of debt issuance costs and accretion of final fee on our Solar Term Loan.</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Other Income (Expense), Net</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Other income (expense), net consists primarily of net foreign exchange gains and losses on foreign transactions.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773" w:right="31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color w:val="auto"/>
        </w:rPr>
        <w:t>Results of Operations</w:t>
      </w:r>
    </w:p>
    <w:p>
      <w:pPr>
        <w:spacing w:after="0" w:line="175" w:lineRule="exact"/>
        <w:rPr>
          <w:sz w:val="20"/>
          <w:szCs w:val="20"/>
          <w:color w:val="auto"/>
        </w:rPr>
      </w:pPr>
    </w:p>
    <w:p>
      <w:pPr>
        <w:ind w:right="80" w:firstLine="362"/>
        <w:spacing w:after="0" w:line="294" w:lineRule="auto"/>
        <w:rPr>
          <w:sz w:val="20"/>
          <w:szCs w:val="20"/>
          <w:color w:val="auto"/>
        </w:rPr>
      </w:pPr>
      <w:r>
        <w:rPr>
          <w:rFonts w:ascii="Arial" w:cs="Arial" w:eastAsia="Arial" w:hAnsi="Arial"/>
          <w:sz w:val="13"/>
          <w:szCs w:val="13"/>
          <w:color w:val="auto"/>
        </w:rPr>
        <w:t>We manage and operate as one reportable segment. The table below summarizes our results of operations for the periods presented (percentages are amounts as a percentage of revenue), which we derived from the accompanying condensed consolidated financial statements:</w:t>
      </w:r>
    </w:p>
    <w:p>
      <w:pPr>
        <w:spacing w:after="0" w:line="147" w:lineRule="exact"/>
        <w:rPr>
          <w:sz w:val="20"/>
          <w:szCs w:val="20"/>
          <w:color w:val="auto"/>
        </w:rPr>
      </w:pPr>
    </w:p>
    <w:tbl>
      <w:tblPr>
        <w:tblLayout w:type="fixed"/>
        <w:tblInd w:w="360" w:type="dxa"/>
        <w:tblCellMar>
          <w:top w:w="0" w:type="dxa"/>
          <w:left w:w="0" w:type="dxa"/>
          <w:bottom w:w="0" w:type="dxa"/>
          <w:right w:w="0" w:type="dxa"/>
        </w:tblCellMar>
      </w:tblPr>
      <w:tr>
        <w:trPr>
          <w:trHeight w:val="160"/>
        </w:trPr>
        <w:tc>
          <w:tcPr>
            <w:tcW w:w="10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5"/>
          </w:tcPr>
          <w:p>
            <w:pPr>
              <w:jc w:val="right"/>
              <w:ind w:right="614"/>
              <w:spacing w:after="0"/>
              <w:rPr>
                <w:sz w:val="20"/>
                <w:szCs w:val="20"/>
                <w:color w:val="auto"/>
              </w:rPr>
            </w:pPr>
            <w:r>
              <w:rPr>
                <w:rFonts w:ascii="Arial" w:cs="Arial" w:eastAsia="Arial" w:hAnsi="Arial"/>
                <w:sz w:val="12"/>
                <w:szCs w:val="12"/>
                <w:b w:val="1"/>
                <w:bCs w:val="1"/>
                <w:color w:val="auto"/>
              </w:rPr>
              <w:t>Three Months Ended June 30,</w:t>
            </w:r>
          </w:p>
        </w:tc>
        <w:tc>
          <w:tcPr>
            <w:tcW w:w="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2"/>
                <w:szCs w:val="12"/>
                <w:b w:val="1"/>
                <w:bCs w:val="1"/>
                <w:color w:val="auto"/>
                <w:w w:val="90"/>
              </w:rPr>
              <w:t>Six Months Ended June 30,</w:t>
            </w:r>
          </w:p>
        </w:tc>
        <w:tc>
          <w:tcPr>
            <w:tcW w:w="7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94"/>
              <w:spacing w:after="0"/>
              <w:rPr>
                <w:sz w:val="20"/>
                <w:szCs w:val="20"/>
                <w:color w:val="auto"/>
              </w:rPr>
            </w:pPr>
            <w:r>
              <w:rPr>
                <w:rFonts w:ascii="Arial" w:cs="Arial" w:eastAsia="Arial" w:hAnsi="Arial"/>
                <w:sz w:val="12"/>
                <w:szCs w:val="12"/>
                <w:b w:val="1"/>
                <w:bCs w:val="1"/>
                <w:color w:val="auto"/>
                <w:w w:val="82"/>
              </w:rPr>
              <w:t>2021</w:t>
            </w:r>
          </w:p>
        </w:tc>
        <w:tc>
          <w:tcPr>
            <w:tcW w:w="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2020</w:t>
            </w:r>
          </w:p>
        </w:tc>
        <w:tc>
          <w:tcPr>
            <w:tcW w:w="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93"/>
              <w:spacing w:after="0"/>
              <w:rPr>
                <w:sz w:val="20"/>
                <w:szCs w:val="20"/>
                <w:color w:val="auto"/>
              </w:rPr>
            </w:pPr>
            <w:r>
              <w:rPr>
                <w:rFonts w:ascii="Arial" w:cs="Arial" w:eastAsia="Arial" w:hAnsi="Arial"/>
                <w:sz w:val="12"/>
                <w:szCs w:val="12"/>
                <w:b w:val="1"/>
                <w:bCs w:val="1"/>
                <w:color w:val="auto"/>
                <w:w w:val="82"/>
              </w:rPr>
              <w:t>2020</w:t>
            </w:r>
          </w:p>
        </w:tc>
        <w:tc>
          <w:tcPr>
            <w:tcW w:w="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Amount</w:t>
            </w:r>
          </w:p>
        </w:tc>
        <w:tc>
          <w:tcPr>
            <w:tcW w:w="7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33"/>
              <w:spacing w:after="0"/>
              <w:rPr>
                <w:sz w:val="20"/>
                <w:szCs w:val="20"/>
                <w:color w:val="auto"/>
              </w:rPr>
            </w:pPr>
            <w:r>
              <w:rPr>
                <w:rFonts w:ascii="Arial" w:cs="Arial" w:eastAsia="Arial" w:hAnsi="Arial"/>
                <w:sz w:val="12"/>
                <w:szCs w:val="12"/>
                <w:b w:val="1"/>
                <w:bCs w:val="1"/>
                <w:color w:val="auto"/>
              </w:rPr>
              <w:t>%</w:t>
            </w: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2"/>
                <w:szCs w:val="12"/>
                <w:b w:val="1"/>
                <w:bCs w:val="1"/>
                <w:color w:val="auto"/>
              </w:rPr>
              <w:t>Amount</w:t>
            </w:r>
          </w:p>
        </w:tc>
        <w:tc>
          <w:tcPr>
            <w:tcW w:w="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53"/>
              <w:spacing w:after="0"/>
              <w:rPr>
                <w:sz w:val="20"/>
                <w:szCs w:val="20"/>
                <w:color w:val="auto"/>
              </w:rPr>
            </w:pPr>
            <w:r>
              <w:rPr>
                <w:rFonts w:ascii="Arial" w:cs="Arial" w:eastAsia="Arial" w:hAnsi="Arial"/>
                <w:sz w:val="12"/>
                <w:szCs w:val="12"/>
                <w:b w:val="1"/>
                <w:bCs w:val="1"/>
                <w:color w:val="auto"/>
              </w:rPr>
              <w:t>%</w:t>
            </w: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2"/>
                <w:szCs w:val="12"/>
                <w:b w:val="1"/>
                <w:bCs w:val="1"/>
                <w:color w:val="auto"/>
              </w:rPr>
              <w:t>Amount</w:t>
            </w: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34"/>
              <w:spacing w:after="0"/>
              <w:rPr>
                <w:sz w:val="20"/>
                <w:szCs w:val="20"/>
                <w:color w:val="auto"/>
              </w:rPr>
            </w:pPr>
            <w:r>
              <w:rPr>
                <w:rFonts w:ascii="Arial" w:cs="Arial" w:eastAsia="Arial" w:hAnsi="Arial"/>
                <w:sz w:val="12"/>
                <w:szCs w:val="12"/>
                <w:b w:val="1"/>
                <w:bCs w:val="1"/>
                <w:color w:val="auto"/>
              </w:rPr>
              <w:t>%</w:t>
            </w: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Amount</w:t>
            </w:r>
          </w:p>
        </w:tc>
        <w:tc>
          <w:tcPr>
            <w:tcW w:w="7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33"/>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20" w:type="dxa"/>
            <w:vAlign w:val="bottom"/>
            <w:gridSpan w:val="5"/>
          </w:tcPr>
          <w:p>
            <w:pPr>
              <w:jc w:val="right"/>
              <w:ind w:right="434"/>
              <w:spacing w:after="0"/>
              <w:rPr>
                <w:sz w:val="20"/>
                <w:szCs w:val="20"/>
                <w:color w:val="auto"/>
              </w:rPr>
            </w:pPr>
            <w:r>
              <w:rPr>
                <w:rFonts w:ascii="Arial" w:cs="Arial" w:eastAsia="Arial" w:hAnsi="Arial"/>
                <w:sz w:val="12"/>
                <w:szCs w:val="12"/>
                <w:b w:val="1"/>
                <w:bCs w:val="1"/>
                <w:color w:val="auto"/>
                <w:w w:val="90"/>
              </w:rPr>
              <w:t>(in thousands, except for percentages)</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020" w:type="dxa"/>
            <w:vAlign w:val="bottom"/>
            <w:gridSpan w:val="4"/>
          </w:tcPr>
          <w:p>
            <w:pPr>
              <w:ind w:left="380"/>
              <w:spacing w:after="0"/>
              <w:rPr>
                <w:sz w:val="20"/>
                <w:szCs w:val="20"/>
                <w:color w:val="auto"/>
              </w:rPr>
            </w:pPr>
            <w:r>
              <w:rPr>
                <w:rFonts w:ascii="Arial" w:cs="Arial" w:eastAsia="Arial" w:hAnsi="Arial"/>
                <w:sz w:val="13"/>
                <w:szCs w:val="13"/>
                <w:b w:val="1"/>
                <w:bCs w:val="1"/>
                <w:color w:val="auto"/>
                <w:w w:val="93"/>
              </w:rPr>
              <w:t>Consolidated Statements of Operations Data:</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0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Revenue</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22,194</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14,049</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42,636</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30,870</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1"/>
        </w:trPr>
        <w:tc>
          <w:tcPr>
            <w:tcW w:w="1040" w:type="dxa"/>
            <w:vAlign w:val="bottom"/>
          </w:tcPr>
          <w:p>
            <w:pPr>
              <w:ind w:left="380"/>
              <w:spacing w:after="0" w:line="131" w:lineRule="exact"/>
              <w:rPr>
                <w:sz w:val="20"/>
                <w:szCs w:val="20"/>
                <w:color w:val="auto"/>
              </w:rPr>
            </w:pPr>
            <w:r>
              <w:rPr>
                <w:rFonts w:ascii="Arial" w:cs="Arial" w:eastAsia="Arial" w:hAnsi="Arial"/>
                <w:sz w:val="13"/>
                <w:szCs w:val="13"/>
                <w:color w:val="auto"/>
              </w:rPr>
              <w:t>Cost of</w:t>
            </w:r>
          </w:p>
        </w:tc>
        <w:tc>
          <w:tcPr>
            <w:tcW w:w="5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2,375</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vMerge w:val="restart"/>
          </w:tcPr>
          <w:p>
            <w:pPr>
              <w:jc w:val="right"/>
              <w:ind w:right="314"/>
              <w:spacing w:after="0"/>
              <w:rPr>
                <w:sz w:val="20"/>
                <w:szCs w:val="20"/>
                <w:color w:val="auto"/>
              </w:rPr>
            </w:pPr>
            <w:r>
              <w:rPr>
                <w:rFonts w:ascii="Arial" w:cs="Arial" w:eastAsia="Arial" w:hAnsi="Arial"/>
                <w:sz w:val="13"/>
                <w:szCs w:val="13"/>
                <w:color w:val="auto"/>
              </w:rPr>
              <w:t>2,117</w:t>
            </w:r>
          </w:p>
        </w:tc>
        <w:tc>
          <w:tcPr>
            <w:tcW w:w="380" w:type="dxa"/>
            <w:vAlign w:val="bottom"/>
            <w:vMerge w:val="restart"/>
          </w:tcPr>
          <w:p>
            <w:pPr>
              <w:jc w:val="right"/>
              <w:ind w:right="13"/>
              <w:spacing w:after="0"/>
              <w:rPr>
                <w:sz w:val="20"/>
                <w:szCs w:val="20"/>
                <w:color w:val="auto"/>
              </w:rPr>
            </w:pPr>
            <w:r>
              <w:rPr>
                <w:rFonts w:ascii="Arial" w:cs="Arial" w:eastAsia="Arial" w:hAnsi="Arial"/>
                <w:sz w:val="13"/>
                <w:szCs w:val="13"/>
                <w:color w:val="auto"/>
              </w:rPr>
              <w:t>15</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vMerge w:val="restart"/>
          </w:tcPr>
          <w:p>
            <w:pPr>
              <w:jc w:val="right"/>
              <w:ind w:right="334"/>
              <w:spacing w:after="0"/>
              <w:rPr>
                <w:sz w:val="20"/>
                <w:szCs w:val="20"/>
                <w:color w:val="auto"/>
              </w:rPr>
            </w:pPr>
            <w:r>
              <w:rPr>
                <w:rFonts w:ascii="Arial" w:cs="Arial" w:eastAsia="Arial" w:hAnsi="Arial"/>
                <w:sz w:val="13"/>
                <w:szCs w:val="13"/>
                <w:color w:val="auto"/>
              </w:rPr>
              <w:t>4,575</w:t>
            </w: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4,049</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goods sold</w:t>
            </w: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040" w:type="dxa"/>
            <w:vAlign w:val="bottom"/>
            <w:shd w:val="clear" w:color="auto" w:fill="CCEEFF"/>
          </w:tcPr>
          <w:p>
            <w:pPr>
              <w:ind w:left="520"/>
              <w:spacing w:after="0" w:line="111" w:lineRule="exact"/>
              <w:rPr>
                <w:sz w:val="20"/>
                <w:szCs w:val="20"/>
                <w:color w:val="auto"/>
              </w:rPr>
            </w:pPr>
            <w:r>
              <w:rPr>
                <w:rFonts w:ascii="Arial" w:cs="Arial" w:eastAsia="Arial" w:hAnsi="Arial"/>
                <w:sz w:val="12"/>
                <w:szCs w:val="12"/>
                <w:color w:val="auto"/>
              </w:rPr>
              <w:t>Gross</w:t>
            </w:r>
          </w:p>
        </w:tc>
        <w:tc>
          <w:tcPr>
            <w:tcW w:w="5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19,819</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ind w:right="314"/>
              <w:spacing w:after="0"/>
              <w:rPr>
                <w:sz w:val="20"/>
                <w:szCs w:val="20"/>
                <w:color w:val="auto"/>
              </w:rPr>
            </w:pPr>
            <w:r>
              <w:rPr>
                <w:rFonts w:ascii="Arial" w:cs="Arial" w:eastAsia="Arial" w:hAnsi="Arial"/>
                <w:sz w:val="13"/>
                <w:szCs w:val="13"/>
                <w:color w:val="auto"/>
              </w:rPr>
              <w:t>11,932</w:t>
            </w:r>
          </w:p>
        </w:tc>
        <w:tc>
          <w:tcPr>
            <w:tcW w:w="3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85</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ind w:right="334"/>
              <w:spacing w:after="0"/>
              <w:rPr>
                <w:sz w:val="20"/>
                <w:szCs w:val="20"/>
                <w:color w:val="auto"/>
              </w:rPr>
            </w:pPr>
            <w:r>
              <w:rPr>
                <w:rFonts w:ascii="Arial" w:cs="Arial" w:eastAsia="Arial" w:hAnsi="Arial"/>
                <w:sz w:val="13"/>
                <w:szCs w:val="13"/>
                <w:color w:val="auto"/>
              </w:rPr>
              <w:t>38,061</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26,821</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profit</w:t>
            </w:r>
          </w:p>
        </w:tc>
        <w:tc>
          <w:tcPr>
            <w:tcW w:w="5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vMerge w:val="continue"/>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vMerge w:val="continue"/>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040" w:type="dxa"/>
            <w:vAlign w:val="bottom"/>
          </w:tcPr>
          <w:p>
            <w:pPr>
              <w:ind w:left="380"/>
              <w:spacing w:after="0" w:line="111" w:lineRule="exact"/>
              <w:rPr>
                <w:sz w:val="20"/>
                <w:szCs w:val="20"/>
                <w:color w:val="auto"/>
              </w:rPr>
            </w:pPr>
            <w:r>
              <w:rPr>
                <w:rFonts w:ascii="Arial" w:cs="Arial" w:eastAsia="Arial" w:hAnsi="Arial"/>
                <w:sz w:val="12"/>
                <w:szCs w:val="12"/>
                <w:color w:val="auto"/>
              </w:rPr>
              <w:t>Operating</w:t>
            </w: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040" w:type="dxa"/>
            <w:vAlign w:val="bottom"/>
          </w:tcPr>
          <w:p>
            <w:pPr>
              <w:ind w:left="20"/>
              <w:spacing w:after="0"/>
              <w:rPr>
                <w:sz w:val="20"/>
                <w:szCs w:val="20"/>
                <w:color w:val="auto"/>
              </w:rPr>
            </w:pPr>
            <w:r>
              <w:rPr>
                <w:rFonts w:ascii="Arial" w:cs="Arial" w:eastAsia="Arial" w:hAnsi="Arial"/>
                <w:sz w:val="13"/>
                <w:szCs w:val="13"/>
                <w:color w:val="auto"/>
              </w:rPr>
              <w:t>expenses:</w:t>
            </w: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040" w:type="dxa"/>
            <w:vAlign w:val="bottom"/>
            <w:shd w:val="clear" w:color="auto" w:fill="CCEEFF"/>
          </w:tcPr>
          <w:p>
            <w:pPr>
              <w:ind w:left="520"/>
              <w:spacing w:after="0" w:line="131" w:lineRule="exact"/>
              <w:rPr>
                <w:sz w:val="20"/>
                <w:szCs w:val="20"/>
                <w:color w:val="auto"/>
              </w:rPr>
            </w:pPr>
            <w:r>
              <w:rPr>
                <w:rFonts w:ascii="Arial" w:cs="Arial" w:eastAsia="Arial" w:hAnsi="Arial"/>
                <w:sz w:val="13"/>
                <w:szCs w:val="13"/>
                <w:color w:val="auto"/>
              </w:rPr>
              <w:t>Sales</w:t>
            </w:r>
          </w:p>
        </w:tc>
        <w:tc>
          <w:tcPr>
            <w:tcW w:w="5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23,084</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314"/>
              <w:spacing w:after="0"/>
              <w:rPr>
                <w:sz w:val="20"/>
                <w:szCs w:val="20"/>
                <w:color w:val="auto"/>
              </w:rPr>
            </w:pPr>
            <w:r>
              <w:rPr>
                <w:rFonts w:ascii="Arial" w:cs="Arial" w:eastAsia="Arial" w:hAnsi="Arial"/>
                <w:sz w:val="13"/>
                <w:szCs w:val="13"/>
                <w:color w:val="auto"/>
              </w:rPr>
              <w:t>15,755</w:t>
            </w:r>
          </w:p>
        </w:tc>
        <w:tc>
          <w:tcPr>
            <w:tcW w:w="3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112</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334"/>
              <w:spacing w:after="0"/>
              <w:rPr>
                <w:sz w:val="20"/>
                <w:szCs w:val="20"/>
                <w:color w:val="auto"/>
              </w:rPr>
            </w:pPr>
            <w:r>
              <w:rPr>
                <w:rFonts w:ascii="Arial" w:cs="Arial" w:eastAsia="Arial" w:hAnsi="Arial"/>
                <w:sz w:val="13"/>
                <w:szCs w:val="13"/>
                <w:color w:val="auto"/>
              </w:rPr>
              <w:t>44,006</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35,036</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and marketing</w:t>
            </w:r>
          </w:p>
        </w:tc>
        <w:tc>
          <w:tcPr>
            <w:tcW w:w="5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040" w:type="dxa"/>
            <w:vAlign w:val="bottom"/>
          </w:tcPr>
          <w:p>
            <w:pPr>
              <w:ind w:left="520"/>
              <w:spacing w:after="0" w:line="131" w:lineRule="exact"/>
              <w:rPr>
                <w:sz w:val="20"/>
                <w:szCs w:val="20"/>
                <w:color w:val="auto"/>
              </w:rPr>
            </w:pPr>
            <w:r>
              <w:rPr>
                <w:rFonts w:ascii="Arial" w:cs="Arial" w:eastAsia="Arial" w:hAnsi="Arial"/>
                <w:sz w:val="13"/>
                <w:szCs w:val="13"/>
                <w:color w:val="auto"/>
                <w:w w:val="89"/>
              </w:rPr>
              <w:t>Research</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40" w:type="dxa"/>
            <w:vAlign w:val="bottom"/>
          </w:tcPr>
          <w:p>
            <w:pPr>
              <w:ind w:left="160"/>
              <w:spacing w:after="0" w:line="131" w:lineRule="exact"/>
              <w:rPr>
                <w:sz w:val="20"/>
                <w:szCs w:val="20"/>
                <w:color w:val="auto"/>
              </w:rPr>
            </w:pPr>
            <w:r>
              <w:rPr>
                <w:rFonts w:ascii="Arial" w:cs="Arial" w:eastAsia="Arial" w:hAnsi="Arial"/>
                <w:sz w:val="13"/>
                <w:szCs w:val="13"/>
                <w:color w:val="auto"/>
              </w:rPr>
              <w:t>and</w:t>
            </w:r>
          </w:p>
        </w:tc>
        <w:tc>
          <w:tcPr>
            <w:tcW w:w="5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3,149</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vMerge w:val="restart"/>
          </w:tcPr>
          <w:p>
            <w:pPr>
              <w:jc w:val="right"/>
              <w:ind w:right="314"/>
              <w:spacing w:after="0"/>
              <w:rPr>
                <w:sz w:val="20"/>
                <w:szCs w:val="20"/>
                <w:color w:val="auto"/>
              </w:rPr>
            </w:pPr>
            <w:r>
              <w:rPr>
                <w:rFonts w:ascii="Arial" w:cs="Arial" w:eastAsia="Arial" w:hAnsi="Arial"/>
                <w:sz w:val="13"/>
                <w:szCs w:val="13"/>
                <w:color w:val="auto"/>
              </w:rPr>
              <w:t>2,165</w:t>
            </w:r>
          </w:p>
        </w:tc>
        <w:tc>
          <w:tcPr>
            <w:tcW w:w="380" w:type="dxa"/>
            <w:vAlign w:val="bottom"/>
            <w:vMerge w:val="restart"/>
          </w:tcPr>
          <w:p>
            <w:pPr>
              <w:jc w:val="right"/>
              <w:ind w:right="13"/>
              <w:spacing w:after="0"/>
              <w:rPr>
                <w:sz w:val="20"/>
                <w:szCs w:val="20"/>
                <w:color w:val="auto"/>
              </w:rPr>
            </w:pPr>
            <w:r>
              <w:rPr>
                <w:rFonts w:ascii="Arial" w:cs="Arial" w:eastAsia="Arial" w:hAnsi="Arial"/>
                <w:sz w:val="13"/>
                <w:szCs w:val="13"/>
                <w:color w:val="auto"/>
              </w:rPr>
              <w:t>15</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vMerge w:val="restart"/>
          </w:tcPr>
          <w:p>
            <w:pPr>
              <w:jc w:val="right"/>
              <w:ind w:right="334"/>
              <w:spacing w:after="0"/>
              <w:rPr>
                <w:sz w:val="20"/>
                <w:szCs w:val="20"/>
                <w:color w:val="auto"/>
              </w:rPr>
            </w:pPr>
            <w:r>
              <w:rPr>
                <w:rFonts w:ascii="Arial" w:cs="Arial" w:eastAsia="Arial" w:hAnsi="Arial"/>
                <w:sz w:val="13"/>
                <w:szCs w:val="13"/>
                <w:color w:val="auto"/>
              </w:rPr>
              <w:t>6,104</w:t>
            </w: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4,255</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040" w:type="dxa"/>
            <w:vAlign w:val="bottom"/>
          </w:tcPr>
          <w:p>
            <w:pPr>
              <w:ind w:left="160"/>
              <w:spacing w:after="0"/>
              <w:rPr>
                <w:sz w:val="20"/>
                <w:szCs w:val="20"/>
                <w:color w:val="auto"/>
              </w:rPr>
            </w:pPr>
            <w:r>
              <w:rPr>
                <w:rFonts w:ascii="Arial" w:cs="Arial" w:eastAsia="Arial" w:hAnsi="Arial"/>
                <w:sz w:val="13"/>
                <w:szCs w:val="13"/>
                <w:color w:val="auto"/>
              </w:rPr>
              <w:t>development</w:t>
            </w:r>
          </w:p>
        </w:tc>
        <w:tc>
          <w:tcPr>
            <w:tcW w:w="5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040" w:type="dxa"/>
            <w:vAlign w:val="bottom"/>
            <w:shd w:val="clear" w:color="auto" w:fill="CCEEFF"/>
          </w:tcPr>
          <w:p>
            <w:pPr>
              <w:ind w:left="520"/>
              <w:spacing w:after="0" w:line="131" w:lineRule="exact"/>
              <w:rPr>
                <w:sz w:val="20"/>
                <w:szCs w:val="20"/>
                <w:color w:val="auto"/>
              </w:rPr>
            </w:pPr>
            <w:r>
              <w:rPr>
                <w:rFonts w:ascii="Arial" w:cs="Arial" w:eastAsia="Arial" w:hAnsi="Arial"/>
                <w:sz w:val="13"/>
                <w:szCs w:val="13"/>
                <w:color w:val="auto"/>
              </w:rPr>
              <w:t>General</w:t>
            </w:r>
          </w:p>
        </w:tc>
        <w:tc>
          <w:tcPr>
            <w:tcW w:w="5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40" w:type="dxa"/>
            <w:vAlign w:val="bottom"/>
            <w:shd w:val="clear" w:color="auto" w:fill="CCEEFF"/>
          </w:tcPr>
          <w:p>
            <w:pPr>
              <w:ind w:left="160"/>
              <w:spacing w:after="0" w:line="131" w:lineRule="exact"/>
              <w:rPr>
                <w:sz w:val="20"/>
                <w:szCs w:val="20"/>
                <w:color w:val="auto"/>
              </w:rPr>
            </w:pPr>
            <w:r>
              <w:rPr>
                <w:rFonts w:ascii="Arial" w:cs="Arial" w:eastAsia="Arial" w:hAnsi="Arial"/>
                <w:sz w:val="13"/>
                <w:szCs w:val="13"/>
                <w:color w:val="auto"/>
              </w:rPr>
              <w:t>and</w:t>
            </w:r>
          </w:p>
        </w:tc>
        <w:tc>
          <w:tcPr>
            <w:tcW w:w="5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6,551</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314"/>
              <w:spacing w:after="0"/>
              <w:rPr>
                <w:sz w:val="20"/>
                <w:szCs w:val="20"/>
                <w:color w:val="auto"/>
              </w:rPr>
            </w:pPr>
            <w:r>
              <w:rPr>
                <w:rFonts w:ascii="Arial" w:cs="Arial" w:eastAsia="Arial" w:hAnsi="Arial"/>
                <w:sz w:val="13"/>
                <w:szCs w:val="13"/>
                <w:color w:val="auto"/>
              </w:rPr>
              <w:t>4,151</w:t>
            </w:r>
          </w:p>
        </w:tc>
        <w:tc>
          <w:tcPr>
            <w:tcW w:w="3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30</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334"/>
              <w:spacing w:after="0"/>
              <w:rPr>
                <w:sz w:val="20"/>
                <w:szCs w:val="20"/>
                <w:color w:val="auto"/>
              </w:rPr>
            </w:pPr>
            <w:r>
              <w:rPr>
                <w:rFonts w:ascii="Arial" w:cs="Arial" w:eastAsia="Arial" w:hAnsi="Arial"/>
                <w:sz w:val="13"/>
                <w:szCs w:val="13"/>
                <w:color w:val="auto"/>
              </w:rPr>
              <w:t>12,491</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9,551</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administrative</w:t>
            </w:r>
          </w:p>
        </w:tc>
        <w:tc>
          <w:tcPr>
            <w:tcW w:w="5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vMerge w:val="continue"/>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vMerge w:val="continue"/>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040" w:type="dxa"/>
            <w:vAlign w:val="bottom"/>
          </w:tcPr>
          <w:p>
            <w:pPr>
              <w:ind w:left="380"/>
              <w:spacing w:after="0" w:line="111" w:lineRule="exact"/>
              <w:rPr>
                <w:sz w:val="20"/>
                <w:szCs w:val="20"/>
                <w:color w:val="auto"/>
              </w:rPr>
            </w:pPr>
            <w:r>
              <w:rPr>
                <w:rFonts w:ascii="Arial" w:cs="Arial" w:eastAsia="Arial" w:hAnsi="Arial"/>
                <w:sz w:val="12"/>
                <w:szCs w:val="12"/>
                <w:color w:val="auto"/>
              </w:rPr>
              <w:t>Total</w:t>
            </w: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040" w:type="dxa"/>
            <w:vAlign w:val="bottom"/>
          </w:tcPr>
          <w:p>
            <w:pPr>
              <w:ind w:left="20"/>
              <w:spacing w:after="0" w:line="131" w:lineRule="exact"/>
              <w:rPr>
                <w:sz w:val="20"/>
                <w:szCs w:val="20"/>
                <w:color w:val="auto"/>
              </w:rPr>
            </w:pPr>
            <w:r>
              <w:rPr>
                <w:rFonts w:ascii="Arial" w:cs="Arial" w:eastAsia="Arial" w:hAnsi="Arial"/>
                <w:sz w:val="13"/>
                <w:szCs w:val="13"/>
                <w:color w:val="auto"/>
              </w:rPr>
              <w:t>operating</w:t>
            </w:r>
          </w:p>
        </w:tc>
        <w:tc>
          <w:tcPr>
            <w:tcW w:w="5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32,784</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148</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vMerge w:val="restart"/>
          </w:tcPr>
          <w:p>
            <w:pPr>
              <w:jc w:val="right"/>
              <w:ind w:right="314"/>
              <w:spacing w:after="0"/>
              <w:rPr>
                <w:sz w:val="20"/>
                <w:szCs w:val="20"/>
                <w:color w:val="auto"/>
              </w:rPr>
            </w:pPr>
            <w:r>
              <w:rPr>
                <w:rFonts w:ascii="Arial" w:cs="Arial" w:eastAsia="Arial" w:hAnsi="Arial"/>
                <w:sz w:val="13"/>
                <w:szCs w:val="13"/>
                <w:color w:val="auto"/>
              </w:rPr>
              <w:t>22,071</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157</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vMerge w:val="restart"/>
          </w:tcPr>
          <w:p>
            <w:pPr>
              <w:jc w:val="right"/>
              <w:ind w:right="334"/>
              <w:spacing w:after="0"/>
              <w:rPr>
                <w:sz w:val="20"/>
                <w:szCs w:val="20"/>
                <w:color w:val="auto"/>
              </w:rPr>
            </w:pPr>
            <w:r>
              <w:rPr>
                <w:rFonts w:ascii="Arial" w:cs="Arial" w:eastAsia="Arial" w:hAnsi="Arial"/>
                <w:sz w:val="13"/>
                <w:szCs w:val="13"/>
                <w:color w:val="auto"/>
              </w:rPr>
              <w:t>62,601</w:t>
            </w: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147</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48,842</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158</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expenses</w:t>
            </w: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040" w:type="dxa"/>
            <w:vAlign w:val="bottom"/>
            <w:shd w:val="clear" w:color="auto" w:fill="CCEEFF"/>
          </w:tcPr>
          <w:p>
            <w:pPr>
              <w:ind w:left="380"/>
              <w:spacing w:after="0" w:line="111" w:lineRule="exact"/>
              <w:rPr>
                <w:sz w:val="20"/>
                <w:szCs w:val="20"/>
                <w:color w:val="auto"/>
              </w:rPr>
            </w:pPr>
            <w:r>
              <w:rPr>
                <w:rFonts w:ascii="Arial" w:cs="Arial" w:eastAsia="Arial" w:hAnsi="Arial"/>
                <w:sz w:val="12"/>
                <w:szCs w:val="12"/>
                <w:color w:val="auto"/>
              </w:rPr>
              <w:t>Loss from</w:t>
            </w:r>
          </w:p>
        </w:tc>
        <w:tc>
          <w:tcPr>
            <w:tcW w:w="5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(12,965)</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ind w:right="274"/>
              <w:spacing w:after="0"/>
              <w:rPr>
                <w:sz w:val="20"/>
                <w:szCs w:val="20"/>
                <w:color w:val="auto"/>
              </w:rPr>
            </w:pPr>
            <w:r>
              <w:rPr>
                <w:rFonts w:ascii="Arial" w:cs="Arial" w:eastAsia="Arial" w:hAnsi="Arial"/>
                <w:sz w:val="13"/>
                <w:szCs w:val="13"/>
                <w:color w:val="auto"/>
              </w:rPr>
              <w:t>(10,139)</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ind w:right="294"/>
              <w:spacing w:after="0"/>
              <w:rPr>
                <w:sz w:val="20"/>
                <w:szCs w:val="20"/>
                <w:color w:val="auto"/>
              </w:rPr>
            </w:pPr>
            <w:r>
              <w:rPr>
                <w:rFonts w:ascii="Arial" w:cs="Arial" w:eastAsia="Arial" w:hAnsi="Arial"/>
                <w:sz w:val="13"/>
                <w:szCs w:val="13"/>
                <w:color w:val="auto"/>
              </w:rPr>
              <w:t>(24,540)</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(22,021)</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operations</w:t>
            </w:r>
          </w:p>
        </w:tc>
        <w:tc>
          <w:tcPr>
            <w:tcW w:w="5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320" w:type="dxa"/>
            <w:vAlign w:val="bottom"/>
            <w:gridSpan w:val="3"/>
          </w:tcPr>
          <w:p>
            <w:pPr>
              <w:ind w:left="380"/>
              <w:spacing w:after="0" w:line="131" w:lineRule="exact"/>
              <w:rPr>
                <w:sz w:val="20"/>
                <w:szCs w:val="20"/>
                <w:color w:val="auto"/>
              </w:rPr>
            </w:pPr>
            <w:r>
              <w:rPr>
                <w:rFonts w:ascii="Arial" w:cs="Arial" w:eastAsia="Arial" w:hAnsi="Arial"/>
                <w:sz w:val="13"/>
                <w:szCs w:val="13"/>
                <w:color w:val="auto"/>
              </w:rPr>
              <w:t>Interest and other income</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40" w:type="dxa"/>
            <w:vAlign w:val="bottom"/>
          </w:tcPr>
          <w:p>
            <w:pPr>
              <w:ind w:left="20"/>
              <w:spacing w:after="0"/>
              <w:rPr>
                <w:sz w:val="20"/>
                <w:szCs w:val="20"/>
                <w:color w:val="auto"/>
              </w:rPr>
            </w:pPr>
            <w:r>
              <w:rPr>
                <w:rFonts w:ascii="Arial" w:cs="Arial" w:eastAsia="Arial" w:hAnsi="Arial"/>
                <w:sz w:val="13"/>
                <w:szCs w:val="13"/>
                <w:color w:val="auto"/>
              </w:rPr>
              <w:t>(expense), net:</w:t>
            </w: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040" w:type="dxa"/>
            <w:vAlign w:val="bottom"/>
            <w:shd w:val="clear" w:color="auto" w:fill="CCEEFF"/>
          </w:tcPr>
          <w:p>
            <w:pPr>
              <w:ind w:left="520"/>
              <w:spacing w:after="0" w:line="131" w:lineRule="exact"/>
              <w:rPr>
                <w:sz w:val="20"/>
                <w:szCs w:val="20"/>
                <w:color w:val="auto"/>
              </w:rPr>
            </w:pPr>
            <w:r>
              <w:rPr>
                <w:rFonts w:ascii="Arial" w:cs="Arial" w:eastAsia="Arial" w:hAnsi="Arial"/>
                <w:sz w:val="13"/>
                <w:szCs w:val="13"/>
                <w:color w:val="auto"/>
              </w:rPr>
              <w:t>Interest</w:t>
            </w:r>
          </w:p>
        </w:tc>
        <w:tc>
          <w:tcPr>
            <w:tcW w:w="5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314"/>
              <w:spacing w:after="0"/>
              <w:rPr>
                <w:sz w:val="20"/>
                <w:szCs w:val="20"/>
                <w:color w:val="auto"/>
              </w:rPr>
            </w:pPr>
            <w:r>
              <w:rPr>
                <w:rFonts w:ascii="Arial" w:cs="Arial" w:eastAsia="Arial" w:hAnsi="Arial"/>
                <w:sz w:val="13"/>
                <w:szCs w:val="13"/>
                <w:color w:val="auto"/>
              </w:rPr>
              <w:t>329</w:t>
            </w:r>
          </w:p>
        </w:tc>
        <w:tc>
          <w:tcPr>
            <w:tcW w:w="3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2</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334"/>
              <w:spacing w:after="0"/>
              <w:rPr>
                <w:sz w:val="20"/>
                <w:szCs w:val="20"/>
                <w:color w:val="auto"/>
              </w:rPr>
            </w:pPr>
            <w:r>
              <w:rPr>
                <w:rFonts w:ascii="Arial" w:cs="Arial" w:eastAsia="Arial" w:hAnsi="Arial"/>
                <w:sz w:val="13"/>
                <w:szCs w:val="13"/>
                <w:color w:val="auto"/>
              </w:rPr>
              <w:t>107</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827</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income</w:t>
            </w:r>
          </w:p>
        </w:tc>
        <w:tc>
          <w:tcPr>
            <w:tcW w:w="5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040" w:type="dxa"/>
            <w:vAlign w:val="bottom"/>
          </w:tcPr>
          <w:p>
            <w:pPr>
              <w:ind w:left="520"/>
              <w:spacing w:after="0" w:line="131" w:lineRule="exact"/>
              <w:rPr>
                <w:sz w:val="20"/>
                <w:szCs w:val="20"/>
                <w:color w:val="auto"/>
              </w:rPr>
            </w:pPr>
            <w:r>
              <w:rPr>
                <w:rFonts w:ascii="Arial" w:cs="Arial" w:eastAsia="Arial" w:hAnsi="Arial"/>
                <w:sz w:val="13"/>
                <w:szCs w:val="13"/>
                <w:color w:val="auto"/>
              </w:rPr>
              <w:t>Interest</w:t>
            </w:r>
          </w:p>
        </w:tc>
        <w:tc>
          <w:tcPr>
            <w:tcW w:w="5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(1,075)</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vMerge w:val="restart"/>
          </w:tcPr>
          <w:p>
            <w:pPr>
              <w:jc w:val="right"/>
              <w:ind w:right="274"/>
              <w:spacing w:after="0"/>
              <w:rPr>
                <w:sz w:val="20"/>
                <w:szCs w:val="20"/>
                <w:color w:val="auto"/>
              </w:rPr>
            </w:pPr>
            <w:r>
              <w:rPr>
                <w:rFonts w:ascii="Arial" w:cs="Arial" w:eastAsia="Arial" w:hAnsi="Arial"/>
                <w:sz w:val="13"/>
                <w:szCs w:val="13"/>
                <w:color w:val="auto"/>
              </w:rPr>
              <w:t>(2,683)</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(19)</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vMerge w:val="restart"/>
          </w:tcPr>
          <w:p>
            <w:pPr>
              <w:jc w:val="right"/>
              <w:ind w:right="294"/>
              <w:spacing w:after="0"/>
              <w:rPr>
                <w:sz w:val="20"/>
                <w:szCs w:val="20"/>
                <w:color w:val="auto"/>
              </w:rPr>
            </w:pPr>
            <w:r>
              <w:rPr>
                <w:rFonts w:ascii="Arial" w:cs="Arial" w:eastAsia="Arial" w:hAnsi="Arial"/>
                <w:sz w:val="13"/>
                <w:szCs w:val="13"/>
                <w:color w:val="auto"/>
              </w:rPr>
              <w:t>(2,139)</w:t>
            </w: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(3,914)</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040" w:type="dxa"/>
            <w:vAlign w:val="bottom"/>
          </w:tcPr>
          <w:p>
            <w:pPr>
              <w:ind w:left="160"/>
              <w:spacing w:after="0"/>
              <w:rPr>
                <w:sz w:val="20"/>
                <w:szCs w:val="20"/>
                <w:color w:val="auto"/>
              </w:rPr>
            </w:pPr>
            <w:r>
              <w:rPr>
                <w:rFonts w:ascii="Arial" w:cs="Arial" w:eastAsia="Arial" w:hAnsi="Arial"/>
                <w:sz w:val="13"/>
                <w:szCs w:val="13"/>
                <w:color w:val="auto"/>
              </w:rPr>
              <w:t>expense</w:t>
            </w:r>
          </w:p>
        </w:tc>
        <w:tc>
          <w:tcPr>
            <w:tcW w:w="5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040" w:type="dxa"/>
            <w:vAlign w:val="bottom"/>
            <w:shd w:val="clear" w:color="auto" w:fill="CCEEFF"/>
          </w:tcPr>
          <w:p>
            <w:pPr>
              <w:ind w:left="520"/>
              <w:spacing w:after="0" w:line="131" w:lineRule="exact"/>
              <w:rPr>
                <w:sz w:val="20"/>
                <w:szCs w:val="20"/>
                <w:color w:val="auto"/>
              </w:rPr>
            </w:pPr>
            <w:r>
              <w:rPr>
                <w:rFonts w:ascii="Arial" w:cs="Arial" w:eastAsia="Arial" w:hAnsi="Arial"/>
                <w:sz w:val="13"/>
                <w:szCs w:val="13"/>
                <w:color w:val="auto"/>
              </w:rPr>
              <w:t>Other</w:t>
            </w:r>
          </w:p>
        </w:tc>
        <w:tc>
          <w:tcPr>
            <w:tcW w:w="5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40" w:type="dxa"/>
            <w:vAlign w:val="bottom"/>
            <w:shd w:val="clear" w:color="auto" w:fill="CCEEFF"/>
          </w:tcPr>
          <w:p>
            <w:pPr>
              <w:ind w:left="160"/>
              <w:spacing w:after="0" w:line="131" w:lineRule="exact"/>
              <w:rPr>
                <w:sz w:val="20"/>
                <w:szCs w:val="20"/>
                <w:color w:val="auto"/>
              </w:rPr>
            </w:pPr>
            <w:r>
              <w:rPr>
                <w:rFonts w:ascii="Arial" w:cs="Arial" w:eastAsia="Arial" w:hAnsi="Arial"/>
                <w:sz w:val="13"/>
                <w:szCs w:val="13"/>
                <w:color w:val="auto"/>
              </w:rPr>
              <w:t>income</w:t>
            </w:r>
          </w:p>
        </w:tc>
        <w:tc>
          <w:tcPr>
            <w:tcW w:w="5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314"/>
              <w:spacing w:after="0"/>
              <w:rPr>
                <w:sz w:val="20"/>
                <w:szCs w:val="20"/>
                <w:color w:val="auto"/>
              </w:rPr>
            </w:pPr>
            <w:r>
              <w:rPr>
                <w:rFonts w:ascii="Arial" w:cs="Arial" w:eastAsia="Arial" w:hAnsi="Arial"/>
                <w:sz w:val="13"/>
                <w:szCs w:val="13"/>
                <w:color w:val="auto"/>
              </w:rPr>
              <w:t>21</w:t>
            </w:r>
          </w:p>
        </w:tc>
        <w:tc>
          <w:tcPr>
            <w:tcW w:w="3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334"/>
              <w:spacing w:after="0"/>
              <w:rPr>
                <w:sz w:val="20"/>
                <w:szCs w:val="20"/>
                <w:color w:val="auto"/>
              </w:rPr>
            </w:pPr>
            <w:r>
              <w:rPr>
                <w:rFonts w:ascii="Arial" w:cs="Arial" w:eastAsia="Arial" w:hAnsi="Arial"/>
                <w:sz w:val="13"/>
                <w:szCs w:val="13"/>
                <w:color w:val="auto"/>
              </w:rPr>
              <w:t>349</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(expense), net</w:t>
            </w:r>
          </w:p>
        </w:tc>
        <w:tc>
          <w:tcPr>
            <w:tcW w:w="5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vMerge w:val="continue"/>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vMerge w:val="continue"/>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40" w:type="dxa"/>
            <w:vAlign w:val="bottom"/>
          </w:tcPr>
          <w:p>
            <w:pPr>
              <w:ind w:left="380"/>
              <w:spacing w:after="0"/>
              <w:rPr>
                <w:sz w:val="20"/>
                <w:szCs w:val="20"/>
                <w:color w:val="auto"/>
              </w:rPr>
            </w:pPr>
            <w:r>
              <w:rPr>
                <w:rFonts w:ascii="Arial" w:cs="Arial" w:eastAsia="Arial" w:hAnsi="Arial"/>
                <w:sz w:val="13"/>
                <w:szCs w:val="13"/>
                <w:color w:val="auto"/>
              </w:rPr>
              <w:t>Net loss</w:t>
            </w: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(13,981)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(12,472)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(26,223)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(25,244)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80" w:firstLine="362"/>
        <w:spacing w:after="0" w:line="294" w:lineRule="auto"/>
        <w:rPr>
          <w:sz w:val="20"/>
          <w:szCs w:val="20"/>
          <w:color w:val="auto"/>
        </w:rPr>
      </w:pPr>
      <w:r>
        <w:rPr>
          <w:rFonts w:ascii="Arial" w:cs="Arial" w:eastAsia="Arial" w:hAnsi="Arial"/>
          <w:sz w:val="13"/>
          <w:szCs w:val="13"/>
          <w:color w:val="auto"/>
        </w:rPr>
        <w:t>We derive the majority of our revenue from sales to customers in the U.S. Revenue by geography is based on billing address of the customer. No single country outside the U.S. accounts for more than 10% of the total revenue during the periods presented. The table below summarizes our revenue by geography:</w:t>
      </w:r>
    </w:p>
    <w:p>
      <w:pPr>
        <w:spacing w:after="0" w:line="147" w:lineRule="exact"/>
        <w:rPr>
          <w:sz w:val="20"/>
          <w:szCs w:val="20"/>
          <w:color w:val="auto"/>
        </w:rPr>
      </w:pPr>
    </w:p>
    <w:tbl>
      <w:tblPr>
        <w:tblLayout w:type="fixed"/>
        <w:tblInd w:w="360" w:type="dxa"/>
        <w:tblCellMar>
          <w:top w:w="0" w:type="dxa"/>
          <w:left w:w="0" w:type="dxa"/>
          <w:bottom w:w="0" w:type="dxa"/>
          <w:right w:w="0" w:type="dxa"/>
        </w:tblCellMar>
      </w:tblPr>
      <w:tr>
        <w:trPr>
          <w:trHeight w:val="160"/>
        </w:trPr>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5"/>
          </w:tcPr>
          <w:p>
            <w:pPr>
              <w:jc w:val="right"/>
              <w:ind w:right="596"/>
              <w:spacing w:after="0"/>
              <w:rPr>
                <w:sz w:val="20"/>
                <w:szCs w:val="20"/>
                <w:color w:val="auto"/>
              </w:rPr>
            </w:pPr>
            <w:r>
              <w:rPr>
                <w:rFonts w:ascii="Arial" w:cs="Arial" w:eastAsia="Arial" w:hAnsi="Arial"/>
                <w:sz w:val="12"/>
                <w:szCs w:val="12"/>
                <w:b w:val="1"/>
                <w:bCs w:val="1"/>
                <w:color w:val="auto"/>
              </w:rPr>
              <w:t>Three Months Ended June 30,</w:t>
            </w: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2"/>
                <w:szCs w:val="12"/>
                <w:b w:val="1"/>
                <w:bCs w:val="1"/>
                <w:color w:val="auto"/>
                <w:w w:val="90"/>
              </w:rPr>
              <w:t>Six Months Ended June 30,</w:t>
            </w: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b w:val="1"/>
                <w:bCs w:val="1"/>
                <w:color w:val="auto"/>
              </w:rPr>
              <w:t>2021</w:t>
            </w:r>
          </w:p>
        </w:tc>
        <w:tc>
          <w:tcPr>
            <w:tcW w:w="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b w:val="1"/>
                <w:bCs w:val="1"/>
                <w:color w:val="auto"/>
              </w:rPr>
              <w:t>2020</w:t>
            </w: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75"/>
              <w:spacing w:after="0"/>
              <w:rPr>
                <w:sz w:val="20"/>
                <w:szCs w:val="20"/>
                <w:color w:val="auto"/>
              </w:rPr>
            </w:pPr>
            <w:r>
              <w:rPr>
                <w:rFonts w:ascii="Arial" w:cs="Arial" w:eastAsia="Arial" w:hAnsi="Arial"/>
                <w:sz w:val="12"/>
                <w:szCs w:val="12"/>
                <w:b w:val="1"/>
                <w:bCs w:val="1"/>
                <w:color w:val="auto"/>
                <w:w w:val="97"/>
              </w:rPr>
              <w:t>2020</w:t>
            </w: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6"/>
              <w:spacing w:after="0"/>
              <w:rPr>
                <w:sz w:val="20"/>
                <w:szCs w:val="20"/>
                <w:color w:val="auto"/>
              </w:rPr>
            </w:pPr>
            <w:r>
              <w:rPr>
                <w:rFonts w:ascii="Arial" w:cs="Arial" w:eastAsia="Arial" w:hAnsi="Arial"/>
                <w:sz w:val="12"/>
                <w:szCs w:val="12"/>
                <w:b w:val="1"/>
                <w:bCs w:val="1"/>
                <w:color w:val="auto"/>
              </w:rPr>
              <w:t>Amount</w:t>
            </w:r>
          </w:p>
        </w:tc>
        <w:tc>
          <w:tcPr>
            <w:tcW w:w="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35"/>
              <w:spacing w:after="0"/>
              <w:rPr>
                <w:sz w:val="20"/>
                <w:szCs w:val="20"/>
                <w:color w:val="auto"/>
              </w:rPr>
            </w:pPr>
            <w:r>
              <w:rPr>
                <w:rFonts w:ascii="Arial" w:cs="Arial" w:eastAsia="Arial" w:hAnsi="Arial"/>
                <w:sz w:val="12"/>
                <w:szCs w:val="12"/>
                <w:b w:val="1"/>
                <w:bCs w:val="1"/>
                <w:color w:val="auto"/>
              </w:rPr>
              <w:t>%</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6"/>
              <w:spacing w:after="0"/>
              <w:rPr>
                <w:sz w:val="20"/>
                <w:szCs w:val="20"/>
                <w:color w:val="auto"/>
              </w:rPr>
            </w:pPr>
            <w:r>
              <w:rPr>
                <w:rFonts w:ascii="Arial" w:cs="Arial" w:eastAsia="Arial" w:hAnsi="Arial"/>
                <w:sz w:val="12"/>
                <w:szCs w:val="12"/>
                <w:b w:val="1"/>
                <w:bCs w:val="1"/>
                <w:color w:val="auto"/>
              </w:rPr>
              <w:t>Amount</w:t>
            </w: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55"/>
              <w:spacing w:after="0"/>
              <w:rPr>
                <w:sz w:val="20"/>
                <w:szCs w:val="20"/>
                <w:color w:val="auto"/>
              </w:rPr>
            </w:pPr>
            <w:r>
              <w:rPr>
                <w:rFonts w:ascii="Arial" w:cs="Arial" w:eastAsia="Arial" w:hAnsi="Arial"/>
                <w:sz w:val="12"/>
                <w:szCs w:val="12"/>
                <w:b w:val="1"/>
                <w:bCs w:val="1"/>
                <w:color w:val="auto"/>
              </w:rPr>
              <w:t>%</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6"/>
              <w:spacing w:after="0"/>
              <w:rPr>
                <w:sz w:val="20"/>
                <w:szCs w:val="20"/>
                <w:color w:val="auto"/>
              </w:rPr>
            </w:pPr>
            <w:r>
              <w:rPr>
                <w:rFonts w:ascii="Arial" w:cs="Arial" w:eastAsia="Arial" w:hAnsi="Arial"/>
                <w:sz w:val="12"/>
                <w:szCs w:val="12"/>
                <w:b w:val="1"/>
                <w:bCs w:val="1"/>
                <w:color w:val="auto"/>
              </w:rPr>
              <w:t>Amount</w:t>
            </w: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56"/>
              <w:spacing w:after="0"/>
              <w:rPr>
                <w:sz w:val="20"/>
                <w:szCs w:val="20"/>
                <w:color w:val="auto"/>
              </w:rPr>
            </w:pPr>
            <w:r>
              <w:rPr>
                <w:rFonts w:ascii="Arial" w:cs="Arial" w:eastAsia="Arial" w:hAnsi="Arial"/>
                <w:sz w:val="12"/>
                <w:szCs w:val="12"/>
                <w:b w:val="1"/>
                <w:bCs w:val="1"/>
                <w:color w:val="auto"/>
              </w:rPr>
              <w:t>%</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2"/>
                <w:szCs w:val="12"/>
                <w:b w:val="1"/>
                <w:bCs w:val="1"/>
                <w:color w:val="auto"/>
              </w:rPr>
              <w:t>Amount</w:t>
            </w: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55"/>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500" w:type="dxa"/>
            <w:vAlign w:val="bottom"/>
            <w:gridSpan w:val="5"/>
          </w:tcPr>
          <w:p>
            <w:pPr>
              <w:jc w:val="right"/>
              <w:ind w:right="416"/>
              <w:spacing w:after="0"/>
              <w:rPr>
                <w:sz w:val="20"/>
                <w:szCs w:val="20"/>
                <w:color w:val="auto"/>
              </w:rPr>
            </w:pPr>
            <w:r>
              <w:rPr>
                <w:rFonts w:ascii="Arial" w:cs="Arial" w:eastAsia="Arial" w:hAnsi="Arial"/>
                <w:sz w:val="12"/>
                <w:szCs w:val="12"/>
                <w:b w:val="1"/>
                <w:bCs w:val="1"/>
                <w:color w:val="auto"/>
                <w:w w:val="91"/>
              </w:rPr>
              <w:t>(in thousands except for percentages)</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6"/>
              </w:rPr>
              <w:t>States</w:t>
            </w:r>
          </w:p>
        </w:tc>
        <w:tc>
          <w:tcPr>
            <w:tcW w:w="124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3"/>
                <w:szCs w:val="13"/>
                <w:color w:val="auto"/>
              </w:rPr>
              <w:t>United</w:t>
            </w:r>
          </w:p>
        </w:tc>
        <w:tc>
          <w:tcPr>
            <w:tcW w:w="1060" w:type="dxa"/>
            <w:vAlign w:val="bottom"/>
            <w:vMerge w:val="restart"/>
            <w:shd w:val="clear" w:color="auto" w:fill="CCEEFF"/>
          </w:tcPr>
          <w:p>
            <w:pPr>
              <w:jc w:val="right"/>
              <w:ind w:right="336"/>
              <w:spacing w:after="0"/>
              <w:rPr>
                <w:sz w:val="20"/>
                <w:szCs w:val="20"/>
                <w:color w:val="auto"/>
              </w:rPr>
            </w:pPr>
            <w:r>
              <w:rPr>
                <w:rFonts w:ascii="Arial" w:cs="Arial" w:eastAsia="Arial" w:hAnsi="Arial"/>
                <w:sz w:val="13"/>
                <w:szCs w:val="13"/>
                <w:color w:val="auto"/>
              </w:rPr>
              <w:t>20,230</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ind w:right="356"/>
              <w:spacing w:after="0"/>
              <w:rPr>
                <w:sz w:val="20"/>
                <w:szCs w:val="20"/>
                <w:color w:val="auto"/>
              </w:rPr>
            </w:pPr>
            <w:r>
              <w:rPr>
                <w:rFonts w:ascii="Arial" w:cs="Arial" w:eastAsia="Arial" w:hAnsi="Arial"/>
                <w:sz w:val="13"/>
                <w:szCs w:val="13"/>
                <w:color w:val="auto"/>
              </w:rPr>
              <w:t>13,221</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ind w:right="356"/>
              <w:spacing w:after="0"/>
              <w:rPr>
                <w:sz w:val="20"/>
                <w:szCs w:val="20"/>
                <w:color w:val="auto"/>
              </w:rPr>
            </w:pPr>
            <w:r>
              <w:rPr>
                <w:rFonts w:ascii="Arial" w:cs="Arial" w:eastAsia="Arial" w:hAnsi="Arial"/>
                <w:sz w:val="13"/>
                <w:szCs w:val="13"/>
                <w:color w:val="auto"/>
              </w:rPr>
              <w:t>39,000</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28,518</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60" w:type="dxa"/>
            <w:vAlign w:val="bottom"/>
            <w:vMerge w:val="continue"/>
            <w:shd w:val="clear" w:color="auto" w:fill="CCEEFF"/>
          </w:tcPr>
          <w:p>
            <w:pPr>
              <w:spacing w:after="0"/>
              <w:rPr>
                <w:sz w:val="14"/>
                <w:szCs w:val="14"/>
                <w:color w:val="auto"/>
              </w:rPr>
            </w:pPr>
          </w:p>
        </w:tc>
        <w:tc>
          <w:tcPr>
            <w:tcW w:w="124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60" w:type="dxa"/>
            <w:vAlign w:val="bottom"/>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International</w:t>
            </w:r>
          </w:p>
        </w:tc>
        <w:tc>
          <w:tcPr>
            <w:tcW w:w="1060" w:type="dxa"/>
            <w:vAlign w:val="bottom"/>
          </w:tcPr>
          <w:p>
            <w:pPr>
              <w:jc w:val="right"/>
              <w:ind w:right="336"/>
              <w:spacing w:after="0"/>
              <w:rPr>
                <w:sz w:val="20"/>
                <w:szCs w:val="20"/>
                <w:color w:val="auto"/>
              </w:rPr>
            </w:pPr>
            <w:r>
              <w:rPr>
                <w:rFonts w:ascii="Arial" w:cs="Arial" w:eastAsia="Arial" w:hAnsi="Arial"/>
                <w:sz w:val="13"/>
                <w:szCs w:val="13"/>
                <w:color w:val="auto"/>
              </w:rPr>
              <w:t>1,964</w:t>
            </w:r>
          </w:p>
        </w:tc>
        <w:tc>
          <w:tcPr>
            <w:tcW w:w="340" w:type="dxa"/>
            <w:vAlign w:val="bottom"/>
          </w:tcPr>
          <w:p>
            <w:pPr>
              <w:jc w:val="right"/>
              <w:spacing w:after="0"/>
              <w:rPr>
                <w:sz w:val="20"/>
                <w:szCs w:val="20"/>
                <w:color w:val="auto"/>
              </w:rPr>
            </w:pPr>
            <w:r>
              <w:rPr>
                <w:rFonts w:ascii="Arial" w:cs="Arial" w:eastAsia="Arial" w:hAnsi="Arial"/>
                <w:sz w:val="13"/>
                <w:szCs w:val="13"/>
                <w:color w:val="auto"/>
              </w:rPr>
              <w:t>9</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356"/>
              <w:spacing w:after="0"/>
              <w:rPr>
                <w:sz w:val="20"/>
                <w:szCs w:val="20"/>
                <w:color w:val="auto"/>
              </w:rPr>
            </w:pPr>
            <w:r>
              <w:rPr>
                <w:rFonts w:ascii="Arial" w:cs="Arial" w:eastAsia="Arial" w:hAnsi="Arial"/>
                <w:sz w:val="13"/>
                <w:szCs w:val="13"/>
                <w:color w:val="auto"/>
              </w:rPr>
              <w:t>828</w:t>
            </w:r>
          </w:p>
        </w:tc>
        <w:tc>
          <w:tcPr>
            <w:tcW w:w="340" w:type="dxa"/>
            <w:vAlign w:val="bottom"/>
          </w:tcPr>
          <w:p>
            <w:pPr>
              <w:jc w:val="right"/>
              <w:spacing w:after="0"/>
              <w:rPr>
                <w:sz w:val="20"/>
                <w:szCs w:val="20"/>
                <w:color w:val="auto"/>
              </w:rPr>
            </w:pPr>
            <w:r>
              <w:rPr>
                <w:rFonts w:ascii="Arial" w:cs="Arial" w:eastAsia="Arial" w:hAnsi="Arial"/>
                <w:sz w:val="13"/>
                <w:szCs w:val="13"/>
                <w:color w:val="auto"/>
              </w:rPr>
              <w:t>6</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356"/>
              <w:spacing w:after="0"/>
              <w:rPr>
                <w:sz w:val="20"/>
                <w:szCs w:val="20"/>
                <w:color w:val="auto"/>
              </w:rPr>
            </w:pPr>
            <w:r>
              <w:rPr>
                <w:rFonts w:ascii="Arial" w:cs="Arial" w:eastAsia="Arial" w:hAnsi="Arial"/>
                <w:sz w:val="13"/>
                <w:szCs w:val="13"/>
                <w:color w:val="auto"/>
              </w:rPr>
              <w:t>3,636</w:t>
            </w:r>
          </w:p>
        </w:tc>
        <w:tc>
          <w:tcPr>
            <w:tcW w:w="320" w:type="dxa"/>
            <w:vAlign w:val="bottom"/>
          </w:tcPr>
          <w:p>
            <w:pPr>
              <w:jc w:val="right"/>
              <w:spacing w:after="0"/>
              <w:rPr>
                <w:sz w:val="20"/>
                <w:szCs w:val="20"/>
                <w:color w:val="auto"/>
              </w:rPr>
            </w:pPr>
            <w:r>
              <w:rPr>
                <w:rFonts w:ascii="Arial" w:cs="Arial" w:eastAsia="Arial" w:hAnsi="Arial"/>
                <w:sz w:val="13"/>
                <w:szCs w:val="13"/>
                <w:color w:val="auto"/>
              </w:rPr>
              <w:t>9</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2,352</w:t>
            </w:r>
          </w:p>
        </w:tc>
        <w:tc>
          <w:tcPr>
            <w:tcW w:w="720" w:type="dxa"/>
            <w:vAlign w:val="bottom"/>
          </w:tcPr>
          <w:p>
            <w:pPr>
              <w:jc w:val="right"/>
              <w:spacing w:after="0"/>
              <w:rPr>
                <w:sz w:val="20"/>
                <w:szCs w:val="20"/>
                <w:color w:val="auto"/>
              </w:rPr>
            </w:pPr>
            <w:r>
              <w:rPr>
                <w:rFonts w:ascii="Arial" w:cs="Arial" w:eastAsia="Arial" w:hAnsi="Arial"/>
                <w:sz w:val="13"/>
                <w:szCs w:val="13"/>
                <w:color w:val="auto"/>
              </w:rPr>
              <w:t>8</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22,194</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14,049</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42,636</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30,870</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360"/>
          </w:cols>
          <w:pgMar w:left="300" w:top="1113" w:right="2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color w:val="auto"/>
        </w:rPr>
        <w:t>Comparison of the Three Months Ended June 30, 2021 and June 30,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Revenue, Cost of Goods Sold, Gross Profit, and Gross Margin</w:t>
      </w:r>
      <w:r>
        <w:rPr>
          <w:rFonts w:ascii="Arial" w:cs="Arial" w:eastAsia="Arial" w:hAnsi="Arial"/>
          <w:sz w:val="13"/>
          <w:szCs w:val="13"/>
          <w:color w:val="auto"/>
        </w:rPr>
        <w:t>:</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158"/>
        </w:trPr>
        <w:tc>
          <w:tcPr>
            <w:tcW w:w="4300" w:type="dxa"/>
            <w:vAlign w:val="bottom"/>
          </w:tcPr>
          <w:p>
            <w:pPr>
              <w:spacing w:after="0"/>
              <w:rPr>
                <w:sz w:val="13"/>
                <w:szCs w:val="13"/>
                <w:color w:val="auto"/>
              </w:rPr>
            </w:pPr>
          </w:p>
        </w:tc>
        <w:tc>
          <w:tcPr>
            <w:tcW w:w="25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2"/>
                <w:szCs w:val="12"/>
                <w:b w:val="1"/>
                <w:bCs w:val="1"/>
                <w:color w:val="auto"/>
              </w:rPr>
              <w:t>Three Months Ended June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 Change</w:t>
            </w:r>
          </w:p>
        </w:tc>
        <w:tc>
          <w:tcPr>
            <w:tcW w:w="4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ind w:left="15"/>
              <w:spacing w:after="0"/>
              <w:rPr>
                <w:sz w:val="20"/>
                <w:szCs w:val="20"/>
                <w:color w:val="auto"/>
              </w:rPr>
            </w:pPr>
            <w:r>
              <w:rPr>
                <w:rFonts w:ascii="Arial" w:cs="Arial" w:eastAsia="Arial" w:hAnsi="Arial"/>
                <w:sz w:val="12"/>
                <w:szCs w:val="12"/>
                <w:b w:val="1"/>
                <w:bCs w:val="1"/>
                <w:color w:val="auto"/>
                <w:w w:val="93"/>
              </w:rPr>
              <w:t>% Change</w:t>
            </w:r>
          </w:p>
        </w:tc>
        <w:tc>
          <w:tcPr>
            <w:tcW w:w="0" w:type="dxa"/>
            <w:vAlign w:val="bottom"/>
          </w:tcPr>
          <w:p>
            <w:pPr>
              <w:spacing w:after="0"/>
              <w:rPr>
                <w:sz w:val="1"/>
                <w:szCs w:val="1"/>
                <w:color w:val="auto"/>
              </w:rPr>
            </w:pPr>
          </w:p>
        </w:tc>
      </w:tr>
      <w:tr>
        <w:trPr>
          <w:trHeight w:val="151"/>
        </w:trPr>
        <w:tc>
          <w:tcPr>
            <w:tcW w:w="4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gridSpan w:val="4"/>
          </w:tcPr>
          <w:p>
            <w:pPr>
              <w:jc w:val="right"/>
              <w:ind w:right="135"/>
              <w:spacing w:after="0"/>
              <w:rPr>
                <w:sz w:val="20"/>
                <w:szCs w:val="20"/>
                <w:color w:val="auto"/>
              </w:rPr>
            </w:pPr>
            <w:r>
              <w:rPr>
                <w:rFonts w:ascii="Arial" w:cs="Arial" w:eastAsia="Arial" w:hAnsi="Arial"/>
                <w:sz w:val="12"/>
                <w:szCs w:val="12"/>
                <w:b w:val="1"/>
                <w:bCs w:val="1"/>
                <w:color w:val="auto"/>
              </w:rPr>
              <w:t>(in thousands, except for percentages)</w:t>
            </w:r>
          </w:p>
        </w:tc>
        <w:tc>
          <w:tcPr>
            <w:tcW w:w="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22,194</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14,049</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5"/>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8,145</w:t>
            </w:r>
          </w:p>
        </w:tc>
        <w:tc>
          <w:tcPr>
            <w:tcW w:w="1540" w:type="dxa"/>
            <w:vAlign w:val="bottom"/>
            <w:shd w:val="clear" w:color="auto" w:fill="CCEEFF"/>
          </w:tcPr>
          <w:p>
            <w:pPr>
              <w:jc w:val="center"/>
              <w:ind w:left="35"/>
              <w:spacing w:after="0"/>
              <w:rPr>
                <w:sz w:val="20"/>
                <w:szCs w:val="20"/>
                <w:color w:val="auto"/>
              </w:rPr>
            </w:pPr>
            <w:r>
              <w:rPr>
                <w:rFonts w:ascii="Arial" w:cs="Arial" w:eastAsia="Arial" w:hAnsi="Arial"/>
                <w:sz w:val="13"/>
                <w:szCs w:val="13"/>
                <w:color w:val="auto"/>
                <w:w w:val="92"/>
              </w:rPr>
              <w:t>58%</w:t>
            </w:r>
          </w:p>
        </w:tc>
        <w:tc>
          <w:tcPr>
            <w:tcW w:w="0" w:type="dxa"/>
            <w:vAlign w:val="bottom"/>
          </w:tcPr>
          <w:p>
            <w:pPr>
              <w:spacing w:after="0"/>
              <w:rPr>
                <w:sz w:val="1"/>
                <w:szCs w:val="1"/>
                <w:color w:val="auto"/>
              </w:rPr>
            </w:pPr>
          </w:p>
        </w:tc>
      </w:tr>
      <w:tr>
        <w:trPr>
          <w:trHeight w:val="171"/>
        </w:trPr>
        <w:tc>
          <w:tcPr>
            <w:tcW w:w="43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Cost of goods sold</w:t>
            </w: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2,375</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2,117</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w:t>
            </w:r>
          </w:p>
        </w:tc>
        <w:tc>
          <w:tcPr>
            <w:tcW w:w="1540" w:type="dxa"/>
            <w:vAlign w:val="bottom"/>
            <w:tcBorders>
              <w:bottom w:val="single" w:sz="8" w:color="CCEEFF"/>
            </w:tcBorders>
          </w:tcPr>
          <w:p>
            <w:pPr>
              <w:jc w:val="center"/>
              <w:ind w:left="35"/>
              <w:spacing w:after="0"/>
              <w:rPr>
                <w:sz w:val="20"/>
                <w:szCs w:val="20"/>
                <w:color w:val="auto"/>
              </w:rPr>
            </w:pPr>
            <w:r>
              <w:rPr>
                <w:rFonts w:ascii="Arial" w:cs="Arial" w:eastAsia="Arial" w:hAnsi="Arial"/>
                <w:sz w:val="13"/>
                <w:szCs w:val="13"/>
                <w:color w:val="auto"/>
                <w:w w:val="92"/>
              </w:rPr>
              <w:t>12%</w:t>
            </w:r>
          </w:p>
        </w:tc>
        <w:tc>
          <w:tcPr>
            <w:tcW w:w="0" w:type="dxa"/>
            <w:vAlign w:val="bottom"/>
          </w:tcPr>
          <w:p>
            <w:pPr>
              <w:spacing w:after="0"/>
              <w:rPr>
                <w:sz w:val="1"/>
                <w:szCs w:val="1"/>
                <w:color w:val="auto"/>
              </w:rPr>
            </w:pPr>
          </w:p>
        </w:tc>
      </w:tr>
      <w:tr>
        <w:trPr>
          <w:trHeight w:val="186"/>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Gross profit</w:t>
            </w: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19,819</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11,932</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7,887</w:t>
            </w:r>
          </w:p>
        </w:tc>
        <w:tc>
          <w:tcPr>
            <w:tcW w:w="1540" w:type="dxa"/>
            <w:vAlign w:val="bottom"/>
            <w:tcBorders>
              <w:bottom w:val="single" w:sz="8" w:color="CCEEFF"/>
            </w:tcBorders>
            <w:shd w:val="clear" w:color="auto" w:fill="CCEEFF"/>
          </w:tcPr>
          <w:p>
            <w:pPr>
              <w:jc w:val="center"/>
              <w:ind w:left="35"/>
              <w:spacing w:after="0"/>
              <w:rPr>
                <w:sz w:val="20"/>
                <w:szCs w:val="20"/>
                <w:color w:val="auto"/>
              </w:rPr>
            </w:pPr>
            <w:r>
              <w:rPr>
                <w:rFonts w:ascii="Arial" w:cs="Arial" w:eastAsia="Arial" w:hAnsi="Arial"/>
                <w:sz w:val="13"/>
                <w:szCs w:val="13"/>
                <w:color w:val="auto"/>
                <w:w w:val="92"/>
              </w:rPr>
              <w:t>66%</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Gross margin</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30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3"/>
                <w:szCs w:val="13"/>
                <w:color w:val="auto"/>
              </w:rPr>
              <w:t>89 %</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jc w:val="right"/>
              <w:spacing w:after="0" w:line="132" w:lineRule="exact"/>
              <w:rPr>
                <w:sz w:val="20"/>
                <w:szCs w:val="20"/>
                <w:color w:val="auto"/>
              </w:rPr>
            </w:pPr>
            <w:r>
              <w:rPr>
                <w:rFonts w:ascii="Arial" w:cs="Arial" w:eastAsia="Arial" w:hAnsi="Arial"/>
                <w:sz w:val="13"/>
                <w:szCs w:val="13"/>
                <w:color w:val="auto"/>
              </w:rPr>
              <w:t>85 %</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92" w:lineRule="exact"/>
        <w:rPr>
          <w:sz w:val="20"/>
          <w:szCs w:val="20"/>
          <w:color w:val="auto"/>
        </w:rPr>
      </w:pPr>
    </w:p>
    <w:p>
      <w:pPr>
        <w:ind w:right="20" w:firstLine="362"/>
        <w:spacing w:after="0" w:line="264" w:lineRule="auto"/>
        <w:rPr>
          <w:sz w:val="20"/>
          <w:szCs w:val="20"/>
          <w:color w:val="auto"/>
        </w:rPr>
      </w:pPr>
      <w:r>
        <w:rPr>
          <w:rFonts w:ascii="Arial" w:cs="Arial" w:eastAsia="Arial" w:hAnsi="Arial"/>
          <w:sz w:val="12"/>
          <w:szCs w:val="12"/>
          <w:i w:val="1"/>
          <w:iCs w:val="1"/>
          <w:color w:val="auto"/>
        </w:rPr>
        <w:t xml:space="preserve">Revenue. </w:t>
      </w:r>
      <w:r>
        <w:rPr>
          <w:rFonts w:ascii="Arial" w:cs="Arial" w:eastAsia="Arial" w:hAnsi="Arial"/>
          <w:sz w:val="12"/>
          <w:szCs w:val="12"/>
          <w:color w:val="auto"/>
        </w:rPr>
        <w:t>The increase in revenue for the three months ended June 30, 2021 as compared to the three months ended June 30, 2020 comprised a $7.0 million increase in our U.S. revenue and an increase of</w:t>
      </w:r>
      <w:r>
        <w:rPr>
          <w:rFonts w:ascii="Arial" w:cs="Arial" w:eastAsia="Arial" w:hAnsi="Arial"/>
          <w:sz w:val="12"/>
          <w:szCs w:val="12"/>
          <w:i w:val="1"/>
          <w:iCs w:val="1"/>
          <w:color w:val="auto"/>
        </w:rPr>
        <w:t xml:space="preserve"> </w:t>
      </w:r>
      <w:r>
        <w:rPr>
          <w:rFonts w:ascii="Arial" w:cs="Arial" w:eastAsia="Arial" w:hAnsi="Arial"/>
          <w:sz w:val="12"/>
          <w:szCs w:val="12"/>
          <w:color w:val="auto"/>
        </w:rPr>
        <w:t>$1.1 million in our international revenue. The increase in revenue is due to the increase in domestic and international case volumes and increased active surgeons due to: (a) improved U.S. reimbursement coverage and an increase in sales force, and (b) the revenue of the prior year’s corresponding quarter was significantly impacted as the offices of many health care providers were closed and certain surgeries and elective medical procedures were deferred, resulting from the social restrictions and other precautionary measures taken in response to the COVID-19 pandemic.</w:t>
      </w:r>
    </w:p>
    <w:p>
      <w:pPr>
        <w:spacing w:after="0" w:line="148" w:lineRule="exact"/>
        <w:rPr>
          <w:sz w:val="20"/>
          <w:szCs w:val="20"/>
          <w:color w:val="auto"/>
        </w:rPr>
      </w:pPr>
    </w:p>
    <w:p>
      <w:pPr>
        <w:jc w:val="both"/>
        <w:ind w:firstLine="362"/>
        <w:spacing w:after="0" w:line="309" w:lineRule="auto"/>
        <w:rPr>
          <w:sz w:val="20"/>
          <w:szCs w:val="20"/>
          <w:color w:val="auto"/>
        </w:rPr>
      </w:pPr>
      <w:r>
        <w:rPr>
          <w:rFonts w:ascii="Arial" w:cs="Arial" w:eastAsia="Arial" w:hAnsi="Arial"/>
          <w:sz w:val="12"/>
          <w:szCs w:val="12"/>
          <w:i w:val="1"/>
          <w:iCs w:val="1"/>
          <w:color w:val="auto"/>
        </w:rPr>
        <w:t xml:space="preserve">Gross Profit and Gross Margin. </w:t>
      </w:r>
      <w:r>
        <w:rPr>
          <w:rFonts w:ascii="Arial" w:cs="Arial" w:eastAsia="Arial" w:hAnsi="Arial"/>
          <w:sz w:val="12"/>
          <w:szCs w:val="12"/>
          <w:color w:val="auto"/>
        </w:rPr>
        <w:t>Gross profit increased $7.9 million for the three months ended June 30, 2021 as compared to the three months ended June 30, 2020, mainly driven by higher revenue. The</w:t>
      </w:r>
      <w:r>
        <w:rPr>
          <w:rFonts w:ascii="Arial" w:cs="Arial" w:eastAsia="Arial" w:hAnsi="Arial"/>
          <w:sz w:val="12"/>
          <w:szCs w:val="12"/>
          <w:i w:val="1"/>
          <w:iCs w:val="1"/>
          <w:color w:val="auto"/>
        </w:rPr>
        <w:t xml:space="preserve"> </w:t>
      </w:r>
      <w:r>
        <w:rPr>
          <w:rFonts w:ascii="Arial" w:cs="Arial" w:eastAsia="Arial" w:hAnsi="Arial"/>
          <w:sz w:val="12"/>
          <w:szCs w:val="12"/>
          <w:color w:val="auto"/>
        </w:rPr>
        <w:t>gross margin increased to 89% for the three months ended June 30, 2021 as compared to 85% for the three months ended June 30, 2020 primarily due to certain period costs charged directly to cost of operations of $0.2 million in the second quarter of 2020 as our operations were running at suboptimal capacity due to the COVID-19 pandemic, as well as lower inventory write-downs.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Operating Expenses</w:t>
      </w:r>
      <w:r>
        <w:rPr>
          <w:rFonts w:ascii="Arial" w:cs="Arial" w:eastAsia="Arial" w:hAnsi="Arial"/>
          <w:sz w:val="13"/>
          <w:szCs w:val="13"/>
          <w:color w:val="auto"/>
        </w:rPr>
        <w:t>:</w:t>
      </w:r>
    </w:p>
    <w:p>
      <w:pPr>
        <w:spacing w:after="0" w:line="42" w:lineRule="exact"/>
        <w:rPr>
          <w:sz w:val="20"/>
          <w:szCs w:val="20"/>
          <w:color w:val="auto"/>
        </w:rPr>
      </w:pPr>
    </w:p>
    <w:tbl>
      <w:tblPr>
        <w:tblLayout w:type="fixed"/>
        <w:tblInd w:w="340" w:type="dxa"/>
        <w:tblCellMar>
          <w:top w:w="0" w:type="dxa"/>
          <w:left w:w="0" w:type="dxa"/>
          <w:bottom w:w="0" w:type="dxa"/>
          <w:right w:w="0" w:type="dxa"/>
        </w:tblCellMar>
      </w:tblPr>
      <w:tr>
        <w:trPr>
          <w:trHeight w:val="158"/>
        </w:trPr>
        <w:tc>
          <w:tcPr>
            <w:tcW w:w="4360" w:type="dxa"/>
            <w:vAlign w:val="bottom"/>
          </w:tcPr>
          <w:p>
            <w:pPr>
              <w:spacing w:after="0"/>
              <w:rPr>
                <w:sz w:val="13"/>
                <w:szCs w:val="13"/>
                <w:color w:val="auto"/>
              </w:rPr>
            </w:pPr>
          </w:p>
        </w:tc>
        <w:tc>
          <w:tcPr>
            <w:tcW w:w="3060" w:type="dxa"/>
            <w:vAlign w:val="bottom"/>
            <w:gridSpan w:val="6"/>
          </w:tcPr>
          <w:p>
            <w:pPr>
              <w:ind w:left="700"/>
              <w:spacing w:after="0"/>
              <w:rPr>
                <w:sz w:val="20"/>
                <w:szCs w:val="20"/>
                <w:color w:val="auto"/>
              </w:rPr>
            </w:pPr>
            <w:r>
              <w:rPr>
                <w:rFonts w:ascii="Arial" w:cs="Arial" w:eastAsia="Arial" w:hAnsi="Arial"/>
                <w:sz w:val="12"/>
                <w:szCs w:val="12"/>
                <w:b w:val="1"/>
                <w:bCs w:val="1"/>
                <w:color w:val="auto"/>
              </w:rPr>
              <w:t>Three Months Ended June 30,</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4"/>
        </w:trPr>
        <w:tc>
          <w:tcPr>
            <w:tcW w:w="436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2"/>
                <w:szCs w:val="12"/>
                <w:b w:val="1"/>
                <w:bCs w:val="1"/>
                <w:color w:val="auto"/>
              </w:rPr>
              <w:t>$ Change</w:t>
            </w:r>
          </w:p>
        </w:tc>
        <w:tc>
          <w:tcPr>
            <w:tcW w:w="1660" w:type="dxa"/>
            <w:vAlign w:val="bottom"/>
            <w:tcBorders>
              <w:bottom w:val="single" w:sz="8" w:color="auto"/>
            </w:tcBorders>
          </w:tcPr>
          <w:p>
            <w:pPr>
              <w:jc w:val="right"/>
              <w:ind w:right="454"/>
              <w:spacing w:after="0"/>
              <w:rPr>
                <w:sz w:val="20"/>
                <w:szCs w:val="20"/>
                <w:color w:val="auto"/>
              </w:rPr>
            </w:pPr>
            <w:r>
              <w:rPr>
                <w:rFonts w:ascii="Arial" w:cs="Arial" w:eastAsia="Arial" w:hAnsi="Arial"/>
                <w:sz w:val="12"/>
                <w:szCs w:val="12"/>
                <w:b w:val="1"/>
                <w:bCs w:val="1"/>
                <w:color w:val="auto"/>
              </w:rPr>
              <w:t>% Change</w:t>
            </w:r>
          </w:p>
        </w:tc>
      </w:tr>
      <w:tr>
        <w:trPr>
          <w:trHeight w:val="151"/>
        </w:trPr>
        <w:tc>
          <w:tcPr>
            <w:tcW w:w="4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4"/>
          </w:tcPr>
          <w:p>
            <w:pPr>
              <w:jc w:val="center"/>
              <w:ind w:right="114"/>
              <w:spacing w:after="0"/>
              <w:rPr>
                <w:sz w:val="20"/>
                <w:szCs w:val="20"/>
                <w:color w:val="auto"/>
              </w:rPr>
            </w:pPr>
            <w:r>
              <w:rPr>
                <w:rFonts w:ascii="Arial" w:cs="Arial" w:eastAsia="Arial" w:hAnsi="Arial"/>
                <w:sz w:val="12"/>
                <w:szCs w:val="12"/>
                <w:b w:val="1"/>
                <w:bCs w:val="1"/>
                <w:color w:val="auto"/>
                <w:w w:val="87"/>
              </w:rPr>
              <w:t>(in thousands, except for percentages)</w:t>
            </w:r>
          </w:p>
        </w:tc>
        <w:tc>
          <w:tcPr>
            <w:tcW w:w="1660" w:type="dxa"/>
            <w:vAlign w:val="bottom"/>
          </w:tcPr>
          <w:p>
            <w:pPr>
              <w:spacing w:after="0"/>
              <w:rPr>
                <w:sz w:val="13"/>
                <w:szCs w:val="13"/>
                <w:color w:val="auto"/>
              </w:rPr>
            </w:pPr>
          </w:p>
        </w:tc>
      </w:tr>
      <w:tr>
        <w:trPr>
          <w:trHeight w:val="173"/>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Sales and marketing</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23,084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center"/>
              <w:ind w:right="13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7,329</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47 %</w:t>
            </w:r>
          </w:p>
        </w:tc>
      </w:tr>
      <w:tr>
        <w:trPr>
          <w:trHeight w:val="171"/>
        </w:trPr>
        <w:tc>
          <w:tcPr>
            <w:tcW w:w="4360" w:type="dxa"/>
            <w:vAlign w:val="bottom"/>
          </w:tcPr>
          <w:p>
            <w:pPr>
              <w:ind w:left="40"/>
              <w:spacing w:after="0"/>
              <w:rPr>
                <w:sz w:val="20"/>
                <w:szCs w:val="20"/>
                <w:color w:val="auto"/>
              </w:rPr>
            </w:pPr>
            <w:r>
              <w:rPr>
                <w:rFonts w:ascii="Arial" w:cs="Arial" w:eastAsia="Arial" w:hAnsi="Arial"/>
                <w:sz w:val="13"/>
                <w:szCs w:val="13"/>
                <w:color w:val="auto"/>
              </w:rPr>
              <w:t>Research and development</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3,149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2,165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984</w:t>
            </w:r>
          </w:p>
        </w:tc>
        <w:tc>
          <w:tcPr>
            <w:tcW w:w="1660" w:type="dxa"/>
            <w:vAlign w:val="bottom"/>
          </w:tcPr>
          <w:p>
            <w:pPr>
              <w:jc w:val="right"/>
              <w:spacing w:after="0"/>
              <w:rPr>
                <w:sz w:val="20"/>
                <w:szCs w:val="20"/>
                <w:color w:val="auto"/>
              </w:rPr>
            </w:pPr>
            <w:r>
              <w:rPr>
                <w:rFonts w:ascii="Arial" w:cs="Arial" w:eastAsia="Arial" w:hAnsi="Arial"/>
                <w:sz w:val="13"/>
                <w:szCs w:val="13"/>
                <w:color w:val="auto"/>
              </w:rPr>
              <w:t>45 %</w:t>
            </w:r>
          </w:p>
        </w:tc>
      </w:tr>
      <w:tr>
        <w:trPr>
          <w:trHeight w:val="171"/>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General and administrative</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4,151</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2,400</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58 %</w:t>
            </w:r>
          </w:p>
        </w:tc>
      </w:tr>
      <w:tr>
        <w:trPr>
          <w:trHeight w:val="161"/>
        </w:trPr>
        <w:tc>
          <w:tcPr>
            <w:tcW w:w="4360" w:type="dxa"/>
            <w:vAlign w:val="bottom"/>
          </w:tcPr>
          <w:p>
            <w:pPr>
              <w:ind w:left="40"/>
              <w:spacing w:after="0"/>
              <w:rPr>
                <w:sz w:val="20"/>
                <w:szCs w:val="20"/>
                <w:color w:val="auto"/>
              </w:rPr>
            </w:pPr>
            <w:r>
              <w:rPr>
                <w:rFonts w:ascii="Arial" w:cs="Arial" w:eastAsia="Arial" w:hAnsi="Arial"/>
                <w:sz w:val="13"/>
                <w:szCs w:val="13"/>
                <w:color w:val="auto"/>
              </w:rPr>
              <w:t>Total operating expenses</w:t>
            </w:r>
          </w:p>
        </w:tc>
        <w:tc>
          <w:tcPr>
            <w:tcW w:w="92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32,784</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22,071</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10,713</w:t>
            </w:r>
          </w:p>
        </w:tc>
        <w:tc>
          <w:tcPr>
            <w:tcW w:w="1660" w:type="dxa"/>
            <w:vAlign w:val="bottom"/>
          </w:tcPr>
          <w:p>
            <w:pPr>
              <w:jc w:val="right"/>
              <w:spacing w:after="0"/>
              <w:rPr>
                <w:sz w:val="20"/>
                <w:szCs w:val="20"/>
                <w:color w:val="auto"/>
              </w:rPr>
            </w:pPr>
            <w:r>
              <w:rPr>
                <w:rFonts w:ascii="Arial" w:cs="Arial" w:eastAsia="Arial" w:hAnsi="Arial"/>
                <w:sz w:val="13"/>
                <w:szCs w:val="13"/>
                <w:color w:val="auto"/>
              </w:rPr>
              <w:t>49 %</w:t>
            </w:r>
          </w:p>
        </w:tc>
      </w:tr>
      <w:tr>
        <w:trPr>
          <w:trHeight w:val="20"/>
        </w:trPr>
        <w:tc>
          <w:tcPr>
            <w:tcW w:w="4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332"/>
        <w:spacing w:after="0" w:line="276" w:lineRule="auto"/>
        <w:rPr>
          <w:sz w:val="20"/>
          <w:szCs w:val="20"/>
          <w:color w:val="auto"/>
        </w:rPr>
      </w:pPr>
      <w:r>
        <w:rPr>
          <w:rFonts w:ascii="Arial" w:cs="Arial" w:eastAsia="Arial" w:hAnsi="Arial"/>
          <w:sz w:val="13"/>
          <w:szCs w:val="13"/>
          <w:i w:val="1"/>
          <w:iCs w:val="1"/>
          <w:color w:val="auto"/>
        </w:rPr>
        <w:t xml:space="preserve">Sales and Marketing Expenses. </w:t>
      </w:r>
      <w:r>
        <w:rPr>
          <w:rFonts w:ascii="Arial" w:cs="Arial" w:eastAsia="Arial" w:hAnsi="Arial"/>
          <w:sz w:val="13"/>
          <w:szCs w:val="13"/>
          <w:color w:val="auto"/>
        </w:rPr>
        <w:t>The increase in sales and marketing expenses for the three months ended June 30, 2021 as compared to the three months ended June 30, 2020 was primarily due to</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increases in employee related costs, commissions and stock-based compensation of $3.7 million driven by increased headcount and higher revenues. As COVID-19 pandemic restrictions eased, we also experienced higher levels of travel, marketing, training activities, facilities and other related costs resulting in an increase of $3.6 million.</w:t>
      </w:r>
    </w:p>
    <w:p>
      <w:pPr>
        <w:spacing w:after="0" w:line="129" w:lineRule="exact"/>
        <w:rPr>
          <w:sz w:val="20"/>
          <w:szCs w:val="20"/>
          <w:color w:val="auto"/>
        </w:rPr>
      </w:pPr>
    </w:p>
    <w:p>
      <w:pPr>
        <w:jc w:val="both"/>
        <w:ind w:firstLine="332"/>
        <w:spacing w:after="0" w:line="276" w:lineRule="auto"/>
        <w:rPr>
          <w:sz w:val="20"/>
          <w:szCs w:val="20"/>
          <w:color w:val="auto"/>
        </w:rPr>
      </w:pPr>
      <w:r>
        <w:rPr>
          <w:rFonts w:ascii="Arial" w:cs="Arial" w:eastAsia="Arial" w:hAnsi="Arial"/>
          <w:sz w:val="13"/>
          <w:szCs w:val="13"/>
          <w:i w:val="1"/>
          <w:iCs w:val="1"/>
          <w:color w:val="auto"/>
        </w:rPr>
        <w:t xml:space="preserve">Research and Development Expenses. </w:t>
      </w:r>
      <w:r>
        <w:rPr>
          <w:rFonts w:ascii="Arial" w:cs="Arial" w:eastAsia="Arial" w:hAnsi="Arial"/>
          <w:sz w:val="13"/>
          <w:szCs w:val="13"/>
          <w:color w:val="auto"/>
        </w:rPr>
        <w:t>The increase in research and development expenses for the three months ended June 30, 2021 compared to the three months ended June 30, 2020 was primarily due</w:t>
      </w:r>
      <w:r>
        <w:rPr>
          <w:rFonts w:ascii="Arial" w:cs="Arial" w:eastAsia="Arial" w:hAnsi="Arial"/>
          <w:sz w:val="13"/>
          <w:szCs w:val="13"/>
          <w:i w:val="1"/>
          <w:iCs w:val="1"/>
          <w:color w:val="auto"/>
        </w:rPr>
        <w:t xml:space="preserve"> </w:t>
      </w:r>
      <w:r>
        <w:rPr>
          <w:rFonts w:ascii="Arial" w:cs="Arial" w:eastAsia="Arial" w:hAnsi="Arial"/>
          <w:sz w:val="13"/>
          <w:szCs w:val="13"/>
          <w:color w:val="auto"/>
        </w:rPr>
        <w:t>to an increase of $0.5 million in employee related costs and stock-based compensation driven by increased headcount and an increase of $0.5 million in research and development expenses primarily due to clinical study and research and development activities.</w:t>
      </w:r>
    </w:p>
    <w:p>
      <w:pPr>
        <w:spacing w:after="0" w:line="129" w:lineRule="exact"/>
        <w:rPr>
          <w:sz w:val="20"/>
          <w:szCs w:val="20"/>
          <w:color w:val="auto"/>
        </w:rPr>
      </w:pPr>
    </w:p>
    <w:p>
      <w:pPr>
        <w:jc w:val="both"/>
        <w:ind w:firstLine="332"/>
        <w:spacing w:after="0" w:line="309" w:lineRule="auto"/>
        <w:rPr>
          <w:sz w:val="20"/>
          <w:szCs w:val="20"/>
          <w:color w:val="auto"/>
        </w:rPr>
      </w:pPr>
      <w:r>
        <w:rPr>
          <w:rFonts w:ascii="Arial" w:cs="Arial" w:eastAsia="Arial" w:hAnsi="Arial"/>
          <w:sz w:val="12"/>
          <w:szCs w:val="12"/>
          <w:i w:val="1"/>
          <w:iCs w:val="1"/>
          <w:color w:val="auto"/>
        </w:rPr>
        <w:t>General and Administrative Expenses</w:t>
      </w:r>
      <w:r>
        <w:rPr>
          <w:rFonts w:ascii="Arial" w:cs="Arial" w:eastAsia="Arial" w:hAnsi="Arial"/>
          <w:sz w:val="12"/>
          <w:szCs w:val="12"/>
          <w:color w:val="auto"/>
        </w:rPr>
        <w:t>. The increase in general and administrative expenses for the three months ended June 30, 2021 compared to the three months ended June 30, 2020 was primarily due</w:t>
      </w:r>
      <w:r>
        <w:rPr>
          <w:rFonts w:ascii="Arial" w:cs="Arial" w:eastAsia="Arial" w:hAnsi="Arial"/>
          <w:sz w:val="12"/>
          <w:szCs w:val="12"/>
          <w:i w:val="1"/>
          <w:iCs w:val="1"/>
          <w:color w:val="auto"/>
        </w:rPr>
        <w:t xml:space="preserve"> </w:t>
      </w:r>
      <w:r>
        <w:rPr>
          <w:rFonts w:ascii="Arial" w:cs="Arial" w:eastAsia="Arial" w:hAnsi="Arial"/>
          <w:sz w:val="12"/>
          <w:szCs w:val="12"/>
          <w:color w:val="auto"/>
        </w:rPr>
        <w:t>to an increase of $1.2 million in employee related costs and stock-based compensation driven by increased headcount, a reversal of $0.6 million accrued litigation expense in second quarter of 2020 following the final settlement of the TCPA class action lawsuit and increase of $0.6 million in professional service fees and insurance costs as we continue to grow our business.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1013" w:right="319" w:bottom="1440" w:gutter="0" w:footer="0" w:header="0"/>
        </w:sectPr>
      </w:pPr>
    </w:p>
    <w:bookmarkStart w:id="28" w:name="page29"/>
    <w:bookmarkEnd w:id="28"/>
    <w:p>
      <w:pPr>
        <w:ind w:left="340"/>
        <w:spacing w:after="0"/>
        <w:rPr>
          <w:sz w:val="20"/>
          <w:szCs w:val="20"/>
          <w:color w:val="auto"/>
        </w:rPr>
      </w:pPr>
      <w:r>
        <w:rPr>
          <w:rFonts w:ascii="Arial" w:cs="Arial" w:eastAsia="Arial" w:hAnsi="Arial"/>
          <w:sz w:val="13"/>
          <w:szCs w:val="13"/>
          <w:b w:val="1"/>
          <w:bCs w:val="1"/>
          <w:i w:val="1"/>
          <w:iCs w:val="1"/>
          <w:color w:val="auto"/>
        </w:rPr>
        <w:t>Interest and Other Income (Expense), Net</w:t>
      </w:r>
      <w:r>
        <w:rPr>
          <w:rFonts w:ascii="Arial" w:cs="Arial" w:eastAsia="Arial" w:hAnsi="Arial"/>
          <w:sz w:val="13"/>
          <w:szCs w:val="13"/>
          <w:color w:val="auto"/>
        </w:rPr>
        <w:t>:</w:t>
      </w:r>
    </w:p>
    <w:p>
      <w:pPr>
        <w:spacing w:after="0" w:line="42" w:lineRule="exact"/>
        <w:rPr>
          <w:sz w:val="20"/>
          <w:szCs w:val="20"/>
          <w:color w:val="auto"/>
        </w:rPr>
      </w:pPr>
    </w:p>
    <w:p>
      <w:pPr>
        <w:ind w:left="572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p>
    <w:tbl>
      <w:tblPr>
        <w:tblLayout w:type="fixed"/>
        <w:tblInd w:w="340" w:type="dxa"/>
        <w:tblCellMar>
          <w:top w:w="0" w:type="dxa"/>
          <w:left w:w="0" w:type="dxa"/>
          <w:bottom w:w="0" w:type="dxa"/>
          <w:right w:w="0" w:type="dxa"/>
        </w:tblCellMar>
      </w:tblPr>
      <w:tr>
        <w:trPr>
          <w:trHeight w:val="155"/>
        </w:trPr>
        <w:tc>
          <w:tcPr>
            <w:tcW w:w="464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1"/>
                <w:szCs w:val="11"/>
                <w:b w:val="1"/>
                <w:bCs w:val="1"/>
                <w:color w:val="auto"/>
              </w:rPr>
              <w:t>$ Change</w:t>
            </w:r>
          </w:p>
        </w:tc>
        <w:tc>
          <w:tcPr>
            <w:tcW w:w="164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 Change</w:t>
            </w:r>
          </w:p>
        </w:tc>
      </w:tr>
      <w:tr>
        <w:trPr>
          <w:trHeight w:val="149"/>
        </w:trPr>
        <w:tc>
          <w:tcPr>
            <w:tcW w:w="4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80" w:type="dxa"/>
            <w:vAlign w:val="bottom"/>
            <w:gridSpan w:val="4"/>
          </w:tcPr>
          <w:p>
            <w:pPr>
              <w:jc w:val="right"/>
              <w:ind w:right="436"/>
              <w:spacing w:after="0"/>
              <w:rPr>
                <w:sz w:val="20"/>
                <w:szCs w:val="20"/>
                <w:color w:val="auto"/>
              </w:rPr>
            </w:pPr>
            <w:r>
              <w:rPr>
                <w:rFonts w:ascii="Arial" w:cs="Arial" w:eastAsia="Arial" w:hAnsi="Arial"/>
                <w:sz w:val="12"/>
                <w:szCs w:val="12"/>
                <w:b w:val="1"/>
                <w:bCs w:val="1"/>
                <w:color w:val="auto"/>
                <w:w w:val="97"/>
              </w:rPr>
              <w:t>(in thousands, except for percentages)</w:t>
            </w:r>
          </w:p>
        </w:tc>
        <w:tc>
          <w:tcPr>
            <w:tcW w:w="1640" w:type="dxa"/>
            <w:vAlign w:val="bottom"/>
          </w:tcPr>
          <w:p>
            <w:pPr>
              <w:spacing w:after="0"/>
              <w:rPr>
                <w:sz w:val="12"/>
                <w:szCs w:val="12"/>
                <w:color w:val="auto"/>
              </w:rPr>
            </w:pPr>
          </w:p>
        </w:tc>
      </w:tr>
      <w:tr>
        <w:trPr>
          <w:trHeight w:val="173"/>
        </w:trPr>
        <w:tc>
          <w:tcPr>
            <w:tcW w:w="4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 income</w:t>
            </w:r>
          </w:p>
        </w:tc>
        <w:tc>
          <w:tcPr>
            <w:tcW w:w="980" w:type="dxa"/>
            <w:vAlign w:val="bottom"/>
            <w:shd w:val="clear" w:color="auto" w:fill="CCEEFF"/>
          </w:tcPr>
          <w:p>
            <w:pPr>
              <w:jc w:val="right"/>
              <w:ind w:right="835"/>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r>
      <w:tr>
        <w:trPr>
          <w:trHeight w:val="171"/>
        </w:trPr>
        <w:tc>
          <w:tcPr>
            <w:tcW w:w="4640" w:type="dxa"/>
            <w:vAlign w:val="bottom"/>
          </w:tcPr>
          <w:p>
            <w:pPr>
              <w:ind w:left="40"/>
              <w:spacing w:after="0"/>
              <w:rPr>
                <w:sz w:val="20"/>
                <w:szCs w:val="20"/>
                <w:color w:val="auto"/>
              </w:rPr>
            </w:pPr>
            <w:r>
              <w:rPr>
                <w:rFonts w:ascii="Arial" w:cs="Arial" w:eastAsia="Arial" w:hAnsi="Arial"/>
                <w:sz w:val="13"/>
                <w:szCs w:val="13"/>
                <w:color w:val="auto"/>
              </w:rPr>
              <w:t>Interest expense</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(1,075)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(2,683)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1,608</w:t>
            </w:r>
          </w:p>
        </w:tc>
        <w:tc>
          <w:tcPr>
            <w:tcW w:w="164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71"/>
        </w:trPr>
        <w:tc>
          <w:tcPr>
            <w:tcW w:w="4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income (expense), net</w:t>
            </w:r>
          </w:p>
        </w:tc>
        <w:tc>
          <w:tcPr>
            <w:tcW w:w="9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61"/>
        </w:trPr>
        <w:tc>
          <w:tcPr>
            <w:tcW w:w="4640" w:type="dxa"/>
            <w:vAlign w:val="bottom"/>
          </w:tcPr>
          <w:p>
            <w:pPr>
              <w:ind w:left="40"/>
              <w:spacing w:after="0"/>
              <w:rPr>
                <w:sz w:val="20"/>
                <w:szCs w:val="20"/>
                <w:color w:val="auto"/>
              </w:rPr>
            </w:pPr>
            <w:r>
              <w:rPr>
                <w:rFonts w:ascii="Arial" w:cs="Arial" w:eastAsia="Arial" w:hAnsi="Arial"/>
                <w:sz w:val="13"/>
                <w:szCs w:val="13"/>
                <w:color w:val="auto"/>
              </w:rPr>
              <w:t>Total interest and other expense, net</w:t>
            </w:r>
          </w:p>
        </w:tc>
        <w:tc>
          <w:tcPr>
            <w:tcW w:w="980" w:type="dxa"/>
            <w:vAlign w:val="bottom"/>
            <w:tcBorders>
              <w:bottom w:val="single" w:sz="8" w:color="auto"/>
            </w:tcBorders>
          </w:tcPr>
          <w:p>
            <w:pPr>
              <w:jc w:val="right"/>
              <w:ind w:right="835"/>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(1,016)</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(2,333)</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1,317</w:t>
            </w:r>
          </w:p>
        </w:tc>
        <w:tc>
          <w:tcPr>
            <w:tcW w:w="164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20"/>
        </w:trPr>
        <w:tc>
          <w:tcPr>
            <w:tcW w:w="4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332"/>
        <w:spacing w:after="0" w:line="294"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The decrease in interest income for the three months ended June 30, 2021 as compared to the three months ended June 30, 2020 was mainly due to lower interest earned on our</w:t>
      </w:r>
      <w:r>
        <w:rPr>
          <w:rFonts w:ascii="Arial" w:cs="Arial" w:eastAsia="Arial" w:hAnsi="Arial"/>
          <w:sz w:val="13"/>
          <w:szCs w:val="13"/>
          <w:i w:val="1"/>
          <w:iCs w:val="1"/>
          <w:color w:val="auto"/>
        </w:rPr>
        <w:t xml:space="preserve"> </w:t>
      </w:r>
      <w:r>
        <w:rPr>
          <w:rFonts w:ascii="Arial" w:cs="Arial" w:eastAsia="Arial" w:hAnsi="Arial"/>
          <w:sz w:val="13"/>
          <w:szCs w:val="13"/>
          <w:color w:val="auto"/>
        </w:rPr>
        <w:t>investments in marketable securities, primarily as a result of lower interest rates.</w:t>
      </w:r>
    </w:p>
    <w:p>
      <w:pPr>
        <w:spacing w:after="0" w:line="117" w:lineRule="exact"/>
        <w:rPr>
          <w:sz w:val="20"/>
          <w:szCs w:val="20"/>
          <w:color w:val="auto"/>
        </w:rPr>
      </w:pPr>
    </w:p>
    <w:p>
      <w:pPr>
        <w:jc w:val="both"/>
        <w:ind w:firstLine="332"/>
        <w:spacing w:after="0" w:line="294" w:lineRule="auto"/>
        <w:rPr>
          <w:sz w:val="20"/>
          <w:szCs w:val="20"/>
          <w:color w:val="auto"/>
        </w:rPr>
      </w:pPr>
      <w:r>
        <w:rPr>
          <w:rFonts w:ascii="Arial" w:cs="Arial" w:eastAsia="Arial" w:hAnsi="Arial"/>
          <w:sz w:val="13"/>
          <w:szCs w:val="13"/>
          <w:i w:val="1"/>
          <w:iCs w:val="1"/>
          <w:color w:val="auto"/>
        </w:rPr>
        <w:t>Interest Expense</w:t>
      </w:r>
      <w:r>
        <w:rPr>
          <w:rFonts w:ascii="Arial" w:cs="Arial" w:eastAsia="Arial" w:hAnsi="Arial"/>
          <w:sz w:val="13"/>
          <w:szCs w:val="13"/>
          <w:color w:val="auto"/>
        </w:rPr>
        <w:t>. The decrease in interest expense for the three months ended June 30, 2021 as compared to the three months ended June 30, 2020 was primarily due to the loss on extinguishment of the</w:t>
      </w:r>
      <w:r>
        <w:rPr>
          <w:rFonts w:ascii="Arial" w:cs="Arial" w:eastAsia="Arial" w:hAnsi="Arial"/>
          <w:sz w:val="13"/>
          <w:szCs w:val="13"/>
          <w:i w:val="1"/>
          <w:iCs w:val="1"/>
          <w:color w:val="auto"/>
        </w:rPr>
        <w:t xml:space="preserve"> </w:t>
      </w:r>
      <w:r>
        <w:rPr>
          <w:rFonts w:ascii="Arial" w:cs="Arial" w:eastAsia="Arial" w:hAnsi="Arial"/>
          <w:sz w:val="13"/>
          <w:szCs w:val="13"/>
          <w:color w:val="auto"/>
        </w:rPr>
        <w:t>Pharmakon Term Loan of $1.5 million in the 2020 period, as well as lower interest associated with the Solar Term Loan compared to the Pharmakon Term Loan.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2"/>
          <w:szCs w:val="12"/>
          <w:i w:val="1"/>
          <w:iCs w:val="1"/>
          <w:color w:val="auto"/>
        </w:rPr>
        <w:t xml:space="preserve">Other Income (Expense), Net. </w:t>
      </w:r>
      <w:r>
        <w:rPr>
          <w:rFonts w:ascii="Arial" w:cs="Arial" w:eastAsia="Arial" w:hAnsi="Arial"/>
          <w:sz w:val="12"/>
          <w:szCs w:val="12"/>
          <w:color w:val="auto"/>
        </w:rPr>
        <w:t>Other income, net decreased for the three months ended June 30, 2021 compared to the three months ended June 30, 2020 due to foreign currency fluctuations.</w:t>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Comparison of the Six Months Ended June 30, 2021 and June 30,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Revenue, Cost of Goods Sold, Gross Profit, and Gross Margin</w:t>
      </w:r>
      <w:r>
        <w:rPr>
          <w:rFonts w:ascii="Arial" w:cs="Arial" w:eastAsia="Arial" w:hAnsi="Arial"/>
          <w:sz w:val="13"/>
          <w:szCs w:val="13"/>
          <w:color w:val="auto"/>
        </w:rPr>
        <w:t>:</w:t>
      </w:r>
    </w:p>
    <w:p>
      <w:pPr>
        <w:spacing w:after="0" w:line="42" w:lineRule="exact"/>
        <w:rPr>
          <w:sz w:val="20"/>
          <w:szCs w:val="20"/>
          <w:color w:val="auto"/>
        </w:rPr>
      </w:pPr>
    </w:p>
    <w:tbl>
      <w:tblPr>
        <w:tblLayout w:type="fixed"/>
        <w:tblInd w:w="340" w:type="dxa"/>
        <w:tblCellMar>
          <w:top w:w="0" w:type="dxa"/>
          <w:left w:w="0" w:type="dxa"/>
          <w:bottom w:w="0" w:type="dxa"/>
          <w:right w:w="0" w:type="dxa"/>
        </w:tblCellMar>
      </w:tblPr>
      <w:tr>
        <w:trPr>
          <w:trHeight w:val="158"/>
        </w:trPr>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Six Months Ended June 30,</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 Change</w:t>
            </w: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51"/>
        </w:trPr>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60" w:type="dxa"/>
            <w:vAlign w:val="bottom"/>
            <w:gridSpan w:val="8"/>
          </w:tcPr>
          <w:p>
            <w:pPr>
              <w:ind w:left="60"/>
              <w:spacing w:after="0"/>
              <w:rPr>
                <w:sz w:val="20"/>
                <w:szCs w:val="20"/>
                <w:color w:val="auto"/>
              </w:rPr>
            </w:pPr>
            <w:r>
              <w:rPr>
                <w:rFonts w:ascii="Arial" w:cs="Arial" w:eastAsia="Arial" w:hAnsi="Arial"/>
                <w:sz w:val="12"/>
                <w:szCs w:val="12"/>
                <w:b w:val="1"/>
                <w:bCs w:val="1"/>
                <w:color w:val="auto"/>
                <w:w w:val="89"/>
              </w:rPr>
              <w:t>(in thousands, except for percentages)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42,636</w:t>
            </w:r>
          </w:p>
        </w:tc>
        <w:tc>
          <w:tcPr>
            <w:tcW w:w="360" w:type="dxa"/>
            <w:vAlign w:val="bottom"/>
            <w:gridSpan w:val="3"/>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30,870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11,766</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38 %</w:t>
            </w:r>
          </w:p>
        </w:tc>
        <w:tc>
          <w:tcPr>
            <w:tcW w:w="0" w:type="dxa"/>
            <w:vAlign w:val="bottom"/>
          </w:tcPr>
          <w:p>
            <w:pPr>
              <w:spacing w:after="0"/>
              <w:rPr>
                <w:sz w:val="1"/>
                <w:szCs w:val="1"/>
                <w:color w:val="auto"/>
              </w:rPr>
            </w:pPr>
          </w:p>
        </w:tc>
      </w:tr>
      <w:tr>
        <w:trPr>
          <w:trHeight w:val="171"/>
        </w:trPr>
        <w:tc>
          <w:tcPr>
            <w:tcW w:w="24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Cost of goods sold</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4,575</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4,049</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186"/>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Gross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38,061</w:t>
            </w:r>
          </w:p>
        </w:tc>
        <w:tc>
          <w:tcPr>
            <w:tcW w:w="1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26,821</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11,240</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Gross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spacing w:after="0" w:line="132" w:lineRule="exact"/>
              <w:rPr>
                <w:sz w:val="20"/>
                <w:szCs w:val="20"/>
                <w:color w:val="auto"/>
              </w:rPr>
            </w:pPr>
            <w:r>
              <w:rPr>
                <w:rFonts w:ascii="Arial" w:cs="Arial" w:eastAsia="Arial" w:hAnsi="Arial"/>
                <w:sz w:val="13"/>
                <w:szCs w:val="13"/>
                <w:color w:val="auto"/>
              </w:rPr>
              <w:t>89 %</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2" w:lineRule="exact"/>
              <w:rPr>
                <w:sz w:val="20"/>
                <w:szCs w:val="20"/>
                <w:color w:val="auto"/>
              </w:rPr>
            </w:pPr>
            <w:r>
              <w:rPr>
                <w:rFonts w:ascii="Arial" w:cs="Arial" w:eastAsia="Arial" w:hAnsi="Arial"/>
                <w:sz w:val="13"/>
                <w:szCs w:val="13"/>
                <w:color w:val="auto"/>
              </w:rPr>
              <w:t>87 %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92" w:lineRule="exact"/>
        <w:rPr>
          <w:sz w:val="20"/>
          <w:szCs w:val="20"/>
          <w:color w:val="auto"/>
        </w:rPr>
      </w:pPr>
    </w:p>
    <w:p>
      <w:pPr>
        <w:jc w:val="both"/>
        <w:ind w:firstLine="362"/>
        <w:spacing w:after="0" w:line="267" w:lineRule="auto"/>
        <w:rPr>
          <w:sz w:val="20"/>
          <w:szCs w:val="20"/>
          <w:color w:val="auto"/>
        </w:rPr>
      </w:pPr>
      <w:r>
        <w:rPr>
          <w:rFonts w:ascii="Arial" w:cs="Arial" w:eastAsia="Arial" w:hAnsi="Arial"/>
          <w:sz w:val="13"/>
          <w:szCs w:val="13"/>
          <w:i w:val="1"/>
          <w:iCs w:val="1"/>
          <w:color w:val="auto"/>
        </w:rPr>
        <w:t xml:space="preserve">Revenue. </w:t>
      </w:r>
      <w:r>
        <w:rPr>
          <w:rFonts w:ascii="Arial" w:cs="Arial" w:eastAsia="Arial" w:hAnsi="Arial"/>
          <w:sz w:val="13"/>
          <w:szCs w:val="13"/>
          <w:color w:val="auto"/>
        </w:rPr>
        <w:t>The increase in revenue for the six months ended June 30, 2021 as compared to the six months ended June 30, 2020 comprised a $10.5 million increase in our U.S. revenue and an increase of</w:t>
      </w:r>
      <w:r>
        <w:rPr>
          <w:rFonts w:ascii="Arial" w:cs="Arial" w:eastAsia="Arial" w:hAnsi="Arial"/>
          <w:sz w:val="13"/>
          <w:szCs w:val="13"/>
          <w:i w:val="1"/>
          <w:iCs w:val="1"/>
          <w:color w:val="auto"/>
        </w:rPr>
        <w:t xml:space="preserve"> </w:t>
      </w:r>
      <w:r>
        <w:rPr>
          <w:rFonts w:ascii="Arial" w:cs="Arial" w:eastAsia="Arial" w:hAnsi="Arial"/>
          <w:sz w:val="13"/>
          <w:szCs w:val="13"/>
          <w:color w:val="auto"/>
        </w:rPr>
        <w:t>$1.3 million in our international revenue, mainly due to an increase in case volumes and the impact of the COVID-19 pandemic. In March and April 2020, we saw a substantial worldwide reduction in case volumes due to the deferral of elective surgeries. Although we saw cases cancelled in January and February 2021 due to COVID-19, March case volumes benefited from an increase in rescheduled cases from November 2020 to February 2021. We also attribute case growth to higher sales force productivity, higher numbers of sales personnel, and increased active surgeons due to improved U.S. reimbursement coverage.</w:t>
      </w:r>
    </w:p>
    <w:p>
      <w:pPr>
        <w:spacing w:after="0" w:line="155" w:lineRule="exact"/>
        <w:rPr>
          <w:sz w:val="20"/>
          <w:szCs w:val="20"/>
          <w:color w:val="auto"/>
        </w:rPr>
      </w:pPr>
    </w:p>
    <w:p>
      <w:pPr>
        <w:jc w:val="both"/>
        <w:ind w:firstLine="362"/>
        <w:spacing w:after="0" w:line="309" w:lineRule="auto"/>
        <w:rPr>
          <w:sz w:val="20"/>
          <w:szCs w:val="20"/>
          <w:color w:val="auto"/>
        </w:rPr>
      </w:pPr>
      <w:r>
        <w:rPr>
          <w:rFonts w:ascii="Arial" w:cs="Arial" w:eastAsia="Arial" w:hAnsi="Arial"/>
          <w:sz w:val="12"/>
          <w:szCs w:val="12"/>
          <w:i w:val="1"/>
          <w:iCs w:val="1"/>
          <w:color w:val="auto"/>
        </w:rPr>
        <w:t xml:space="preserve">Gross Profit and Gross Margin. </w:t>
      </w:r>
      <w:r>
        <w:rPr>
          <w:rFonts w:ascii="Arial" w:cs="Arial" w:eastAsia="Arial" w:hAnsi="Arial"/>
          <w:sz w:val="12"/>
          <w:szCs w:val="12"/>
          <w:color w:val="auto"/>
        </w:rPr>
        <w:t>Gross profit increased $11.2 million for the six months ended June 30, 2021 as compared to the six months ended June 30, 2020, mainly driven by higher revenue. The</w:t>
      </w:r>
      <w:r>
        <w:rPr>
          <w:rFonts w:ascii="Arial" w:cs="Arial" w:eastAsia="Arial" w:hAnsi="Arial"/>
          <w:sz w:val="12"/>
          <w:szCs w:val="12"/>
          <w:i w:val="1"/>
          <w:iCs w:val="1"/>
          <w:color w:val="auto"/>
        </w:rPr>
        <w:t xml:space="preserve"> </w:t>
      </w:r>
      <w:r>
        <w:rPr>
          <w:rFonts w:ascii="Arial" w:cs="Arial" w:eastAsia="Arial" w:hAnsi="Arial"/>
          <w:sz w:val="12"/>
          <w:szCs w:val="12"/>
          <w:color w:val="auto"/>
        </w:rPr>
        <w:t>gross margin increased to 89% for the six months ended June 30, 2021 as compared to 87% for the six months ended June 30, 2020 primarily due to certain period costs charged directly to cost of operations of $0.2 million in the second quarter of 2020 as our operations were running at suboptimal capacity due to the COVID-19 pandemic, as well as lower inventory write-downs.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75" w:right="319" w:bottom="1440" w:gutter="0" w:footer="0" w:header="0"/>
        </w:sectPr>
      </w:pPr>
    </w:p>
    <w:bookmarkStart w:id="29" w:name="page30"/>
    <w:bookmarkEnd w:id="29"/>
    <w:p>
      <w:pPr>
        <w:ind w:left="340"/>
        <w:spacing w:after="0"/>
        <w:rPr>
          <w:sz w:val="20"/>
          <w:szCs w:val="20"/>
          <w:color w:val="auto"/>
        </w:rPr>
      </w:pPr>
      <w:r>
        <w:rPr>
          <w:rFonts w:ascii="Arial" w:cs="Arial" w:eastAsia="Arial" w:hAnsi="Arial"/>
          <w:sz w:val="13"/>
          <w:szCs w:val="13"/>
          <w:b w:val="1"/>
          <w:bCs w:val="1"/>
          <w:i w:val="1"/>
          <w:iCs w:val="1"/>
          <w:color w:val="auto"/>
        </w:rPr>
        <w:t>Operating Expenses</w:t>
      </w:r>
      <w:r>
        <w:rPr>
          <w:rFonts w:ascii="Arial" w:cs="Arial" w:eastAsia="Arial" w:hAnsi="Arial"/>
          <w:sz w:val="13"/>
          <w:szCs w:val="13"/>
          <w:color w:val="auto"/>
        </w:rPr>
        <w:t>:</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158"/>
        </w:trPr>
        <w:tc>
          <w:tcPr>
            <w:tcW w:w="4220" w:type="dxa"/>
            <w:vAlign w:val="bottom"/>
          </w:tcPr>
          <w:p>
            <w:pPr>
              <w:spacing w:after="0"/>
              <w:rPr>
                <w:sz w:val="13"/>
                <w:szCs w:val="13"/>
                <w:color w:val="auto"/>
              </w:rPr>
            </w:pPr>
          </w:p>
        </w:tc>
        <w:tc>
          <w:tcPr>
            <w:tcW w:w="3060" w:type="dxa"/>
            <w:vAlign w:val="bottom"/>
            <w:gridSpan w:val="6"/>
          </w:tcPr>
          <w:p>
            <w:pPr>
              <w:ind w:left="780"/>
              <w:spacing w:after="0"/>
              <w:rPr>
                <w:sz w:val="20"/>
                <w:szCs w:val="20"/>
                <w:color w:val="auto"/>
              </w:rPr>
            </w:pPr>
            <w:r>
              <w:rPr>
                <w:rFonts w:ascii="Arial" w:cs="Arial" w:eastAsia="Arial" w:hAnsi="Arial"/>
                <w:sz w:val="12"/>
                <w:szCs w:val="12"/>
                <w:b w:val="1"/>
                <w:bCs w:val="1"/>
                <w:color w:val="auto"/>
              </w:rPr>
              <w:t>Six Months Ended June 30,</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63"/>
        </w:trPr>
        <w:tc>
          <w:tcPr>
            <w:tcW w:w="4220" w:type="dxa"/>
            <w:vAlign w:val="bottom"/>
          </w:tcPr>
          <w:p>
            <w:pPr>
              <w:spacing w:after="0"/>
              <w:rPr>
                <w:sz w:val="14"/>
                <w:szCs w:val="14"/>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2"/>
                <w:szCs w:val="12"/>
                <w:b w:val="1"/>
                <w:bCs w:val="1"/>
                <w:color w:val="auto"/>
              </w:rPr>
              <w:t>$ Change</w:t>
            </w:r>
          </w:p>
        </w:tc>
        <w:tc>
          <w:tcPr>
            <w:tcW w:w="1640" w:type="dxa"/>
            <w:vAlign w:val="bottom"/>
            <w:tcBorders>
              <w:bottom w:val="single" w:sz="8" w:color="auto"/>
            </w:tcBorders>
          </w:tcPr>
          <w:p>
            <w:pPr>
              <w:jc w:val="right"/>
              <w:ind w:right="434"/>
              <w:spacing w:after="0"/>
              <w:rPr>
                <w:sz w:val="20"/>
                <w:szCs w:val="20"/>
                <w:color w:val="auto"/>
              </w:rPr>
            </w:pPr>
            <w:r>
              <w:rPr>
                <w:rFonts w:ascii="Arial" w:cs="Arial" w:eastAsia="Arial" w:hAnsi="Arial"/>
                <w:sz w:val="12"/>
                <w:szCs w:val="12"/>
                <w:b w:val="1"/>
                <w:bCs w:val="1"/>
                <w:color w:val="auto"/>
              </w:rPr>
              <w:t>% Change</w:t>
            </w:r>
          </w:p>
        </w:tc>
      </w:tr>
      <w:tr>
        <w:trPr>
          <w:trHeight w:val="152"/>
        </w:trPr>
        <w:tc>
          <w:tcPr>
            <w:tcW w:w="4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4"/>
          </w:tcPr>
          <w:p>
            <w:pPr>
              <w:jc w:val="right"/>
              <w:ind w:right="374"/>
              <w:spacing w:after="0"/>
              <w:rPr>
                <w:sz w:val="20"/>
                <w:szCs w:val="20"/>
                <w:color w:val="auto"/>
              </w:rPr>
            </w:pPr>
            <w:r>
              <w:rPr>
                <w:rFonts w:ascii="Arial" w:cs="Arial" w:eastAsia="Arial" w:hAnsi="Arial"/>
                <w:sz w:val="12"/>
                <w:szCs w:val="12"/>
                <w:b w:val="1"/>
                <w:bCs w:val="1"/>
                <w:color w:val="auto"/>
                <w:w w:val="98"/>
              </w:rPr>
              <w:t>(in thousands, except for percentages)</w:t>
            </w:r>
          </w:p>
        </w:tc>
        <w:tc>
          <w:tcPr>
            <w:tcW w:w="1640" w:type="dxa"/>
            <w:vAlign w:val="bottom"/>
          </w:tcPr>
          <w:p>
            <w:pPr>
              <w:spacing w:after="0"/>
              <w:rPr>
                <w:sz w:val="13"/>
                <w:szCs w:val="13"/>
                <w:color w:val="auto"/>
              </w:rPr>
            </w:pPr>
          </w:p>
        </w:tc>
      </w:tr>
      <w:tr>
        <w:trPr>
          <w:trHeight w:val="173"/>
        </w:trPr>
        <w:tc>
          <w:tcPr>
            <w:tcW w:w="42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Sales and marketing</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44,006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35,036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8,970</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26 %</w:t>
            </w:r>
          </w:p>
        </w:tc>
      </w:tr>
      <w:tr>
        <w:trPr>
          <w:trHeight w:val="171"/>
        </w:trPr>
        <w:tc>
          <w:tcPr>
            <w:tcW w:w="4220" w:type="dxa"/>
            <w:vAlign w:val="bottom"/>
          </w:tcPr>
          <w:p>
            <w:pPr>
              <w:ind w:left="40"/>
              <w:spacing w:after="0"/>
              <w:rPr>
                <w:sz w:val="20"/>
                <w:szCs w:val="20"/>
                <w:color w:val="auto"/>
              </w:rPr>
            </w:pPr>
            <w:r>
              <w:rPr>
                <w:rFonts w:ascii="Arial" w:cs="Arial" w:eastAsia="Arial" w:hAnsi="Arial"/>
                <w:sz w:val="13"/>
                <w:szCs w:val="13"/>
                <w:color w:val="auto"/>
              </w:rPr>
              <w:t>Research and development</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6,104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4,255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1,849</w:t>
            </w:r>
          </w:p>
        </w:tc>
        <w:tc>
          <w:tcPr>
            <w:tcW w:w="1640" w:type="dxa"/>
            <w:vAlign w:val="bottom"/>
          </w:tcPr>
          <w:p>
            <w:pPr>
              <w:jc w:val="right"/>
              <w:spacing w:after="0"/>
              <w:rPr>
                <w:sz w:val="20"/>
                <w:szCs w:val="20"/>
                <w:color w:val="auto"/>
              </w:rPr>
            </w:pPr>
            <w:r>
              <w:rPr>
                <w:rFonts w:ascii="Arial" w:cs="Arial" w:eastAsia="Arial" w:hAnsi="Arial"/>
                <w:sz w:val="13"/>
                <w:szCs w:val="13"/>
                <w:color w:val="auto"/>
              </w:rPr>
              <w:t>43 %</w:t>
            </w:r>
          </w:p>
        </w:tc>
      </w:tr>
      <w:tr>
        <w:trPr>
          <w:trHeight w:val="171"/>
        </w:trPr>
        <w:tc>
          <w:tcPr>
            <w:tcW w:w="4220" w:type="dxa"/>
            <w:vAlign w:val="bottom"/>
            <w:shd w:val="clear" w:color="auto" w:fill="CCEEFF"/>
          </w:tcPr>
          <w:p>
            <w:pPr>
              <w:ind w:left="40"/>
              <w:spacing w:after="0"/>
              <w:rPr>
                <w:sz w:val="20"/>
                <w:szCs w:val="20"/>
                <w:color w:val="auto"/>
              </w:rPr>
            </w:pPr>
            <w:r>
              <w:rPr>
                <w:rFonts w:ascii="Arial" w:cs="Arial" w:eastAsia="Arial" w:hAnsi="Arial"/>
                <w:sz w:val="13"/>
                <w:szCs w:val="13"/>
                <w:color w:val="auto"/>
              </w:rPr>
              <w:t>General and administrative</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12,491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9,551</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2,940</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w:t>
            </w:r>
          </w:p>
        </w:tc>
      </w:tr>
      <w:tr>
        <w:trPr>
          <w:trHeight w:val="161"/>
        </w:trPr>
        <w:tc>
          <w:tcPr>
            <w:tcW w:w="4220" w:type="dxa"/>
            <w:vAlign w:val="bottom"/>
          </w:tcPr>
          <w:p>
            <w:pPr>
              <w:ind w:left="40"/>
              <w:spacing w:after="0"/>
              <w:rPr>
                <w:sz w:val="20"/>
                <w:szCs w:val="20"/>
                <w:color w:val="auto"/>
              </w:rPr>
            </w:pPr>
            <w:r>
              <w:rPr>
                <w:rFonts w:ascii="Arial" w:cs="Arial" w:eastAsia="Arial" w:hAnsi="Arial"/>
                <w:sz w:val="13"/>
                <w:szCs w:val="13"/>
                <w:color w:val="auto"/>
              </w:rPr>
              <w:t>Total operating expenses</w:t>
            </w:r>
          </w:p>
        </w:tc>
        <w:tc>
          <w:tcPr>
            <w:tcW w:w="92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62,601</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48,842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13,759</w:t>
            </w:r>
          </w:p>
        </w:tc>
        <w:tc>
          <w:tcPr>
            <w:tcW w:w="1640" w:type="dxa"/>
            <w:vAlign w:val="bottom"/>
          </w:tcPr>
          <w:p>
            <w:pPr>
              <w:jc w:val="right"/>
              <w:spacing w:after="0"/>
              <w:rPr>
                <w:sz w:val="20"/>
                <w:szCs w:val="20"/>
                <w:color w:val="auto"/>
              </w:rPr>
            </w:pPr>
            <w:r>
              <w:rPr>
                <w:rFonts w:ascii="Arial" w:cs="Arial" w:eastAsia="Arial" w:hAnsi="Arial"/>
                <w:sz w:val="13"/>
                <w:szCs w:val="13"/>
                <w:color w:val="auto"/>
              </w:rPr>
              <w:t>28 %</w:t>
            </w:r>
          </w:p>
        </w:tc>
      </w:tr>
      <w:tr>
        <w:trPr>
          <w:trHeight w:val="20"/>
        </w:trPr>
        <w:tc>
          <w:tcPr>
            <w:tcW w:w="4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332"/>
        <w:spacing w:after="0" w:line="276" w:lineRule="auto"/>
        <w:rPr>
          <w:sz w:val="20"/>
          <w:szCs w:val="20"/>
          <w:color w:val="auto"/>
        </w:rPr>
      </w:pPr>
      <w:r>
        <w:rPr>
          <w:rFonts w:ascii="Arial" w:cs="Arial" w:eastAsia="Arial" w:hAnsi="Arial"/>
          <w:sz w:val="13"/>
          <w:szCs w:val="13"/>
          <w:i w:val="1"/>
          <w:iCs w:val="1"/>
          <w:color w:val="auto"/>
        </w:rPr>
        <w:t xml:space="preserve">Sales and Marketing Expenses. </w:t>
      </w:r>
      <w:r>
        <w:rPr>
          <w:rFonts w:ascii="Arial" w:cs="Arial" w:eastAsia="Arial" w:hAnsi="Arial"/>
          <w:sz w:val="13"/>
          <w:szCs w:val="13"/>
          <w:color w:val="auto"/>
        </w:rPr>
        <w:t>The increase in sales and marketing expenses for the six months ended June 30, 2021 as compared to the six months ended June 30, 2020 was primarily due to increases in</w:t>
      </w:r>
      <w:r>
        <w:rPr>
          <w:rFonts w:ascii="Arial" w:cs="Arial" w:eastAsia="Arial" w:hAnsi="Arial"/>
          <w:sz w:val="13"/>
          <w:szCs w:val="13"/>
          <w:i w:val="1"/>
          <w:iCs w:val="1"/>
          <w:color w:val="auto"/>
        </w:rPr>
        <w:t xml:space="preserve"> </w:t>
      </w:r>
      <w:r>
        <w:rPr>
          <w:rFonts w:ascii="Arial" w:cs="Arial" w:eastAsia="Arial" w:hAnsi="Arial"/>
          <w:sz w:val="13"/>
          <w:szCs w:val="13"/>
          <w:color w:val="auto"/>
        </w:rPr>
        <w:t>employee related costs, commissions and stock-based compensation of $5.7 million driven by increased headcount and higher revenues. As COVID-19 pandemic restrictions eased, we also experienced higher levels of travel, marketing, training activities, facilities and other related costs resulting in an increase of $3.2 million.</w:t>
      </w:r>
    </w:p>
    <w:p>
      <w:pPr>
        <w:spacing w:after="0" w:line="129" w:lineRule="exact"/>
        <w:rPr>
          <w:sz w:val="20"/>
          <w:szCs w:val="20"/>
          <w:color w:val="auto"/>
        </w:rPr>
      </w:pPr>
    </w:p>
    <w:p>
      <w:pPr>
        <w:jc w:val="both"/>
        <w:ind w:firstLine="332"/>
        <w:spacing w:after="0" w:line="276" w:lineRule="auto"/>
        <w:rPr>
          <w:sz w:val="20"/>
          <w:szCs w:val="20"/>
          <w:color w:val="auto"/>
        </w:rPr>
      </w:pPr>
      <w:r>
        <w:rPr>
          <w:rFonts w:ascii="Arial" w:cs="Arial" w:eastAsia="Arial" w:hAnsi="Arial"/>
          <w:sz w:val="13"/>
          <w:szCs w:val="13"/>
          <w:i w:val="1"/>
          <w:iCs w:val="1"/>
          <w:color w:val="auto"/>
        </w:rPr>
        <w:t xml:space="preserve">Research and Development Expenses. </w:t>
      </w:r>
      <w:r>
        <w:rPr>
          <w:rFonts w:ascii="Arial" w:cs="Arial" w:eastAsia="Arial" w:hAnsi="Arial"/>
          <w:sz w:val="13"/>
          <w:szCs w:val="13"/>
          <w:color w:val="auto"/>
        </w:rPr>
        <w:t>The increase in research and development expenses for the six months ended June 30, 2021 compared to the six months ended June 30, 2020 was primarily due to an</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 of $1.0 million in employee related costs and stock-based compensation driven by increased headcount and an increase of $0.8 million in research and development expenses primarily due to clinical study and research and development activities.</w:t>
      </w:r>
    </w:p>
    <w:p>
      <w:pPr>
        <w:spacing w:after="0" w:line="129" w:lineRule="exact"/>
        <w:rPr>
          <w:sz w:val="20"/>
          <w:szCs w:val="20"/>
          <w:color w:val="auto"/>
        </w:rPr>
      </w:pPr>
    </w:p>
    <w:p>
      <w:pPr>
        <w:jc w:val="both"/>
        <w:ind w:firstLine="332"/>
        <w:spacing w:after="0" w:line="309" w:lineRule="auto"/>
        <w:rPr>
          <w:sz w:val="20"/>
          <w:szCs w:val="20"/>
          <w:color w:val="auto"/>
        </w:rPr>
      </w:pPr>
      <w:r>
        <w:rPr>
          <w:rFonts w:ascii="Arial" w:cs="Arial" w:eastAsia="Arial" w:hAnsi="Arial"/>
          <w:sz w:val="12"/>
          <w:szCs w:val="12"/>
          <w:i w:val="1"/>
          <w:iCs w:val="1"/>
          <w:color w:val="auto"/>
        </w:rPr>
        <w:t>General and Administrative Expenses</w:t>
      </w:r>
      <w:r>
        <w:rPr>
          <w:rFonts w:ascii="Arial" w:cs="Arial" w:eastAsia="Arial" w:hAnsi="Arial"/>
          <w:sz w:val="12"/>
          <w:szCs w:val="12"/>
          <w:color w:val="auto"/>
        </w:rPr>
        <w:t>. The increase in general and administrative expenses for the six months ended June 30, 2021 compared to the six months ended June 30, 2020 was primarily due to</w:t>
      </w:r>
      <w:r>
        <w:rPr>
          <w:rFonts w:ascii="Arial" w:cs="Arial" w:eastAsia="Arial" w:hAnsi="Arial"/>
          <w:sz w:val="12"/>
          <w:szCs w:val="12"/>
          <w:i w:val="1"/>
          <w:iCs w:val="1"/>
          <w:color w:val="auto"/>
        </w:rPr>
        <w:t xml:space="preserve"> </w:t>
      </w:r>
      <w:r>
        <w:rPr>
          <w:rFonts w:ascii="Arial" w:cs="Arial" w:eastAsia="Arial" w:hAnsi="Arial"/>
          <w:sz w:val="12"/>
          <w:szCs w:val="12"/>
          <w:color w:val="auto"/>
        </w:rPr>
        <w:t>an increase of $2.3 million in employee related costs and stock-based compensation driven by increased headcount and an increase of $0.8 million in professional service fees and insurance costs as we continue to grow our business. The public offering costs of $0.2 million associated with the sale of common stock by the selling shareholders in the first quarter of 2020 did not recur in 2021</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Interest and Other Income (Expense), Net</w:t>
      </w:r>
      <w:r>
        <w:rPr>
          <w:rFonts w:ascii="Arial" w:cs="Arial" w:eastAsia="Arial" w:hAnsi="Arial"/>
          <w:sz w:val="13"/>
          <w:szCs w:val="13"/>
          <w:color w:val="auto"/>
        </w:rPr>
        <w:t>:</w:t>
      </w:r>
    </w:p>
    <w:p>
      <w:pPr>
        <w:spacing w:after="0" w:line="42" w:lineRule="exact"/>
        <w:rPr>
          <w:sz w:val="20"/>
          <w:szCs w:val="20"/>
          <w:color w:val="auto"/>
        </w:rPr>
      </w:pPr>
    </w:p>
    <w:p>
      <w:pPr>
        <w:ind w:left="5440"/>
        <w:spacing w:after="0"/>
        <w:rPr>
          <w:sz w:val="20"/>
          <w:szCs w:val="20"/>
          <w:color w:val="auto"/>
        </w:rPr>
      </w:pPr>
      <w:r>
        <w:rPr>
          <w:rFonts w:ascii="Arial" w:cs="Arial" w:eastAsia="Arial" w:hAnsi="Arial"/>
          <w:sz w:val="12"/>
          <w:szCs w:val="12"/>
          <w:b w:val="1"/>
          <w:bCs w:val="1"/>
          <w:color w:val="auto"/>
        </w:rPr>
        <w:t>Six Months Ended June 30,</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160"/>
        </w:trPr>
        <w:tc>
          <w:tcPr>
            <w:tcW w:w="4320" w:type="dxa"/>
            <w:vAlign w:val="bottom"/>
          </w:tcPr>
          <w:p>
            <w:pPr>
              <w:spacing w:after="0"/>
              <w:rPr>
                <w:sz w:val="13"/>
                <w:szCs w:val="13"/>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1"/>
                <w:szCs w:val="11"/>
                <w:b w:val="1"/>
                <w:bCs w:val="1"/>
                <w:color w:val="auto"/>
              </w:rPr>
              <w:t>$ Change</w:t>
            </w:r>
          </w:p>
        </w:tc>
        <w:tc>
          <w:tcPr>
            <w:tcW w:w="164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 Change</w:t>
            </w:r>
          </w:p>
        </w:tc>
      </w:tr>
      <w:tr>
        <w:trPr>
          <w:trHeight w:val="152"/>
        </w:trPr>
        <w:tc>
          <w:tcPr>
            <w:tcW w:w="4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60" w:type="dxa"/>
            <w:vAlign w:val="bottom"/>
            <w:gridSpan w:val="4"/>
          </w:tcPr>
          <w:p>
            <w:pPr>
              <w:jc w:val="right"/>
              <w:ind w:right="396"/>
              <w:spacing w:after="0"/>
              <w:rPr>
                <w:sz w:val="20"/>
                <w:szCs w:val="20"/>
                <w:color w:val="auto"/>
              </w:rPr>
            </w:pPr>
            <w:r>
              <w:rPr>
                <w:rFonts w:ascii="Arial" w:cs="Arial" w:eastAsia="Arial" w:hAnsi="Arial"/>
                <w:sz w:val="12"/>
                <w:szCs w:val="12"/>
                <w:b w:val="1"/>
                <w:bCs w:val="1"/>
                <w:color w:val="auto"/>
                <w:w w:val="98"/>
              </w:rPr>
              <w:t>(in thousands, except for percentages)</w:t>
            </w:r>
          </w:p>
        </w:tc>
        <w:tc>
          <w:tcPr>
            <w:tcW w:w="1640" w:type="dxa"/>
            <w:vAlign w:val="bottom"/>
          </w:tcPr>
          <w:p>
            <w:pPr>
              <w:spacing w:after="0"/>
              <w:rPr>
                <w:sz w:val="13"/>
                <w:szCs w:val="13"/>
                <w:color w:val="auto"/>
              </w:rPr>
            </w:pPr>
          </w:p>
        </w:tc>
      </w:tr>
      <w:tr>
        <w:trPr>
          <w:trHeight w:val="173"/>
        </w:trPr>
        <w:tc>
          <w:tcPr>
            <w:tcW w:w="4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 income</w:t>
            </w:r>
          </w:p>
        </w:tc>
        <w:tc>
          <w:tcPr>
            <w:tcW w:w="940" w:type="dxa"/>
            <w:vAlign w:val="bottom"/>
            <w:shd w:val="clear" w:color="auto" w:fill="CCEEFF"/>
          </w:tcPr>
          <w:p>
            <w:pPr>
              <w:jc w:val="right"/>
              <w:ind w:right="795"/>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r>
      <w:tr>
        <w:trPr>
          <w:trHeight w:val="171"/>
        </w:trPr>
        <w:tc>
          <w:tcPr>
            <w:tcW w:w="4320" w:type="dxa"/>
            <w:vAlign w:val="bottom"/>
          </w:tcPr>
          <w:p>
            <w:pPr>
              <w:ind w:left="40"/>
              <w:spacing w:after="0"/>
              <w:rPr>
                <w:sz w:val="20"/>
                <w:szCs w:val="20"/>
                <w:color w:val="auto"/>
              </w:rPr>
            </w:pPr>
            <w:r>
              <w:rPr>
                <w:rFonts w:ascii="Arial" w:cs="Arial" w:eastAsia="Arial" w:hAnsi="Arial"/>
                <w:sz w:val="13"/>
                <w:szCs w:val="13"/>
                <w:color w:val="auto"/>
              </w:rPr>
              <w:t>Interest expense</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(2,139)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(3,914)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1,775</w:t>
            </w:r>
          </w:p>
        </w:tc>
        <w:tc>
          <w:tcPr>
            <w:tcW w:w="164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71"/>
        </w:trPr>
        <w:tc>
          <w:tcPr>
            <w:tcW w:w="4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income (expense), net</w:t>
            </w: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r>
      <w:tr>
        <w:trPr>
          <w:trHeight w:val="161"/>
        </w:trPr>
        <w:tc>
          <w:tcPr>
            <w:tcW w:w="4320" w:type="dxa"/>
            <w:vAlign w:val="bottom"/>
          </w:tcPr>
          <w:p>
            <w:pPr>
              <w:ind w:left="40"/>
              <w:spacing w:after="0"/>
              <w:rPr>
                <w:sz w:val="20"/>
                <w:szCs w:val="20"/>
                <w:color w:val="auto"/>
              </w:rPr>
            </w:pPr>
            <w:r>
              <w:rPr>
                <w:rFonts w:ascii="Arial" w:cs="Arial" w:eastAsia="Arial" w:hAnsi="Arial"/>
                <w:sz w:val="13"/>
                <w:szCs w:val="13"/>
                <w:color w:val="auto"/>
              </w:rPr>
              <w:t>Total interest and other expense, net</w:t>
            </w:r>
          </w:p>
        </w:tc>
        <w:tc>
          <w:tcPr>
            <w:tcW w:w="940" w:type="dxa"/>
            <w:vAlign w:val="bottom"/>
            <w:tcBorders>
              <w:bottom w:val="single" w:sz="8" w:color="auto"/>
            </w:tcBorders>
          </w:tcPr>
          <w:p>
            <w:pPr>
              <w:jc w:val="right"/>
              <w:ind w:right="795"/>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(3,223)</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1,540</w:t>
            </w:r>
          </w:p>
        </w:tc>
        <w:tc>
          <w:tcPr>
            <w:tcW w:w="164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20"/>
        </w:trPr>
        <w:tc>
          <w:tcPr>
            <w:tcW w:w="4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332"/>
        <w:spacing w:after="0" w:line="294"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The decrease in interest income for the six months ended June 30, 2021 as compared to the six months ended June 30, 2020 was mainly due to lower interest earned on our investments in</w:t>
      </w:r>
      <w:r>
        <w:rPr>
          <w:rFonts w:ascii="Arial" w:cs="Arial" w:eastAsia="Arial" w:hAnsi="Arial"/>
          <w:sz w:val="13"/>
          <w:szCs w:val="13"/>
          <w:i w:val="1"/>
          <w:iCs w:val="1"/>
          <w:color w:val="auto"/>
        </w:rPr>
        <w:t xml:space="preserve"> </w:t>
      </w:r>
      <w:r>
        <w:rPr>
          <w:rFonts w:ascii="Arial" w:cs="Arial" w:eastAsia="Arial" w:hAnsi="Arial"/>
          <w:sz w:val="13"/>
          <w:szCs w:val="13"/>
          <w:color w:val="auto"/>
        </w:rPr>
        <w:t>marketable securities, primarily as a result of lower interest rates.</w:t>
      </w:r>
    </w:p>
    <w:p>
      <w:pPr>
        <w:spacing w:after="0" w:line="117" w:lineRule="exact"/>
        <w:rPr>
          <w:sz w:val="20"/>
          <w:szCs w:val="20"/>
          <w:color w:val="auto"/>
        </w:rPr>
      </w:pPr>
    </w:p>
    <w:p>
      <w:pPr>
        <w:ind w:firstLine="332"/>
        <w:spacing w:after="0" w:line="294" w:lineRule="auto"/>
        <w:rPr>
          <w:sz w:val="20"/>
          <w:szCs w:val="20"/>
          <w:color w:val="auto"/>
        </w:rPr>
      </w:pPr>
      <w:r>
        <w:rPr>
          <w:rFonts w:ascii="Arial" w:cs="Arial" w:eastAsia="Arial" w:hAnsi="Arial"/>
          <w:sz w:val="13"/>
          <w:szCs w:val="13"/>
          <w:i w:val="1"/>
          <w:iCs w:val="1"/>
          <w:color w:val="auto"/>
        </w:rPr>
        <w:t>Interest Expense</w:t>
      </w:r>
      <w:r>
        <w:rPr>
          <w:rFonts w:ascii="Arial" w:cs="Arial" w:eastAsia="Arial" w:hAnsi="Arial"/>
          <w:sz w:val="13"/>
          <w:szCs w:val="13"/>
          <w:color w:val="auto"/>
        </w:rPr>
        <w:t>. The decrease in interest expense for the six months ended June 30, 2021 as compared to the six months ended June 30, 2020 was primarily due to the loss on extinguishment of the</w:t>
      </w:r>
      <w:r>
        <w:rPr>
          <w:rFonts w:ascii="Arial" w:cs="Arial" w:eastAsia="Arial" w:hAnsi="Arial"/>
          <w:sz w:val="13"/>
          <w:szCs w:val="13"/>
          <w:i w:val="1"/>
          <w:iCs w:val="1"/>
          <w:color w:val="auto"/>
        </w:rPr>
        <w:t xml:space="preserve"> </w:t>
      </w:r>
      <w:r>
        <w:rPr>
          <w:rFonts w:ascii="Arial" w:cs="Arial" w:eastAsia="Arial" w:hAnsi="Arial"/>
          <w:sz w:val="13"/>
          <w:szCs w:val="13"/>
          <w:color w:val="auto"/>
        </w:rPr>
        <w:t>Pharmakon Term Loan of $1.5 million during the 2021 period, as well as lower interest associated with the Solar Term Loan compared to the Pharmakon Term Loan.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 xml:space="preserve">Other Income (Expense), Net. </w:t>
      </w:r>
      <w:r>
        <w:rPr>
          <w:rFonts w:ascii="Arial" w:cs="Arial" w:eastAsia="Arial" w:hAnsi="Arial"/>
          <w:sz w:val="13"/>
          <w:szCs w:val="13"/>
          <w:color w:val="auto"/>
        </w:rPr>
        <w:t>Other income, net decreased for the six months ended June 30, 2021 compared to the six months ended June 30, 2020 due to 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773" w:right="31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94" w:lineRule="exact"/>
        <w:rPr>
          <w:sz w:val="20"/>
          <w:szCs w:val="20"/>
          <w:color w:val="auto"/>
        </w:rPr>
      </w:pPr>
    </w:p>
    <w:p>
      <w:pPr>
        <w:jc w:val="both"/>
        <w:ind w:firstLine="332"/>
        <w:spacing w:after="0" w:line="294" w:lineRule="auto"/>
        <w:rPr>
          <w:sz w:val="20"/>
          <w:szCs w:val="20"/>
          <w:color w:val="auto"/>
        </w:rPr>
      </w:pPr>
      <w:r>
        <w:rPr>
          <w:rFonts w:ascii="Arial" w:cs="Arial" w:eastAsia="Arial" w:hAnsi="Arial"/>
          <w:sz w:val="13"/>
          <w:szCs w:val="13"/>
          <w:color w:val="auto"/>
        </w:rPr>
        <w:t>As of June 30, 2021, we had cash and marketable securities of $176.6 million compared to $196.4 million as of December 31, 2020. We have financed our operations through our public offerings, debt financing arrangements, and the sale of our products. As of June 30, 2021 and December 31, 2020, we had $39.6 million and $39.5 million, respectively, in outstanding debt.</w:t>
      </w:r>
    </w:p>
    <w:p>
      <w:pPr>
        <w:spacing w:after="0" w:line="117" w:lineRule="exact"/>
        <w:rPr>
          <w:sz w:val="20"/>
          <w:szCs w:val="20"/>
          <w:color w:val="auto"/>
        </w:rPr>
      </w:pPr>
    </w:p>
    <w:p>
      <w:pPr>
        <w:jc w:val="both"/>
        <w:ind w:firstLine="332"/>
        <w:spacing w:after="0" w:line="338" w:lineRule="auto"/>
        <w:rPr>
          <w:sz w:val="20"/>
          <w:szCs w:val="20"/>
          <w:color w:val="auto"/>
        </w:rPr>
      </w:pPr>
      <w:r>
        <w:rPr>
          <w:rFonts w:ascii="Arial" w:cs="Arial" w:eastAsia="Arial" w:hAnsi="Arial"/>
          <w:sz w:val="12"/>
          <w:szCs w:val="12"/>
          <w:color w:val="auto"/>
        </w:rPr>
        <w:t>As of June 30, 2021, we had an accumulated deficit of $265.5 million. During the six months ended June 30, 2021, we incurred a net loss of $26.2 million. During the years ended December 31, 2020 and 2019, we incurred a net loss of $43.7 million and $38.4 million, respectively, and expect to incur additional losses in the future. We have not achieved positive cash flow from operations to date.</w:t>
      </w:r>
    </w:p>
    <w:p>
      <w:pPr>
        <w:spacing w:after="0" w:line="95" w:lineRule="exact"/>
        <w:rPr>
          <w:sz w:val="20"/>
          <w:szCs w:val="20"/>
          <w:color w:val="auto"/>
        </w:rPr>
      </w:pPr>
    </w:p>
    <w:p>
      <w:pPr>
        <w:jc w:val="both"/>
        <w:ind w:firstLine="332"/>
        <w:spacing w:after="0" w:line="291" w:lineRule="auto"/>
        <w:rPr>
          <w:sz w:val="20"/>
          <w:szCs w:val="20"/>
          <w:color w:val="auto"/>
        </w:rPr>
      </w:pPr>
      <w:r>
        <w:rPr>
          <w:rFonts w:ascii="Arial" w:cs="Arial" w:eastAsia="Arial" w:hAnsi="Arial"/>
          <w:sz w:val="12"/>
          <w:szCs w:val="12"/>
          <w:color w:val="auto"/>
        </w:rPr>
        <w:t>Based upon our current operating plan, we believe that our existing cash and marketable securities will enable us to fund our operating expenses and capital expenditure requirements through at least the next 12 months. However, the economic impact of the duration and severity of the COVID-19 pandemic, and our responses thereto (including such actions we have taken or may take in the future as disclosed elsewhere in this Report) pose risks and uncertainties in our future available capital resources. Further, we may face challenges and uncertainties and, as a result, our available capital resources may be consumed more rapidly than currently expected due to, but not limited to, the following as a result of the COVID-19 pandemic or otherwise: (a) 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Term Loan</w:t>
      </w:r>
    </w:p>
    <w:p>
      <w:pPr>
        <w:spacing w:after="0" w:line="173" w:lineRule="exact"/>
        <w:rPr>
          <w:sz w:val="20"/>
          <w:szCs w:val="20"/>
          <w:color w:val="auto"/>
        </w:rPr>
      </w:pPr>
    </w:p>
    <w:p>
      <w:pPr>
        <w:jc w:val="both"/>
        <w:ind w:firstLine="332"/>
        <w:spacing w:after="0" w:line="276" w:lineRule="auto"/>
        <w:rPr>
          <w:sz w:val="20"/>
          <w:szCs w:val="20"/>
          <w:color w:val="auto"/>
        </w:rPr>
      </w:pPr>
      <w:r>
        <w:rPr>
          <w:rFonts w:ascii="Arial" w:cs="Arial" w:eastAsia="Arial" w:hAnsi="Arial"/>
          <w:sz w:val="13"/>
          <w:szCs w:val="13"/>
          <w:color w:val="auto"/>
        </w:rPr>
        <w:t>The outstanding debt as of June 30, 2021 and December 31, 2020 is related to a term loan pursuant to the Loan and Security Agreement dated May 29, 2020, entered into by us with Solar Capital Partners (“Solar”). Pursuant to the Loan and Security Agreement, Solar provided an aggregate principal amount of $40.0 million term loan to us (the “Solar Term Loan”). As of June 30, 2021 and December 31, 2020, there was no amount available that could be borrowed under the credit facility.</w:t>
      </w:r>
    </w:p>
    <w:p>
      <w:pPr>
        <w:spacing w:after="0" w:line="129" w:lineRule="exact"/>
        <w:rPr>
          <w:sz w:val="20"/>
          <w:szCs w:val="20"/>
          <w:color w:val="auto"/>
        </w:rPr>
      </w:pPr>
    </w:p>
    <w:p>
      <w:pPr>
        <w:jc w:val="both"/>
        <w:ind w:firstLine="302"/>
        <w:spacing w:after="0" w:line="271" w:lineRule="auto"/>
        <w:rPr>
          <w:sz w:val="20"/>
          <w:szCs w:val="20"/>
          <w:color w:val="auto"/>
        </w:rPr>
      </w:pPr>
      <w:r>
        <w:rPr>
          <w:rFonts w:ascii="Arial" w:cs="Arial" w:eastAsia="Arial" w:hAnsi="Arial"/>
          <w:sz w:val="12"/>
          <w:szCs w:val="12"/>
          <w:color w:val="auto"/>
        </w:rPr>
        <w:t>The Solar Term Loan bears interest at a rate per annum equal to 9.40% plus London Interbank Offered Rate (“LIBOR”), payable monthly in arrears. LIBOR means the greater of (i) 0.33% or (ii) one-month LIBOR (or a comparable replacement rate to be determined by the collateral agent if the LIBOR is no longer available), which rate shall reset monthly. The Solar Term Loan matures in 60 months on June 1, 2025 (“Maturity Date”), with an interest-only period of 36 months through June 2023, and then repaid in equal monthly principal payments plus interest through maturity date. Pursuant to the Loan and Security Agreement, we may voluntarily prepay the Solar Term Loan, in full or in part, in increments of $10.0 million, for a prepayment premium in an amount equal to 3.0% of the principal if prepaid in year one, 1.25% of the principal if prepaid in year two, and 0.50% of the principal if prepaid if prepaid in year three or later. The prepayment premium will be waived if we voluntarily prepay and refinance the outstanding balance with Solar. The Solar Term Loan is secured by substantially all of our assets. We are also obligated to pay a final fee equal to $1.0 million or 2.5% of the aggregate principal amount of the Solar Term Loan. This final fee shall be due and payable on the earliest of (i) the maturity date, (ii) the acceleration of the loan balance, or (iii) the full prepayment, refinancing, substitution or replacement of Solar Term Loan. The final fee was included within the long-term borrowings and is accreted to interest expense using straight-line method over the life of the term loan.</w:t>
      </w:r>
    </w:p>
    <w:p>
      <w:pPr>
        <w:spacing w:after="0" w:line="143" w:lineRule="exact"/>
        <w:rPr>
          <w:sz w:val="20"/>
          <w:szCs w:val="20"/>
          <w:color w:val="auto"/>
        </w:rPr>
      </w:pPr>
    </w:p>
    <w:p>
      <w:pPr>
        <w:jc w:val="both"/>
        <w:ind w:firstLine="483"/>
        <w:spacing w:after="0" w:line="249" w:lineRule="auto"/>
        <w:rPr>
          <w:sz w:val="20"/>
          <w:szCs w:val="20"/>
          <w:color w:val="auto"/>
        </w:rPr>
      </w:pPr>
      <w:r>
        <w:rPr>
          <w:rFonts w:ascii="Arial" w:cs="Arial" w:eastAsia="Arial" w:hAnsi="Arial"/>
          <w:sz w:val="13"/>
          <w:szCs w:val="13"/>
          <w:color w:val="auto"/>
        </w:rPr>
        <w:t>In July 2017, the head of the United Kingdom Financial Conduct Authority announced the desire to phase out the use of LIBOR by the end of 2021. In addition, the U.S. Federal Reserve, in conjunction with the Alternative Reference Rates Committee, a steering committee composed of large U.S. financial institutions, is considering replacing U.S. dollar LIBOR with the Secured Overnight Financing Rate (“SOFR”), a new index calculated by short-term repurchase agreements, backed by Treasury securities. Although there have been a few issuances utilizing SOFR or the Sterling Over Night Index Average, an alternative reference rate that is based on transactions, it is unknown whether these alternative reference rates will attain market acceptance as replacements for LIBOR. There is currently no definitive information regarding the future utilization of LIBOR or of any particular replacement rate. As such, the potential effect of any replacement of the LIBOR could have on our business and financial condition cannot yet be determined.</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2" w:right="319" w:bottom="1440" w:gutter="0" w:footer="0" w:header="0"/>
        </w:sectPr>
      </w:pPr>
    </w:p>
    <w:bookmarkStart w:id="31" w:name="page32"/>
    <w:bookmarkEnd w:id="31"/>
    <w:p>
      <w:pPr>
        <w:jc w:val="both"/>
        <w:ind w:firstLine="483"/>
        <w:spacing w:after="0" w:line="248" w:lineRule="auto"/>
        <w:rPr>
          <w:sz w:val="20"/>
          <w:szCs w:val="20"/>
          <w:color w:val="auto"/>
        </w:rPr>
      </w:pPr>
      <w:r>
        <w:rPr>
          <w:rFonts w:ascii="Arial" w:cs="Arial" w:eastAsia="Arial" w:hAnsi="Arial"/>
          <w:sz w:val="13"/>
          <w:szCs w:val="13"/>
          <w:color w:val="auto"/>
        </w:rPr>
        <w:t>Subject to other customary covenants set forth in the Loan and Security Agreement, we are required to maintain unrestricted cash and cash equivalents based on the trailing 12-month net products revenues tested on a monthly basis as follows: (a) $15.0 million if net product revenue is less than $75.0 million; or (b) $7.5 million if net product revenue is greater than or equal to $75.0 million, but less than $100.0 million (the “minimum liquidity requirement”). We are not subject to minimum liquidity requirement when trailing twelve-month net product revenues exceed $100.0 million. Upon the occurrence of an event of default of certain customary covenants, including the minimum liquidity requirement, as specified in the Loan and Security Agreement, subject to specified cure periods, all amounts owed by us would begin to bear interest at a rate that is 5.0% above the rate effective immediately before the event of default and may be declared immediately due and payable by Solar. As of June 30, 2021, we were in compliance with all debt covenants. Though there are uncertainties surrounding the impact of the COVID-19 pandemic that may impact our future revenue, we believe that we have sufficient cash and cash equivalents to meet the minimum liquidity requirements in the foreseeable succeeding periods.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following table summarizes our contractual obligations as of June 30, 2021:</w:t>
      </w:r>
    </w:p>
    <w:p>
      <w:pPr>
        <w:spacing w:after="0" w:line="42" w:lineRule="exact"/>
        <w:rPr>
          <w:sz w:val="20"/>
          <w:szCs w:val="20"/>
          <w:color w:val="auto"/>
        </w:rPr>
      </w:pPr>
    </w:p>
    <w:tbl>
      <w:tblPr>
        <w:tblLayout w:type="fixed"/>
        <w:tblInd w:w="380" w:type="dxa"/>
        <w:tblCellMar>
          <w:top w:w="0" w:type="dxa"/>
          <w:left w:w="0" w:type="dxa"/>
          <w:bottom w:w="0" w:type="dxa"/>
          <w:right w:w="0" w:type="dxa"/>
        </w:tblCellMar>
      </w:tblPr>
      <w:tr>
        <w:trPr>
          <w:trHeight w:val="158"/>
        </w:trPr>
        <w:tc>
          <w:tcPr>
            <w:tcW w:w="3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5"/>
          </w:tcPr>
          <w:p>
            <w:pPr>
              <w:ind w:left="520"/>
              <w:spacing w:after="0"/>
              <w:rPr>
                <w:sz w:val="20"/>
                <w:szCs w:val="20"/>
                <w:color w:val="auto"/>
              </w:rPr>
            </w:pPr>
            <w:r>
              <w:rPr>
                <w:rFonts w:ascii="Arial" w:cs="Arial" w:eastAsia="Arial" w:hAnsi="Arial"/>
                <w:sz w:val="12"/>
                <w:szCs w:val="12"/>
                <w:b w:val="1"/>
                <w:bCs w:val="1"/>
                <w:color w:val="auto"/>
              </w:rPr>
              <w:t>Payments Due By Period</w:t>
            </w:r>
          </w:p>
        </w:tc>
        <w:tc>
          <w:tcPr>
            <w:tcW w:w="7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r>
      <w:tr>
        <w:trPr>
          <w:trHeight w:val="154"/>
        </w:trPr>
        <w:tc>
          <w:tcPr>
            <w:tcW w:w="35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Total</w:t>
            </w: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Less than 1 year</w:t>
            </w: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1-3 years</w:t>
            </w: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4-5 years</w:t>
            </w:r>
          </w:p>
        </w:tc>
        <w:tc>
          <w:tcPr>
            <w:tcW w:w="1320" w:type="dxa"/>
            <w:vAlign w:val="bottom"/>
            <w:tcBorders>
              <w:bottom w:val="single" w:sz="8" w:color="auto"/>
            </w:tcBorders>
            <w:gridSpan w:val="2"/>
          </w:tcPr>
          <w:p>
            <w:pPr>
              <w:ind w:left="340"/>
              <w:spacing w:after="0"/>
              <w:rPr>
                <w:sz w:val="20"/>
                <w:szCs w:val="20"/>
                <w:color w:val="auto"/>
              </w:rPr>
            </w:pPr>
            <w:r>
              <w:rPr>
                <w:rFonts w:ascii="Arial" w:cs="Arial" w:eastAsia="Arial" w:hAnsi="Arial"/>
                <w:sz w:val="12"/>
                <w:szCs w:val="12"/>
                <w:b w:val="1"/>
                <w:bCs w:val="1"/>
                <w:color w:val="auto"/>
                <w:w w:val="94"/>
              </w:rPr>
              <w:t>More than 5 years</w:t>
            </w:r>
          </w:p>
        </w:tc>
      </w:tr>
      <w:tr>
        <w:trPr>
          <w:trHeight w:val="151"/>
        </w:trPr>
        <w:tc>
          <w:tcPr>
            <w:tcW w:w="3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(in thousands)</w:t>
            </w: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73"/>
        </w:trPr>
        <w:tc>
          <w:tcPr>
            <w:tcW w:w="3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Principal obligations and final fee on long-term debt </w:t>
            </w:r>
            <w:r>
              <w:rPr>
                <w:rFonts w:ascii="Arial" w:cs="Arial" w:eastAsia="Arial" w:hAnsi="Arial"/>
                <w:sz w:val="10"/>
                <w:szCs w:val="10"/>
                <w:color w:val="auto"/>
              </w:rPr>
              <w:t>(1)</w:t>
            </w:r>
          </w:p>
        </w:tc>
        <w:tc>
          <w:tcPr>
            <w:tcW w:w="5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41,000</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11,667</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29,333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r>
      <w:tr>
        <w:trPr>
          <w:trHeight w:val="171"/>
        </w:trPr>
        <w:tc>
          <w:tcPr>
            <w:tcW w:w="3540" w:type="dxa"/>
            <w:vAlign w:val="bottom"/>
          </w:tcPr>
          <w:p>
            <w:pPr>
              <w:ind w:left="20"/>
              <w:spacing w:after="0"/>
              <w:rPr>
                <w:sz w:val="20"/>
                <w:szCs w:val="20"/>
                <w:color w:val="auto"/>
              </w:rPr>
            </w:pPr>
            <w:r>
              <w:rPr>
                <w:rFonts w:ascii="Arial" w:cs="Arial" w:eastAsia="Arial" w:hAnsi="Arial"/>
                <w:sz w:val="13"/>
                <w:szCs w:val="13"/>
                <w:color w:val="auto"/>
              </w:rPr>
              <w:t xml:space="preserve">Interest obligations </w:t>
            </w:r>
            <w:r>
              <w:rPr>
                <w:rFonts w:ascii="Arial" w:cs="Arial" w:eastAsia="Arial" w:hAnsi="Arial"/>
                <w:sz w:val="10"/>
                <w:szCs w:val="10"/>
                <w:color w:val="auto"/>
              </w:rPr>
              <w:t>(2)</w:t>
            </w: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11,687</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1,989</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7,602</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2,096</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71"/>
        </w:trPr>
        <w:tc>
          <w:tcPr>
            <w:tcW w:w="35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Operating lease obligations</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3,997</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24</w:t>
            </w:r>
          </w:p>
        </w:tc>
      </w:tr>
      <w:tr>
        <w:trPr>
          <w:trHeight w:val="171"/>
        </w:trPr>
        <w:tc>
          <w:tcPr>
            <w:tcW w:w="3540" w:type="dxa"/>
            <w:vAlign w:val="bottom"/>
          </w:tcPr>
          <w:p>
            <w:pPr>
              <w:ind w:left="320"/>
              <w:spacing w:after="0"/>
              <w:rPr>
                <w:sz w:val="20"/>
                <w:szCs w:val="20"/>
                <w:color w:val="auto"/>
              </w:rPr>
            </w:pPr>
            <w:r>
              <w:rPr>
                <w:rFonts w:ascii="Arial" w:cs="Arial" w:eastAsia="Arial" w:hAnsi="Arial"/>
                <w:sz w:val="13"/>
                <w:szCs w:val="13"/>
                <w:color w:val="auto"/>
              </w:rPr>
              <w:t>Purchase obligations</w:t>
            </w: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1,750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1,750</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4"/>
                <w:szCs w:val="14"/>
                <w:color w:val="auto"/>
              </w:rPr>
            </w:pPr>
          </w:p>
        </w:tc>
        <w:tc>
          <w:tcPr>
            <w:tcW w:w="56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86"/>
        </w:trPr>
        <w:tc>
          <w:tcPr>
            <w:tcW w:w="35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Total</w:t>
            </w:r>
          </w:p>
        </w:tc>
        <w:tc>
          <w:tcPr>
            <w:tcW w:w="5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58,434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21,355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32,740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rPr>
              <w:t>24</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173926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39265" cy="6350"/>
                    </a:xfrm>
                    <a:prstGeom prst="rect">
                      <a:avLst/>
                    </a:prstGeom>
                    <a:noFill/>
                  </pic:spPr>
                </pic:pic>
              </a:graphicData>
            </a:graphic>
          </wp:anchor>
        </w:drawing>
      </w:r>
    </w:p>
    <w:p>
      <w:pPr>
        <w:spacing w:after="0" w:line="168" w:lineRule="exact"/>
        <w:rPr>
          <w:sz w:val="20"/>
          <w:szCs w:val="20"/>
          <w:color w:val="auto"/>
        </w:rPr>
      </w:pPr>
    </w:p>
    <w:p>
      <w:pPr>
        <w:ind w:left="360" w:hanging="239"/>
        <w:spacing w:after="0"/>
        <w:tabs>
          <w:tab w:leader="none" w:pos="3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Represents the principal obligations and the final fee at maturities of our Solar Term Loan.</w:t>
      </w:r>
    </w:p>
    <w:p>
      <w:pPr>
        <w:spacing w:after="0" w:line="2" w:lineRule="exact"/>
        <w:rPr>
          <w:rFonts w:ascii="Arial" w:cs="Arial" w:eastAsia="Arial" w:hAnsi="Arial"/>
          <w:sz w:val="11"/>
          <w:szCs w:val="11"/>
          <w:color w:val="auto"/>
        </w:rPr>
      </w:pPr>
    </w:p>
    <w:p>
      <w:pPr>
        <w:ind w:left="360" w:hanging="239"/>
        <w:spacing w:after="0"/>
        <w:tabs>
          <w:tab w:leader="none" w:pos="3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Represents the future interest obligations on our Solar Term Loan estimated using the fixed interest rate of 9.40% plus LIBOR held constant as of June 30, 2021.</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This compared to $59.2 million of contractual obligations as of December 31, 2020 .</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Cash Flows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table sets forth the primary sources and uses of cash for each of the periods presented below:</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60" w:type="dxa"/>
            <w:vAlign w:val="bottom"/>
            <w:gridSpan w:val="5"/>
          </w:tcPr>
          <w:p>
            <w:pPr>
              <w:ind w:left="40"/>
              <w:spacing w:after="0"/>
              <w:rPr>
                <w:sz w:val="20"/>
                <w:szCs w:val="20"/>
                <w:color w:val="auto"/>
              </w:rPr>
            </w:pPr>
            <w:r>
              <w:rPr>
                <w:rFonts w:ascii="Arial" w:cs="Arial" w:eastAsia="Arial" w:hAnsi="Arial"/>
                <w:sz w:val="12"/>
                <w:szCs w:val="12"/>
                <w:b w:val="1"/>
                <w:bCs w:val="1"/>
                <w:color w:val="auto"/>
              </w:rPr>
              <w:t>Six Months Ended June 30,</w:t>
            </w: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2"/>
        </w:trPr>
        <w:tc>
          <w:tcPr>
            <w:tcW w:w="5080" w:type="dxa"/>
            <w:vAlign w:val="bottom"/>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2"/>
                <w:szCs w:val="12"/>
                <w:b w:val="1"/>
                <w:bCs w:val="1"/>
                <w:color w:val="auto"/>
              </w:rPr>
              <w:t>$ Change</w:t>
            </w:r>
          </w:p>
        </w:tc>
      </w:tr>
      <w:tr>
        <w:trPr>
          <w:trHeight w:val="154"/>
        </w:trPr>
        <w:tc>
          <w:tcPr>
            <w:tcW w:w="5080" w:type="dxa"/>
            <w:vAlign w:val="bottom"/>
          </w:tcPr>
          <w:p>
            <w:pPr>
              <w:ind w:left="40"/>
              <w:spacing w:after="0"/>
              <w:rPr>
                <w:sz w:val="20"/>
                <w:szCs w:val="20"/>
                <w:color w:val="auto"/>
              </w:rPr>
            </w:pPr>
            <w:r>
              <w:rPr>
                <w:rFonts w:ascii="Arial" w:cs="Arial" w:eastAsia="Arial" w:hAnsi="Arial"/>
                <w:sz w:val="13"/>
                <w:szCs w:val="13"/>
                <w:b w:val="1"/>
                <w:bCs w:val="1"/>
                <w:color w:val="auto"/>
              </w:rPr>
              <w:t>Net cash provided by (used in):</w:t>
            </w: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2"/>
                <w:szCs w:val="12"/>
                <w:b w:val="1"/>
                <w:bCs w:val="1"/>
                <w:color w:val="auto"/>
              </w:rPr>
              <w:t>(in thousands)</w:t>
            </w: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1"/>
        </w:trPr>
        <w:tc>
          <w:tcPr>
            <w:tcW w:w="5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Operating activities</w:t>
            </w:r>
          </w:p>
        </w:tc>
        <w:tc>
          <w:tcPr>
            <w:tcW w:w="1200" w:type="dxa"/>
            <w:vAlign w:val="bottom"/>
            <w:shd w:val="clear" w:color="auto" w:fill="CCEEFF"/>
          </w:tcPr>
          <w:p>
            <w:pPr>
              <w:jc w:val="right"/>
              <w:ind w:right="715"/>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(17,510)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(17,228)</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r>
      <w:tr>
        <w:trPr>
          <w:trHeight w:val="171"/>
        </w:trPr>
        <w:tc>
          <w:tcPr>
            <w:tcW w:w="5080" w:type="dxa"/>
            <w:vAlign w:val="bottom"/>
          </w:tcPr>
          <w:p>
            <w:pPr>
              <w:ind w:left="40"/>
              <w:spacing w:after="0"/>
              <w:rPr>
                <w:sz w:val="20"/>
                <w:szCs w:val="20"/>
                <w:color w:val="auto"/>
              </w:rPr>
            </w:pPr>
            <w:r>
              <w:rPr>
                <w:rFonts w:ascii="Arial" w:cs="Arial" w:eastAsia="Arial" w:hAnsi="Arial"/>
                <w:sz w:val="13"/>
                <w:szCs w:val="13"/>
                <w:color w:val="auto"/>
              </w:rPr>
              <w:t>Investing activities</w:t>
            </w:r>
          </w:p>
        </w:tc>
        <w:tc>
          <w:tcPr>
            <w:tcW w:w="1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9,449</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10,060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(611)</w:t>
            </w:r>
          </w:p>
        </w:tc>
      </w:tr>
      <w:tr>
        <w:trPr>
          <w:trHeight w:val="171"/>
        </w:trPr>
        <w:tc>
          <w:tcPr>
            <w:tcW w:w="5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Financing activities</w:t>
            </w:r>
          </w:p>
        </w:tc>
        <w:tc>
          <w:tcPr>
            <w:tcW w:w="12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2,817</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62,896</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(60,079)</w:t>
            </w:r>
          </w:p>
        </w:tc>
      </w:tr>
      <w:tr>
        <w:trPr>
          <w:trHeight w:val="171"/>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Effects of exchange rate changes on cash and cash equivalents</w:t>
            </w:r>
          </w:p>
        </w:tc>
        <w:tc>
          <w:tcPr>
            <w:tcW w:w="1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w:t>
            </w:r>
          </w:p>
        </w:tc>
      </w:tr>
      <w:tr>
        <w:trPr>
          <w:trHeight w:val="186"/>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Net increase (decrease) in cash and cash equivalents</w:t>
            </w:r>
          </w:p>
        </w:tc>
        <w:tc>
          <w:tcPr>
            <w:tcW w:w="120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(5,456)</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55,734</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(61,190)</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Cash Used in Operating Activities</w:t>
      </w:r>
    </w:p>
    <w:p>
      <w:pPr>
        <w:spacing w:after="0" w:line="132" w:lineRule="exact"/>
        <w:rPr>
          <w:sz w:val="20"/>
          <w:szCs w:val="20"/>
          <w:color w:val="auto"/>
        </w:rPr>
      </w:pPr>
    </w:p>
    <w:p>
      <w:pPr>
        <w:jc w:val="both"/>
        <w:ind w:firstLine="332"/>
        <w:spacing w:after="0" w:line="263" w:lineRule="auto"/>
        <w:rPr>
          <w:sz w:val="20"/>
          <w:szCs w:val="20"/>
          <w:color w:val="auto"/>
        </w:rPr>
      </w:pPr>
      <w:r>
        <w:rPr>
          <w:rFonts w:ascii="Arial" w:cs="Arial" w:eastAsia="Arial" w:hAnsi="Arial"/>
          <w:sz w:val="13"/>
          <w:szCs w:val="13"/>
          <w:color w:val="auto"/>
        </w:rPr>
        <w:t>Net cash used in operating activities for the six months ended June 30, 2021 of $17.5 million resulted from cash outflows due to a net loss of $26.2 million, adjusted for $10.2 million of non-cash items, partly offset by cash outflows from changes in operating assets and liabilities of $1.5 million. Net cash used in operating activities for the six months ended June 30, 2020 of $17.2 million resulted from cash outflows due to a net loss of $25.2 million, adjusted for $7.9 million of non-cash items, partially offset by cash inflows from changes in operating assets and liabilities of $0.1 million. The decrease in net loss, net of non-cash items for the six months ended June 30, 2021 compared to the six months ended June 30, 2020 was mainly due to the increase in revenue, partly offset by higher operating expenses from the growth of the business. Net cash outflows from changes in operating assets and liabilities for the six months ended June 30, 2021 were primarily due to higher inventory due to the timing of inventory build-up related to our iFuse-TORQ implants, timing of vendor payments, partly offset by timing of collections of accounts receivable. Cash inflows from changes in operating assets and liabilities for the six months ended June 30, 2020 were primarily due to lower accounts receivable balance resulting from lower revenue and timing of collections and lower inventory mainly due to the timing of inventory build-up, partly offset by cash outflows due to decreases in operating liabilities resulting from timing of payments.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773" w:right="319" w:bottom="1440" w:gutter="0" w:footer="0" w:header="0"/>
        </w:sectPr>
      </w:pPr>
    </w:p>
    <w:bookmarkStart w:id="32" w:name="page33"/>
    <w:bookmarkEnd w:id="32"/>
    <w:p>
      <w:pPr>
        <w:ind w:left="340"/>
        <w:spacing w:after="0"/>
        <w:rPr>
          <w:sz w:val="20"/>
          <w:szCs w:val="20"/>
          <w:color w:val="auto"/>
        </w:rPr>
      </w:pPr>
      <w:r>
        <w:rPr>
          <w:rFonts w:ascii="Arial" w:cs="Arial" w:eastAsia="Arial" w:hAnsi="Arial"/>
          <w:sz w:val="13"/>
          <w:szCs w:val="13"/>
          <w:i w:val="1"/>
          <w:iCs w:val="1"/>
          <w:color w:val="auto"/>
        </w:rPr>
        <w:t>Cash Provided by Investing Activities</w:t>
      </w:r>
    </w:p>
    <w:p>
      <w:pPr>
        <w:spacing w:after="0" w:line="132" w:lineRule="exact"/>
        <w:rPr>
          <w:sz w:val="20"/>
          <w:szCs w:val="20"/>
          <w:color w:val="auto"/>
        </w:rPr>
      </w:pPr>
    </w:p>
    <w:p>
      <w:pPr>
        <w:jc w:val="both"/>
        <w:ind w:firstLine="332"/>
        <w:spacing w:after="0" w:line="270" w:lineRule="auto"/>
        <w:rPr>
          <w:sz w:val="20"/>
          <w:szCs w:val="20"/>
          <w:color w:val="auto"/>
        </w:rPr>
      </w:pPr>
      <w:r>
        <w:rPr>
          <w:rFonts w:ascii="Arial" w:cs="Arial" w:eastAsia="Arial" w:hAnsi="Arial"/>
          <w:sz w:val="13"/>
          <w:szCs w:val="13"/>
          <w:color w:val="auto"/>
        </w:rPr>
        <w:t>Net cash provided by investing activities in the six months ended June 30, 2021 was $9.4 million compared to $10.1 million in the six months ended June 30, 2020. Net cash provided by investing activities for the six months ended June 30, 2021 consisted of maturities of our marketable securities, net of purchases of $13.6 million, partially offset by purchases of property and equipment of $4.2 million primarily related to individual components in instrument sets as we anticipate increased case volumes. Net cash provided by investing activities for the six months ended June 30, 2020 consisted of maturities of our marketable securities, net of purchases of $11.3 million, partially offset by purchases of property and equipment of $1.3 million.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Cash Provided by Financing Activities</w:t>
      </w:r>
    </w:p>
    <w:p>
      <w:pPr>
        <w:spacing w:after="0" w:line="132" w:lineRule="exact"/>
        <w:rPr>
          <w:sz w:val="20"/>
          <w:szCs w:val="20"/>
          <w:color w:val="auto"/>
        </w:rPr>
      </w:pPr>
    </w:p>
    <w:p>
      <w:pPr>
        <w:jc w:val="both"/>
        <w:ind w:firstLine="332"/>
        <w:spacing w:after="0" w:line="270" w:lineRule="auto"/>
        <w:rPr>
          <w:sz w:val="20"/>
          <w:szCs w:val="20"/>
          <w:color w:val="auto"/>
        </w:rPr>
      </w:pPr>
      <w:r>
        <w:rPr>
          <w:rFonts w:ascii="Arial" w:cs="Arial" w:eastAsia="Arial" w:hAnsi="Arial"/>
          <w:sz w:val="13"/>
          <w:szCs w:val="13"/>
          <w:color w:val="auto"/>
        </w:rPr>
        <w:t>Cash provided by financing activities in the six months ended June 30, 2021 was $2.8 million compared to $62.9 million in the six months ended June 30, 2020. Cash provided by financing activities in the six months ended June 30, 2021 includes proceeds from the issuance of common stock under our stock-based incentive compensation plans of $2.8 million. This compares to the cash provided by financing activities for the six months ended June 30, 2020 which consisted of proceeds of $63.0 million from our follow-on public offering during the first quarter of 2020, and issuance of common stock under our stock-based incentive compensation plans of $1.4 million, offset by payments associated with refinancing of our debt of $1.4 million.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color w:val="auto"/>
        </w:rPr>
        <w:t>Critical Accounting Policies, Significant Judgments, and Use of Estimates</w:t>
      </w:r>
    </w:p>
    <w:p>
      <w:pPr>
        <w:spacing w:after="0" w:line="175" w:lineRule="exact"/>
        <w:rPr>
          <w:sz w:val="20"/>
          <w:szCs w:val="20"/>
          <w:color w:val="auto"/>
        </w:rPr>
      </w:pPr>
    </w:p>
    <w:p>
      <w:pPr>
        <w:jc w:val="both"/>
        <w:ind w:firstLine="332"/>
        <w:spacing w:after="0" w:line="267" w:lineRule="auto"/>
        <w:rPr>
          <w:sz w:val="20"/>
          <w:szCs w:val="20"/>
          <w:color w:val="auto"/>
        </w:rPr>
      </w:pPr>
      <w:r>
        <w:rPr>
          <w:rFonts w:ascii="Arial" w:cs="Arial" w:eastAsia="Arial" w:hAnsi="Arial"/>
          <w:sz w:val="13"/>
          <w:szCs w:val="13"/>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w:t>
      </w:r>
    </w:p>
    <w:p>
      <w:pPr>
        <w:spacing w:after="0" w:line="135" w:lineRule="exact"/>
        <w:rPr>
          <w:sz w:val="20"/>
          <w:szCs w:val="20"/>
          <w:color w:val="auto"/>
        </w:rPr>
      </w:pPr>
    </w:p>
    <w:p>
      <w:pPr>
        <w:jc w:val="both"/>
        <w:ind w:firstLine="332"/>
        <w:spacing w:after="0" w:line="260" w:lineRule="auto"/>
        <w:rPr>
          <w:sz w:val="20"/>
          <w:szCs w:val="20"/>
          <w:color w:val="auto"/>
        </w:rPr>
      </w:pPr>
      <w:r>
        <w:rPr>
          <w:rFonts w:ascii="Arial" w:cs="Arial" w:eastAsia="Arial" w:hAnsi="Arial"/>
          <w:sz w:val="13"/>
          <w:szCs w:val="13"/>
          <w:color w:val="auto"/>
        </w:rPr>
        <w:t>Our critical accounting policies and estimates are described in “Management's Discussion and Analysis of Financial Condition and Results of Operations - Critical Accounting Policies and Estimates” in our Annual Report on Form 10-K filed with the SEC on March 10, 2021. There had been no material changes to these accounting policies. See Note 2 of Notes to Condensed Consolidated Financial Statements (Unaudited) for related discussions on updates on recently issued accounting pronouncements.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175" w:lineRule="exact"/>
        <w:rPr>
          <w:sz w:val="20"/>
          <w:szCs w:val="20"/>
          <w:color w:val="auto"/>
        </w:rPr>
      </w:pPr>
    </w:p>
    <w:p>
      <w:pPr>
        <w:jc w:val="both"/>
        <w:ind w:firstLine="332"/>
        <w:spacing w:after="0" w:line="294" w:lineRule="auto"/>
        <w:rPr>
          <w:sz w:val="20"/>
          <w:szCs w:val="20"/>
          <w:color w:val="auto"/>
        </w:rPr>
      </w:pPr>
      <w:r>
        <w:rPr>
          <w:rFonts w:ascii="Arial" w:cs="Arial" w:eastAsia="Arial" w:hAnsi="Arial"/>
          <w:sz w:val="13"/>
          <w:szCs w:val="13"/>
          <w:color w:val="auto"/>
        </w:rPr>
        <w:t>We have no off-balance sheet arrangements that have, or are reasonably likely to have, a current or future effect on our financial condition, results of operations, liquidity, capital expenditures or capital resources that is material to investors.</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Seasonality</w:t>
      </w:r>
    </w:p>
    <w:p>
      <w:pPr>
        <w:spacing w:after="0" w:line="175" w:lineRule="exact"/>
        <w:rPr>
          <w:sz w:val="20"/>
          <w:szCs w:val="20"/>
          <w:color w:val="auto"/>
        </w:rPr>
      </w:pPr>
    </w:p>
    <w:p>
      <w:pPr>
        <w:jc w:val="both"/>
        <w:ind w:firstLine="332"/>
        <w:spacing w:after="0" w:line="294" w:lineRule="auto"/>
        <w:rPr>
          <w:sz w:val="20"/>
          <w:szCs w:val="20"/>
          <w:color w:val="auto"/>
        </w:rPr>
      </w:pPr>
      <w:r>
        <w:rPr>
          <w:rFonts w:ascii="Arial" w:cs="Arial" w:eastAsia="Arial" w:hAnsi="Arial"/>
          <w:sz w:val="13"/>
          <w:szCs w:val="13"/>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JOBS Act Accounting Election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2"/>
          <w:szCs w:val="12"/>
          <w:color w:val="auto"/>
        </w:rPr>
        <w:t>In April 2012, the JOBS Act was enacted. Section 107(b) of the JOBS Act provides that an “emerging growth company” can take advantage of the extended transition period provided in Section 7(a)(2)</w:t>
      </w:r>
    </w:p>
    <w:p>
      <w:pPr>
        <w:spacing w:after="0" w:line="15" w:lineRule="exact"/>
        <w:rPr>
          <w:sz w:val="20"/>
          <w:szCs w:val="20"/>
          <w:color w:val="auto"/>
        </w:rPr>
      </w:pPr>
    </w:p>
    <w:p>
      <w:pPr>
        <w:jc w:val="both"/>
        <w:ind w:firstLine="1"/>
        <w:spacing w:after="0" w:line="263" w:lineRule="auto"/>
        <w:tabs>
          <w:tab w:leader="none" w:pos="2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are not be subject to the same new or revised accounting standards as other public companies that are not emerging growth companies. Beginning in 2022 we will no longer be an emerging growth company and therefore will no longer be able to avail ourselves of this exemption.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See Note 2 of Notes to Condensed Consolidated Financial Statements (Unaudited) for related discussions on updates on recently issued accounting pronouncements not yet effective.</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As a “smaller reporting company,” we are not required to provide the information otherwise required by this Item.</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173" w:lineRule="exact"/>
        <w:rPr>
          <w:sz w:val="20"/>
          <w:szCs w:val="20"/>
          <w:color w:val="auto"/>
        </w:rPr>
      </w:pPr>
    </w:p>
    <w:p>
      <w:pPr>
        <w:jc w:val="both"/>
        <w:ind w:firstLine="302"/>
        <w:spacing w:after="0" w:line="276" w:lineRule="auto"/>
        <w:rPr>
          <w:sz w:val="20"/>
          <w:szCs w:val="20"/>
          <w:color w:val="auto"/>
        </w:rPr>
      </w:pPr>
      <w:r>
        <w:rPr>
          <w:rFonts w:ascii="Arial" w:cs="Arial" w:eastAsia="Arial" w:hAnsi="Arial"/>
          <w:sz w:val="13"/>
          <w:szCs w:val="13"/>
          <w:color w:val="auto"/>
        </w:rPr>
        <w:t>We maintain disclosure controls and procedures that are designed to ensure that information required to be disclosed in the reports that we file or submit pursuant to the Securities and Exchange Act of 1934 is (i) recorded, processed, summarized and reported within the time periods specified in the SEC’s rules and forms and (ii) accumulated and communicated to our management, including our principal executive officer and principal financial officer,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1234" w:right="319" w:bottom="1440" w:gutter="0" w:footer="0" w:header="0"/>
        </w:sectPr>
      </w:pPr>
    </w:p>
    <w:bookmarkStart w:id="34" w:name="page35"/>
    <w:bookmarkEnd w:id="34"/>
    <w:p>
      <w:pPr>
        <w:jc w:val="both"/>
        <w:ind w:firstLine="362"/>
        <w:spacing w:after="0" w:line="267" w:lineRule="auto"/>
        <w:rPr>
          <w:sz w:val="20"/>
          <w:szCs w:val="20"/>
          <w:color w:val="auto"/>
        </w:rPr>
      </w:pPr>
      <w:r>
        <w:rPr>
          <w:rFonts w:ascii="Arial" w:cs="Arial" w:eastAsia="Arial" w:hAnsi="Arial"/>
          <w:sz w:val="13"/>
          <w:szCs w:val="13"/>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35" w:lineRule="exact"/>
        <w:rPr>
          <w:sz w:val="20"/>
          <w:szCs w:val="20"/>
          <w:color w:val="auto"/>
        </w:rPr>
      </w:pPr>
    </w:p>
    <w:p>
      <w:pPr>
        <w:jc w:val="both"/>
        <w:ind w:firstLine="362"/>
        <w:spacing w:after="0" w:line="165" w:lineRule="exact"/>
        <w:rPr>
          <w:sz w:val="20"/>
          <w:szCs w:val="20"/>
          <w:color w:val="auto"/>
        </w:rPr>
      </w:pPr>
      <w:r>
        <w:rPr>
          <w:rFonts w:ascii="Arial" w:cs="Arial" w:eastAsia="Arial" w:hAnsi="Arial"/>
          <w:sz w:val="13"/>
          <w:szCs w:val="13"/>
          <w:color w:val="auto"/>
        </w:rPr>
        <w:t>As of June 30, 2021, our management, with the participation of our Chief Executive Officer (“CEO”) and our Chief Financial Officer (“CFO”), have evaluated our disclosure controls and procedures (as defined in Rules 13a</w:t>
      </w:r>
      <w:r>
        <w:rPr>
          <w:rFonts w:ascii="MS PGothic" w:cs="MS PGothic" w:eastAsia="MS PGothic" w:hAnsi="MS PGothic"/>
          <w:sz w:val="13"/>
          <w:szCs w:val="13"/>
          <w:color w:val="auto"/>
        </w:rPr>
        <w:t>‑</w:t>
      </w:r>
      <w:r>
        <w:rPr>
          <w:rFonts w:ascii="Arial" w:cs="Arial" w:eastAsia="Arial" w:hAnsi="Arial"/>
          <w:sz w:val="13"/>
          <w:szCs w:val="13"/>
          <w:color w:val="auto"/>
        </w:rPr>
        <w:t>15(e) and 15d</w:t>
      </w:r>
      <w:r>
        <w:rPr>
          <w:rFonts w:ascii="MS PGothic" w:cs="MS PGothic" w:eastAsia="MS PGothic" w:hAnsi="MS PGothic"/>
          <w:sz w:val="13"/>
          <w:szCs w:val="13"/>
          <w:color w:val="auto"/>
        </w:rPr>
        <w:t>‑</w:t>
      </w:r>
      <w:r>
        <w:rPr>
          <w:rFonts w:ascii="Arial" w:cs="Arial" w:eastAsia="Arial" w:hAnsi="Arial"/>
          <w:sz w:val="13"/>
          <w:szCs w:val="13"/>
          <w:color w:val="auto"/>
        </w:rPr>
        <w:t>15(e) under the Securities Exchange Act of 1934). Based on that evaluation, our CEO and our CFO have concluded that, as of June 30, 2021, our disclosure controls and procedures were effective at the reasonable assurance level.</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173" w:lineRule="exact"/>
        <w:rPr>
          <w:sz w:val="20"/>
          <w:szCs w:val="20"/>
          <w:color w:val="auto"/>
        </w:rPr>
      </w:pPr>
    </w:p>
    <w:p>
      <w:pPr>
        <w:jc w:val="both"/>
        <w:ind w:firstLine="362"/>
        <w:spacing w:after="0" w:line="276" w:lineRule="auto"/>
        <w:rPr>
          <w:sz w:val="20"/>
          <w:szCs w:val="20"/>
          <w:color w:val="auto"/>
        </w:rPr>
      </w:pPr>
      <w:r>
        <w:rPr>
          <w:rFonts w:ascii="Arial" w:cs="Arial" w:eastAsia="Arial" w:hAnsi="Arial"/>
          <w:sz w:val="13"/>
          <w:szCs w:val="13"/>
          <w:color w:val="auto"/>
        </w:rPr>
        <w:t>There were no changes in our internal control over financial reporting during the quarter ended June 30, 2021, that have materially affected, or are reasonably likely to materially affect, our internal control over financial reporting. In response to the COVID-19 pandemic, certain of our employees still continued to work remotely during the quarter. Management took measures to ensure that our internal control over financial reporting remained unchanged during this period.</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II—OTHER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Legal Proceedings</w:t>
      </w:r>
    </w:p>
    <w:p>
      <w:pPr>
        <w:spacing w:after="0" w:line="165" w:lineRule="exact"/>
        <w:rPr>
          <w:sz w:val="20"/>
          <w:szCs w:val="20"/>
          <w:color w:val="auto"/>
        </w:rPr>
      </w:pPr>
    </w:p>
    <w:p>
      <w:pPr>
        <w:jc w:val="both"/>
        <w:ind w:right="40" w:firstLine="362"/>
        <w:spacing w:after="0" w:line="244" w:lineRule="auto"/>
        <w:rPr>
          <w:sz w:val="20"/>
          <w:szCs w:val="20"/>
          <w:color w:val="auto"/>
        </w:rPr>
      </w:pPr>
      <w:r>
        <w:rPr>
          <w:rFonts w:ascii="Arial" w:cs="Arial" w:eastAsia="Arial" w:hAnsi="Arial"/>
          <w:sz w:val="13"/>
          <w:szCs w:val="13"/>
          <w:color w:val="auto"/>
        </w:rPr>
        <w:t>We are involved in various claims, complaints, investigations and legal actions that arise from time to time in the normal course of business, including commercial and employment matters. There are no matters pending that we currently believe are material. There can be no assurance that existing or future legal proceedings arising in the ordinary course of business or otherwise will not have a material adverse effect on our business, financial condition or results of operations.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color w:val="auto"/>
        </w:rPr>
        <w:t>Item 1A. Risk Factors</w:t>
      </w:r>
    </w:p>
    <w:p>
      <w:pPr>
        <w:spacing w:after="0" w:line="165" w:lineRule="exact"/>
        <w:rPr>
          <w:sz w:val="20"/>
          <w:szCs w:val="20"/>
          <w:color w:val="auto"/>
        </w:rPr>
      </w:pPr>
    </w:p>
    <w:p>
      <w:pPr>
        <w:jc w:val="both"/>
        <w:ind w:firstLine="332"/>
        <w:spacing w:after="0" w:line="251" w:lineRule="auto"/>
        <w:rPr>
          <w:sz w:val="20"/>
          <w:szCs w:val="20"/>
          <w:color w:val="auto"/>
        </w:rPr>
      </w:pPr>
      <w:r>
        <w:rPr>
          <w:rFonts w:ascii="Arial" w:cs="Arial" w:eastAsia="Arial" w:hAnsi="Arial"/>
          <w:sz w:val="13"/>
          <w:szCs w:val="13"/>
          <w:i w:val="1"/>
          <w:iCs w:val="1"/>
          <w:color w:val="auto"/>
        </w:rPr>
        <w:t>Investing in our common stock involves a high degree of risk. Investors should carefully consider the risks described below, as well as the other information in this Quarterly Report on Form 10-Q, including our condensed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 Factor Summary</w:t>
      </w:r>
    </w:p>
    <w:p>
      <w:pPr>
        <w:spacing w:after="0" w:line="165" w:lineRule="exact"/>
        <w:rPr>
          <w:sz w:val="20"/>
          <w:szCs w:val="20"/>
          <w:color w:val="auto"/>
        </w:rPr>
      </w:pPr>
    </w:p>
    <w:p>
      <w:pPr>
        <w:ind w:left="480" w:hanging="238"/>
        <w:spacing w:after="0"/>
        <w:tabs>
          <w:tab w:leader="none" w:pos="480" w:val="left"/>
        </w:tabs>
        <w:numPr>
          <w:ilvl w:val="0"/>
          <w:numId w:val="1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We have incurred significant operating losses since inception, we expect to continue to incur operating losses in the future, and we may not be able to achieve or sustain future profitability</w:t>
      </w:r>
      <w:r>
        <w:rPr>
          <w:rFonts w:ascii="Arial" w:cs="Arial" w:eastAsia="Arial" w:hAnsi="Arial"/>
          <w:sz w:val="12"/>
          <w:szCs w:val="12"/>
          <w:color w:val="auto"/>
        </w:rPr>
        <w:t>;</w:t>
      </w:r>
    </w:p>
    <w:p>
      <w:pPr>
        <w:spacing w:after="0" w:line="174" w:lineRule="exact"/>
        <w:rPr>
          <w:rFonts w:ascii="Arial" w:cs="Arial" w:eastAsia="Arial" w:hAnsi="Arial"/>
          <w:sz w:val="12"/>
          <w:szCs w:val="12"/>
          <w:b w:val="1"/>
          <w:bCs w:val="1"/>
          <w:i w:val="1"/>
          <w:iCs w:val="1"/>
          <w:color w:val="auto"/>
        </w:rPr>
      </w:pPr>
    </w:p>
    <w:p>
      <w:pPr>
        <w:ind w:left="480" w:hanging="238"/>
        <w:spacing w:after="0" w:line="277" w:lineRule="auto"/>
        <w:tabs>
          <w:tab w:leader="none" w:pos="477" w:val="left"/>
        </w:tabs>
        <w:numPr>
          <w:ilvl w:val="0"/>
          <w:numId w:val="1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Epidemic diseases, or the perception of their effects, may have (or, in the case of the COVID-19 pandemic, will continue to have during its duration) an adverse effect on our business, financial condition, results of operations, or cash flows</w:t>
      </w:r>
      <w:r>
        <w:rPr>
          <w:rFonts w:ascii="Arial" w:cs="Arial" w:eastAsia="Arial" w:hAnsi="Arial"/>
          <w:sz w:val="13"/>
          <w:szCs w:val="13"/>
          <w:color w:val="auto"/>
        </w:rPr>
        <w:t>;</w:t>
      </w:r>
    </w:p>
    <w:p>
      <w:pPr>
        <w:spacing w:after="0" w:line="118" w:lineRule="exact"/>
        <w:rPr>
          <w:rFonts w:ascii="Arial" w:cs="Arial" w:eastAsia="Arial" w:hAnsi="Arial"/>
          <w:sz w:val="13"/>
          <w:szCs w:val="13"/>
          <w:b w:val="1"/>
          <w:bCs w:val="1"/>
          <w:i w:val="1"/>
          <w:iCs w:val="1"/>
          <w:color w:val="auto"/>
        </w:rPr>
      </w:pPr>
    </w:p>
    <w:p>
      <w:pPr>
        <w:ind w:left="480" w:hanging="238"/>
        <w:spacing w:after="0" w:line="277" w:lineRule="auto"/>
        <w:tabs>
          <w:tab w:leader="none" w:pos="477" w:val="left"/>
        </w:tabs>
        <w:numPr>
          <w:ilvl w:val="0"/>
          <w:numId w:val="1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If hospitals, surgeons, and other healthcare providers are unable to obtain and maintain adequate or any coverage and reimbursement from third-party payors for procedures performed using our products, adoption of our products may be delayed, it is unlikely that they will gain further acceptance, and the prices paid for our implants may decline</w:t>
      </w:r>
      <w:r>
        <w:rPr>
          <w:rFonts w:ascii="Arial" w:cs="Arial" w:eastAsia="Arial" w:hAnsi="Arial"/>
          <w:sz w:val="13"/>
          <w:szCs w:val="13"/>
          <w:color w:val="auto"/>
        </w:rPr>
        <w:t>;</w:t>
      </w:r>
    </w:p>
    <w:p>
      <w:pPr>
        <w:spacing w:after="0" w:line="148" w:lineRule="exact"/>
        <w:rPr>
          <w:rFonts w:ascii="Arial" w:cs="Arial" w:eastAsia="Arial" w:hAnsi="Arial"/>
          <w:sz w:val="13"/>
          <w:szCs w:val="13"/>
          <w:b w:val="1"/>
          <w:bCs w:val="1"/>
          <w:i w:val="1"/>
          <w:iCs w:val="1"/>
          <w:color w:val="auto"/>
        </w:rPr>
      </w:pPr>
    </w:p>
    <w:p>
      <w:pPr>
        <w:ind w:left="480" w:hanging="238"/>
        <w:spacing w:after="0" w:line="239" w:lineRule="auto"/>
        <w:tabs>
          <w:tab w:leader="none" w:pos="476" w:val="left"/>
        </w:tabs>
        <w:numPr>
          <w:ilvl w:val="0"/>
          <w:numId w:val="12"/>
        </w:numPr>
        <w:rPr>
          <w:rFonts w:ascii="Arial" w:cs="Arial" w:eastAsia="Arial" w:hAnsi="Arial"/>
          <w:sz w:val="16"/>
          <w:szCs w:val="16"/>
          <w:color w:val="auto"/>
        </w:rPr>
      </w:pPr>
      <w:r>
        <w:rPr>
          <w:rFonts w:ascii="Arial" w:cs="Arial" w:eastAsia="Arial" w:hAnsi="Arial"/>
          <w:sz w:val="13"/>
          <w:szCs w:val="13"/>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r>
        <w:rPr>
          <w:rFonts w:ascii="Arial" w:cs="Arial" w:eastAsia="Arial" w:hAnsi="Arial"/>
          <w:sz w:val="13"/>
          <w:szCs w:val="13"/>
          <w:color w:val="auto"/>
        </w:rPr>
        <w:t>;</w:t>
      </w:r>
    </w:p>
    <w:p>
      <w:pPr>
        <w:spacing w:after="0" w:line="151" w:lineRule="exact"/>
        <w:rPr>
          <w:rFonts w:ascii="Arial" w:cs="Arial" w:eastAsia="Arial" w:hAnsi="Arial"/>
          <w:sz w:val="16"/>
          <w:szCs w:val="16"/>
          <w:color w:val="auto"/>
        </w:rPr>
      </w:pPr>
    </w:p>
    <w:p>
      <w:pPr>
        <w:ind w:left="480" w:right="380" w:hanging="238"/>
        <w:spacing w:after="0" w:line="277" w:lineRule="auto"/>
        <w:tabs>
          <w:tab w:leader="none" w:pos="477" w:val="left"/>
        </w:tabs>
        <w:numPr>
          <w:ilvl w:val="0"/>
          <w:numId w:val="12"/>
        </w:numPr>
        <w:rPr>
          <w:rFonts w:ascii="Arial" w:cs="Arial" w:eastAsia="Arial" w:hAnsi="Arial"/>
          <w:sz w:val="13"/>
          <w:szCs w:val="13"/>
          <w:color w:val="auto"/>
        </w:rPr>
      </w:pPr>
      <w:r>
        <w:rPr>
          <w:rFonts w:ascii="Arial" w:cs="Arial" w:eastAsia="Arial" w:hAnsi="Arial"/>
          <w:sz w:val="13"/>
          <w:szCs w:val="13"/>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r>
        <w:rPr>
          <w:rFonts w:ascii="Arial" w:cs="Arial" w:eastAsia="Arial" w:hAnsi="Arial"/>
          <w:sz w:val="13"/>
          <w:szCs w:val="13"/>
          <w:color w:val="auto"/>
        </w:rPr>
        <w:t>;</w:t>
      </w:r>
    </w:p>
    <w:p>
      <w:pPr>
        <w:spacing w:after="0" w:line="118" w:lineRule="exact"/>
        <w:rPr>
          <w:rFonts w:ascii="Arial" w:cs="Arial" w:eastAsia="Arial" w:hAnsi="Arial"/>
          <w:sz w:val="13"/>
          <w:szCs w:val="13"/>
          <w:color w:val="auto"/>
        </w:rPr>
      </w:pPr>
    </w:p>
    <w:p>
      <w:pPr>
        <w:ind w:left="480" w:hanging="238"/>
        <w:spacing w:after="0" w:line="277" w:lineRule="auto"/>
        <w:tabs>
          <w:tab w:leader="none" w:pos="477" w:val="left"/>
        </w:tabs>
        <w:numPr>
          <w:ilvl w:val="0"/>
          <w:numId w:val="1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Surgeons and payors may not find our clinical evidence to be compelling, which could limit our sales and revenue, and on-going and future research may prove our products to be less safe and effective than currently thought</w:t>
      </w:r>
      <w:r>
        <w:rPr>
          <w:rFonts w:ascii="Arial" w:cs="Arial" w:eastAsia="Arial" w:hAnsi="Arial"/>
          <w:sz w:val="13"/>
          <w:szCs w:val="13"/>
          <w:color w:val="auto"/>
        </w:rPr>
        <w:t>;</w:t>
      </w:r>
    </w:p>
    <w:p>
      <w:pPr>
        <w:spacing w:after="0" w:line="138" w:lineRule="exact"/>
        <w:rPr>
          <w:rFonts w:ascii="Arial" w:cs="Arial" w:eastAsia="Arial" w:hAnsi="Arial"/>
          <w:sz w:val="13"/>
          <w:szCs w:val="13"/>
          <w:b w:val="1"/>
          <w:bCs w:val="1"/>
          <w:i w:val="1"/>
          <w:iCs w:val="1"/>
          <w:color w:val="auto"/>
        </w:rPr>
      </w:pPr>
    </w:p>
    <w:p>
      <w:pPr>
        <w:ind w:left="480" w:hanging="238"/>
        <w:spacing w:after="0" w:line="239" w:lineRule="auto"/>
        <w:tabs>
          <w:tab w:leader="none" w:pos="476" w:val="left"/>
        </w:tabs>
        <w:numPr>
          <w:ilvl w:val="0"/>
          <w:numId w:val="12"/>
        </w:numPr>
        <w:rPr>
          <w:rFonts w:ascii="Arial" w:cs="Arial" w:eastAsia="Arial" w:hAnsi="Arial"/>
          <w:sz w:val="16"/>
          <w:szCs w:val="16"/>
          <w:color w:val="auto"/>
        </w:rPr>
      </w:pPr>
      <w:r>
        <w:rPr>
          <w:rFonts w:ascii="Arial" w:cs="Arial" w:eastAsia="Arial" w:hAnsi="Arial"/>
          <w:sz w:val="13"/>
          <w:szCs w:val="13"/>
          <w:b w:val="1"/>
          <w:bCs w:val="1"/>
          <w:i w:val="1"/>
          <w:iCs w:val="1"/>
          <w:color w:val="auto"/>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r>
        <w:rPr>
          <w:rFonts w:ascii="Arial" w:cs="Arial" w:eastAsia="Arial" w:hAnsi="Arial"/>
          <w:sz w:val="13"/>
          <w:szCs w:val="13"/>
          <w:color w:val="auto"/>
        </w:rPr>
        <w:t>;</w:t>
      </w:r>
    </w:p>
    <w:p>
      <w:pPr>
        <w:spacing w:after="0" w:line="161" w:lineRule="exact"/>
        <w:rPr>
          <w:rFonts w:ascii="Arial" w:cs="Arial" w:eastAsia="Arial" w:hAnsi="Arial"/>
          <w:sz w:val="16"/>
          <w:szCs w:val="16"/>
          <w:color w:val="auto"/>
        </w:rPr>
      </w:pPr>
    </w:p>
    <w:p>
      <w:pPr>
        <w:ind w:left="480" w:hanging="238"/>
        <w:spacing w:after="0" w:line="239" w:lineRule="auto"/>
        <w:tabs>
          <w:tab w:leader="none" w:pos="476" w:val="left"/>
        </w:tabs>
        <w:numPr>
          <w:ilvl w:val="0"/>
          <w:numId w:val="12"/>
        </w:numPr>
        <w:rPr>
          <w:rFonts w:ascii="Arial" w:cs="Arial" w:eastAsia="Arial" w:hAnsi="Arial"/>
          <w:sz w:val="16"/>
          <w:szCs w:val="16"/>
          <w:color w:val="auto"/>
        </w:rPr>
      </w:pPr>
      <w:r>
        <w:rPr>
          <w:rFonts w:ascii="Arial" w:cs="Arial" w:eastAsia="Arial" w:hAnsi="Arial"/>
          <w:sz w:val="13"/>
          <w:szCs w:val="13"/>
          <w:b w:val="1"/>
          <w:bCs w:val="1"/>
          <w:i w:val="1"/>
          <w:iCs w:val="1"/>
          <w:color w:val="auto"/>
        </w:rPr>
        <w:t>Practice trends or other factors, including the COVID-19 pandemic, may cause procedures to shift from the hospital environment to ambulatory surgical centers, or ASCs, where pressure on the prices of our products is generally more acute</w:t>
      </w:r>
      <w:r>
        <w:rPr>
          <w:rFonts w:ascii="Arial" w:cs="Arial" w:eastAsia="Arial" w:hAnsi="Arial"/>
          <w:sz w:val="13"/>
          <w:szCs w:val="13"/>
          <w:color w:val="auto"/>
        </w:rPr>
        <w:t>;</w:t>
      </w:r>
    </w:p>
    <w:p>
      <w:pPr>
        <w:spacing w:after="0" w:line="141" w:lineRule="exact"/>
        <w:rPr>
          <w:rFonts w:ascii="Arial" w:cs="Arial" w:eastAsia="Arial" w:hAnsi="Arial"/>
          <w:sz w:val="16"/>
          <w:szCs w:val="16"/>
          <w:color w:val="auto"/>
        </w:rPr>
      </w:pPr>
    </w:p>
    <w:p>
      <w:pPr>
        <w:ind w:left="480" w:hanging="238"/>
        <w:spacing w:after="0" w:line="277" w:lineRule="auto"/>
        <w:tabs>
          <w:tab w:leader="none" w:pos="477" w:val="left"/>
        </w:tabs>
        <w:numPr>
          <w:ilvl w:val="0"/>
          <w:numId w:val="12"/>
        </w:numPr>
        <w:rPr>
          <w:rFonts w:ascii="Arial" w:cs="Arial" w:eastAsia="Arial" w:hAnsi="Arial"/>
          <w:sz w:val="13"/>
          <w:szCs w:val="13"/>
          <w:color w:val="auto"/>
        </w:rPr>
      </w:pPr>
      <w:r>
        <w:rPr>
          <w:rFonts w:ascii="Arial" w:cs="Arial" w:eastAsia="Arial" w:hAnsi="Arial"/>
          <w:sz w:val="13"/>
          <w:szCs w:val="13"/>
          <w:b w:val="1"/>
          <w:bCs w:val="1"/>
          <w:i w:val="1"/>
          <w:iCs w:val="1"/>
          <w:color w:val="auto"/>
        </w:rPr>
        <w:t>We operate in a very competitive business environment and if we are unable to compete successfully against our existing or potential competitors, our sales and operating results may be adversely affected</w:t>
      </w:r>
      <w:r>
        <w:rPr>
          <w:rFonts w:ascii="Arial" w:cs="Arial" w:eastAsia="Arial" w:hAnsi="Arial"/>
          <w:sz w:val="13"/>
          <w:szCs w:val="13"/>
          <w:color w:val="auto"/>
        </w:rPr>
        <w:t>;</w:t>
      </w:r>
    </w:p>
    <w:p>
      <w:pPr>
        <w:spacing w:after="0" w:line="138" w:lineRule="exact"/>
        <w:rPr>
          <w:rFonts w:ascii="Arial" w:cs="Arial" w:eastAsia="Arial" w:hAnsi="Arial"/>
          <w:sz w:val="13"/>
          <w:szCs w:val="13"/>
          <w:color w:val="auto"/>
        </w:rPr>
      </w:pPr>
    </w:p>
    <w:p>
      <w:pPr>
        <w:ind w:left="480" w:hanging="238"/>
        <w:spacing w:after="0" w:line="239" w:lineRule="auto"/>
        <w:tabs>
          <w:tab w:leader="none" w:pos="476" w:val="left"/>
        </w:tabs>
        <w:numPr>
          <w:ilvl w:val="0"/>
          <w:numId w:val="12"/>
        </w:numPr>
        <w:rPr>
          <w:rFonts w:ascii="Arial" w:cs="Arial" w:eastAsia="Arial" w:hAnsi="Arial"/>
          <w:sz w:val="16"/>
          <w:szCs w:val="16"/>
          <w:color w:val="auto"/>
        </w:rPr>
      </w:pPr>
      <w:r>
        <w:rPr>
          <w:rFonts w:ascii="Arial" w:cs="Arial" w:eastAsia="Arial" w:hAnsi="Arial"/>
          <w:sz w:val="13"/>
          <w:szCs w:val="13"/>
          <w:b w:val="1"/>
          <w:bCs w:val="1"/>
          <w:i w:val="1"/>
          <w:iCs w:val="1"/>
          <w:color w:val="auto"/>
        </w:rPr>
        <w:t>We currently manufacture and sell a single family of products focused on procedures, the goal of which is to stabilize and fuse the sacroiliac joint. Reliance on a single family of products and single family of procedures could negatively affect our results of operations and financial condition</w:t>
      </w:r>
      <w:r>
        <w:rPr>
          <w:rFonts w:ascii="Arial" w:cs="Arial" w:eastAsia="Arial" w:hAnsi="Arial"/>
          <w:sz w:val="13"/>
          <w:szCs w:val="13"/>
          <w:color w:val="auto"/>
        </w:rPr>
        <w:t>;</w:t>
      </w:r>
    </w:p>
    <w:p>
      <w:pPr>
        <w:spacing w:after="0" w:line="161" w:lineRule="exact"/>
        <w:rPr>
          <w:rFonts w:ascii="Arial" w:cs="Arial" w:eastAsia="Arial" w:hAnsi="Arial"/>
          <w:sz w:val="16"/>
          <w:szCs w:val="16"/>
          <w:color w:val="auto"/>
        </w:rPr>
      </w:pPr>
    </w:p>
    <w:p>
      <w:pPr>
        <w:ind w:left="480" w:hanging="238"/>
        <w:spacing w:after="0" w:line="239" w:lineRule="auto"/>
        <w:tabs>
          <w:tab w:leader="none" w:pos="476" w:val="left"/>
        </w:tabs>
        <w:numPr>
          <w:ilvl w:val="0"/>
          <w:numId w:val="12"/>
        </w:numPr>
        <w:rPr>
          <w:rFonts w:ascii="Arial" w:cs="Arial" w:eastAsia="Arial" w:hAnsi="Arial"/>
          <w:sz w:val="16"/>
          <w:szCs w:val="16"/>
          <w:color w:val="auto"/>
        </w:rPr>
      </w:pPr>
      <w:r>
        <w:rPr>
          <w:rFonts w:ascii="Arial" w:cs="Arial" w:eastAsia="Arial" w:hAnsi="Arial"/>
          <w:sz w:val="13"/>
          <w:szCs w:val="13"/>
          <w:b w:val="1"/>
          <w:bCs w:val="1"/>
          <w:i w:val="1"/>
          <w:iCs w:val="1"/>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r>
        <w:rPr>
          <w:rFonts w:ascii="Arial" w:cs="Arial" w:eastAsia="Arial" w:hAnsi="Arial"/>
          <w:sz w:val="13"/>
          <w:szCs w:val="13"/>
          <w:color w:val="auto"/>
        </w:rPr>
        <w:t>;</w:t>
      </w:r>
    </w:p>
    <w:p>
      <w:pPr>
        <w:spacing w:after="0" w:line="141" w:lineRule="exact"/>
        <w:rPr>
          <w:rFonts w:ascii="Arial" w:cs="Arial" w:eastAsia="Arial" w:hAnsi="Arial"/>
          <w:sz w:val="16"/>
          <w:szCs w:val="16"/>
          <w:color w:val="auto"/>
        </w:rPr>
      </w:pPr>
    </w:p>
    <w:p>
      <w:pPr>
        <w:ind w:left="480" w:hanging="238"/>
        <w:spacing w:after="0"/>
        <w:tabs>
          <w:tab w:leader="none" w:pos="480" w:val="left"/>
        </w:tabs>
        <w:numPr>
          <w:ilvl w:val="0"/>
          <w:numId w:val="1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If we are unable to maintain our network of direct sales representatives and third-party distributors, we may not be able to generate anticipated sales</w:t>
      </w:r>
      <w:r>
        <w:rPr>
          <w:rFonts w:ascii="Arial" w:cs="Arial" w:eastAsia="Arial" w:hAnsi="Arial"/>
          <w:sz w:val="13"/>
          <w:szCs w:val="13"/>
          <w:color w:val="auto"/>
        </w:rPr>
        <w: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1275" w:right="319" w:bottom="1440" w:gutter="0" w:footer="0" w:header="0"/>
        </w:sectPr>
      </w:pPr>
    </w:p>
    <w:bookmarkStart w:id="36" w:name="page37"/>
    <w:bookmarkEnd w:id="36"/>
    <w:p>
      <w:pPr>
        <w:ind w:left="480" w:hanging="238"/>
        <w:spacing w:after="0" w:line="321" w:lineRule="auto"/>
        <w:tabs>
          <w:tab w:leader="none" w:pos="477" w:val="left"/>
        </w:tabs>
        <w:numPr>
          <w:ilvl w:val="0"/>
          <w:numId w:val="1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r>
        <w:rPr>
          <w:rFonts w:ascii="Arial" w:cs="Arial" w:eastAsia="Arial" w:hAnsi="Arial"/>
          <w:sz w:val="12"/>
          <w:szCs w:val="12"/>
          <w:color w:val="auto"/>
        </w:rPr>
        <w:t>;</w:t>
      </w:r>
    </w:p>
    <w:p>
      <w:pPr>
        <w:spacing w:after="0" w:line="94" w:lineRule="exact"/>
        <w:rPr>
          <w:rFonts w:ascii="Arial" w:cs="Arial" w:eastAsia="Arial" w:hAnsi="Arial"/>
          <w:sz w:val="12"/>
          <w:szCs w:val="12"/>
          <w:b w:val="1"/>
          <w:bCs w:val="1"/>
          <w:i w:val="1"/>
          <w:iCs w:val="1"/>
          <w:color w:val="auto"/>
        </w:rPr>
      </w:pPr>
    </w:p>
    <w:p>
      <w:pPr>
        <w:ind w:left="480" w:hanging="238"/>
        <w:spacing w:after="0" w:line="277" w:lineRule="auto"/>
        <w:tabs>
          <w:tab w:leader="none" w:pos="477" w:val="left"/>
        </w:tabs>
        <w:numPr>
          <w:ilvl w:val="0"/>
          <w:numId w:val="1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We, our suppliers, and our third-party manufacturers are subject to extensive governmental regulation both in the U.S. and abroad, and failure to comply with applicable requirements could cause our business to suffer</w:t>
      </w:r>
      <w:r>
        <w:rPr>
          <w:rFonts w:ascii="Arial" w:cs="Arial" w:eastAsia="Arial" w:hAnsi="Arial"/>
          <w:sz w:val="13"/>
          <w:szCs w:val="13"/>
          <w:color w:val="auto"/>
        </w:rPr>
        <w:t>;</w:t>
      </w:r>
    </w:p>
    <w:p>
      <w:pPr>
        <w:spacing w:after="0" w:line="138" w:lineRule="exact"/>
        <w:rPr>
          <w:rFonts w:ascii="Arial" w:cs="Arial" w:eastAsia="Arial" w:hAnsi="Arial"/>
          <w:sz w:val="13"/>
          <w:szCs w:val="13"/>
          <w:b w:val="1"/>
          <w:bCs w:val="1"/>
          <w:i w:val="1"/>
          <w:iCs w:val="1"/>
          <w:color w:val="auto"/>
        </w:rPr>
      </w:pPr>
    </w:p>
    <w:p>
      <w:pPr>
        <w:ind w:left="480" w:hanging="238"/>
        <w:spacing w:after="0" w:line="239" w:lineRule="auto"/>
        <w:tabs>
          <w:tab w:leader="none" w:pos="476" w:val="left"/>
        </w:tabs>
        <w:numPr>
          <w:ilvl w:val="0"/>
          <w:numId w:val="13"/>
        </w:numPr>
        <w:rPr>
          <w:rFonts w:ascii="Arial" w:cs="Arial" w:eastAsia="Arial" w:hAnsi="Arial"/>
          <w:sz w:val="16"/>
          <w:szCs w:val="16"/>
          <w:color w:val="auto"/>
        </w:rPr>
      </w:pPr>
      <w:r>
        <w:rPr>
          <w:rFonts w:ascii="Arial" w:cs="Arial" w:eastAsia="Arial" w:hAnsi="Arial"/>
          <w:sz w:val="13"/>
          <w:szCs w:val="13"/>
          <w:b w:val="1"/>
          <w:bCs w:val="1"/>
          <w:i w:val="1"/>
          <w:iCs w:val="1"/>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r>
        <w:rPr>
          <w:rFonts w:ascii="Arial" w:cs="Arial" w:eastAsia="Arial" w:hAnsi="Arial"/>
          <w:sz w:val="13"/>
          <w:szCs w:val="13"/>
          <w:color w:val="auto"/>
        </w:rPr>
        <w:t>;</w:t>
      </w:r>
    </w:p>
    <w:p>
      <w:pPr>
        <w:spacing w:after="0" w:line="141" w:lineRule="exact"/>
        <w:rPr>
          <w:rFonts w:ascii="Arial" w:cs="Arial" w:eastAsia="Arial" w:hAnsi="Arial"/>
          <w:sz w:val="16"/>
          <w:szCs w:val="16"/>
          <w:color w:val="auto"/>
        </w:rPr>
      </w:pPr>
    </w:p>
    <w:p>
      <w:pPr>
        <w:ind w:left="480" w:hanging="238"/>
        <w:spacing w:after="0" w:line="277" w:lineRule="auto"/>
        <w:tabs>
          <w:tab w:leader="none" w:pos="477" w:val="left"/>
        </w:tabs>
        <w:numPr>
          <w:ilvl w:val="0"/>
          <w:numId w:val="1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r>
        <w:rPr>
          <w:rFonts w:ascii="Arial" w:cs="Arial" w:eastAsia="Arial" w:hAnsi="Arial"/>
          <w:sz w:val="13"/>
          <w:szCs w:val="13"/>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Business and Our Industry</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174" w:lineRule="exact"/>
        <w:rPr>
          <w:sz w:val="20"/>
          <w:szCs w:val="20"/>
          <w:color w:val="auto"/>
        </w:rPr>
      </w:pPr>
    </w:p>
    <w:p>
      <w:pPr>
        <w:jc w:val="both"/>
        <w:ind w:firstLine="332"/>
        <w:spacing w:after="0" w:line="246" w:lineRule="auto"/>
        <w:rPr>
          <w:sz w:val="20"/>
          <w:szCs w:val="20"/>
          <w:color w:val="auto"/>
        </w:rPr>
      </w:pPr>
      <w:r>
        <w:rPr>
          <w:rFonts w:ascii="Arial" w:cs="Arial" w:eastAsia="Arial" w:hAnsi="Arial"/>
          <w:sz w:val="13"/>
          <w:szCs w:val="13"/>
          <w:color w:val="auto"/>
        </w:rPr>
        <w:t>We have incurred net losses since our inception in 2008. For the six months ended June 30, 2021, we had a net loss of $26.2 million. For the years ended December 31, 2020 and 2019, we had net losses of $43.7 million and $38.4 million, respectively. As of June 30, 2021, we had an accumulated deficit of $265.5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and even if we are able to do so, our ability to do so has been delayed by the COVID-19 pandemic. We expect that our operating expenses will continue to increase as we continue to build our commercial infrastructure, develop, enhance, and commercialize our existing and new products.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41" w:lineRule="exact"/>
        <w:rPr>
          <w:sz w:val="20"/>
          <w:szCs w:val="20"/>
          <w:color w:val="auto"/>
        </w:rPr>
      </w:pPr>
    </w:p>
    <w:p>
      <w:pPr>
        <w:jc w:val="both"/>
        <w:ind w:firstLine="362"/>
        <w:spacing w:after="0" w:line="247" w:lineRule="auto"/>
        <w:rPr>
          <w:sz w:val="20"/>
          <w:szCs w:val="20"/>
          <w:color w:val="auto"/>
        </w:rPr>
      </w:pPr>
      <w:r>
        <w:rPr>
          <w:rFonts w:ascii="Arial" w:cs="Arial" w:eastAsia="Arial" w:hAnsi="Arial"/>
          <w:sz w:val="13"/>
          <w:szCs w:val="13"/>
          <w:color w:val="auto"/>
        </w:rPr>
        <w:t>Our expected future capital requirements may depend on many factors including expanding our surgeon base, the expansion of our sales force, and the timing and extent of spending on the development of our technology to increase our product offerings. We may need additional funding to fund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37" w:name="page38"/>
    <w:bookmarkEnd w:id="37"/>
    <w:p>
      <w:pPr>
        <w:jc w:val="both"/>
        <w:ind w:firstLine="302"/>
        <w:spacing w:after="0" w:line="277" w:lineRule="auto"/>
        <w:rPr>
          <w:sz w:val="20"/>
          <w:szCs w:val="20"/>
          <w:color w:val="auto"/>
        </w:rPr>
      </w:pPr>
      <w:r>
        <w:rPr>
          <w:rFonts w:ascii="Arial" w:cs="Arial" w:eastAsia="Arial" w:hAnsi="Arial"/>
          <w:sz w:val="13"/>
          <w:szCs w:val="13"/>
          <w:b w:val="1"/>
          <w:bCs w:val="1"/>
          <w:i w:val="1"/>
          <w:iCs w:val="1"/>
          <w:color w:val="auto"/>
        </w:rPr>
        <w:t>Epidemic diseases, or the perception of their effects, may have (or, in the case of the COVID-19 pandemic, will continue to have during its duration) an adverse effect on our business, financial condition, results of operations, or cash flows.</w:t>
      </w:r>
    </w:p>
    <w:p>
      <w:pPr>
        <w:spacing w:after="0" w:line="118" w:lineRule="exact"/>
        <w:rPr>
          <w:sz w:val="20"/>
          <w:szCs w:val="20"/>
          <w:color w:val="auto"/>
        </w:rPr>
      </w:pPr>
    </w:p>
    <w:p>
      <w:pPr>
        <w:jc w:val="both"/>
        <w:ind w:firstLine="332"/>
        <w:spacing w:after="0" w:line="269" w:lineRule="auto"/>
        <w:rPr>
          <w:sz w:val="20"/>
          <w:szCs w:val="20"/>
          <w:color w:val="auto"/>
        </w:rPr>
      </w:pPr>
      <w:r>
        <w:rPr>
          <w:rFonts w:ascii="Arial" w:cs="Arial" w:eastAsia="Arial" w:hAnsi="Arial"/>
          <w:sz w:val="12"/>
          <w:szCs w:val="12"/>
          <w:color w:val="auto"/>
        </w:rPr>
        <w:t>Outbreaks of infectious diseases, such as COVID-19, and historically, the Ebola virus, Middle East Respiratory Syndrome, Severe Acute Respiratory Syndrome, or the H1N1 influenza virus, could divert medical resources and priorities towards the treatment of that disease. An outbreak of an infectious disease, or continued escalation of the outbreak of COVID-19 could also negatively affect hospital admission rates and the decision by patients to undergo elective surgery, which could decrease demand for procedures using our iFuse implants and cause other disruptions to our business. Business disruptions could include disruptions or restrictions on our ability to travel or to distribute our products, government orders suspending the performance of elective surgical procedures such as the iFuse procedure, inability of our customers to meet their financial commitments due to strain on the healthcare system, as well as temporary closures of our facilities or the facilities of our suppliers and their contract manufacturers, and a reduction in the business hours of hospitals and ambulatory surgery centers.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an economic downturn that could affect demand for our products. Any of these events could negatively impact the number of procedures using our iFuse implants that are performed and have a material adverse effect on our business, financial condition, results of operations, or cash flows.</w:t>
      </w:r>
    </w:p>
    <w:p>
      <w:pPr>
        <w:spacing w:after="0" w:line="138" w:lineRule="exact"/>
        <w:rPr>
          <w:sz w:val="20"/>
          <w:szCs w:val="20"/>
          <w:color w:val="auto"/>
        </w:rPr>
      </w:pPr>
    </w:p>
    <w:p>
      <w:pPr>
        <w:ind w:firstLine="332"/>
        <w:spacing w:after="0" w:line="252" w:lineRule="auto"/>
        <w:rPr>
          <w:sz w:val="20"/>
          <w:szCs w:val="20"/>
          <w:color w:val="auto"/>
        </w:rPr>
      </w:pPr>
      <w:r>
        <w:rPr>
          <w:rFonts w:ascii="Arial" w:cs="Arial" w:eastAsia="Arial" w:hAnsi="Arial"/>
          <w:sz w:val="12"/>
          <w:szCs w:val="12"/>
          <w:color w:val="auto"/>
        </w:rPr>
        <w:t>To date, COVID-19 has had, and we expect will continue to have, an adverse impact on our operations as a result of preventive and precautionary measures that we, other businesses, health systems and governments are taking. Due to these impacts and measures, we have experienced and expect to continue to experience significant and unpredictable reductions in the demand for our products, negatively impacted hospital admission rates and the decision by patients to undergo elective surgery, each of which has decreased and may continue to impact the demand for procedures using our iFuse implants. These developments and effects are expected to continue and may also significantly affect our business across the United States and other countries where COVID-19 has spread and may continue to spread. There are numerous uncertainties associated with this COVID-19 outbreak, including the number of individuals who will become infected, the effectiveness of vaccines or one or more therapies that mitigate the effect of the virus, the availability of vaccines and the vaccination rates in the U.S. and worldwide, the emergence of variants of the COVID-19 virus, the extent of the protective and preventative measures that have been put in place by both governmental entities and other businesses and those that may be put in place in the future, the effect that testing for COVID-19 and antibodies will enable relaxation of protective measures for a subset of the population, and numerous other uncertainties. We intend to continue to execute on our strategic plans and operational initiatives during the COVID-19 outbreak. However, the aforementioned uncertainties may result in delays or modifications to these plans and initiatives.</w:t>
      </w:r>
    </w:p>
    <w:p>
      <w:pPr>
        <w:spacing w:after="0" w:line="156" w:lineRule="exact"/>
        <w:rPr>
          <w:sz w:val="20"/>
          <w:szCs w:val="20"/>
          <w:color w:val="auto"/>
        </w:rPr>
      </w:pPr>
    </w:p>
    <w:p>
      <w:pPr>
        <w:jc w:val="both"/>
        <w:ind w:firstLine="332"/>
        <w:spacing w:after="0" w:line="277" w:lineRule="auto"/>
        <w:rPr>
          <w:sz w:val="20"/>
          <w:szCs w:val="20"/>
          <w:color w:val="auto"/>
        </w:rPr>
      </w:pPr>
      <w:r>
        <w:rPr>
          <w:rFonts w:ascii="Arial" w:cs="Arial" w:eastAsia="Arial" w:hAnsi="Arial"/>
          <w:sz w:val="13"/>
          <w:szCs w:val="13"/>
          <w:color w:val="auto"/>
        </w:rPr>
        <w:t>Existing travel restrictions, and the risk that countries may continue to close borders, impose prolonged quarantines, and further restrict travel, limit our ability to reach surgeons with our goal of increasing surgeon activity by providing education and support.</w:t>
      </w:r>
    </w:p>
    <w:p>
      <w:pPr>
        <w:spacing w:after="0" w:line="138" w:lineRule="exact"/>
        <w:rPr>
          <w:sz w:val="20"/>
          <w:szCs w:val="20"/>
          <w:color w:val="auto"/>
        </w:rPr>
      </w:pPr>
    </w:p>
    <w:p>
      <w:pPr>
        <w:jc w:val="both"/>
        <w:ind w:firstLine="332"/>
        <w:spacing w:after="0" w:line="249" w:lineRule="auto"/>
        <w:rPr>
          <w:sz w:val="20"/>
          <w:szCs w:val="20"/>
          <w:color w:val="auto"/>
        </w:rPr>
      </w:pPr>
      <w:r>
        <w:rPr>
          <w:rFonts w:ascii="Arial" w:cs="Arial" w:eastAsia="Arial" w:hAnsi="Arial"/>
          <w:sz w:val="13"/>
          <w:szCs w:val="13"/>
          <w:color w:val="auto"/>
        </w:rPr>
        <w:t>In addition, the COVID-19 pandemic has adversely affected, and may continue to adversely affect, the economies and financial markets of many countries, which may result in a period of regional, national, and global economic slowdown or regional, national, or global recessions that could curtail or delay spending by hospitals and affect demand for our products as well as increase risk of customer defaults or delays in payments. These market disruptions could impair our ability to raise capital, should our business experience a prolonged period of reduced revenue requiring additional capital to sustain the business. COVID-19 and the current financial, economic, and capital markets environment, and future developments in these and other areas present material uncertainty and risk with respect to our performance, financial condition, results of operations, and cash flows. Due to the uncertain scope and duration of the pandemic and uncertain timing of global recovery and economic normalization, we are unable to estimate the long-term impacts on our operations and financial results.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existence and further duration of the COVID-19 pandemic may also further exacerbate certain of the risks as described in this “Item 1A - Risk Factors” of this Quarterly Report on Form 10-Q.”</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3"/>
          <w:szCs w:val="13"/>
          <w:b w:val="1"/>
          <w:bCs w:val="1"/>
          <w:i w:val="1"/>
          <w:iCs w:val="1"/>
          <w:color w:val="auto"/>
        </w:rPr>
        <w:t>If hospitals, surgeons, and other healthcare providers are unable to obtain and maintain adequate or any coverage and reimbursement from third-party payors for procedures performed using our products, adoption of our products may be delayed, it is unlikely that they will gain further acceptance, and the prices paid for our implants may decline.</w:t>
      </w:r>
    </w:p>
    <w:p>
      <w:pPr>
        <w:spacing w:after="0" w:line="118" w:lineRule="exact"/>
        <w:rPr>
          <w:sz w:val="20"/>
          <w:szCs w:val="20"/>
          <w:color w:val="auto"/>
        </w:rPr>
      </w:pPr>
    </w:p>
    <w:p>
      <w:pPr>
        <w:jc w:val="both"/>
        <w:ind w:firstLine="302"/>
        <w:spacing w:after="0" w:line="277" w:lineRule="auto"/>
        <w:rPr>
          <w:sz w:val="20"/>
          <w:szCs w:val="20"/>
          <w:color w:val="auto"/>
        </w:rPr>
      </w:pPr>
      <w:r>
        <w:rPr>
          <w:rFonts w:ascii="Arial" w:cs="Arial" w:eastAsia="Arial" w:hAnsi="Arial"/>
          <w:sz w:val="12"/>
          <w:szCs w:val="12"/>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 When an iFuse procedure is performed, both the surgeon and the healthcare facility, either a hospital or ambulatory surgical center, submit claims for reimbursement to the healthcare payor. We may be unable to sell our products on a profitable basis if third-party payors deny coverage or reduce their current levels of payment, or if reimbursement levels are insufficient to support use of our products by healthcare facilities or to compensate surgeons for their time spent diagnosing patients and performing procedures using our products.</w:t>
      </w:r>
    </w:p>
    <w:p>
      <w:pPr>
        <w:spacing w:after="0" w:line="140" w:lineRule="exact"/>
        <w:rPr>
          <w:sz w:val="20"/>
          <w:szCs w:val="20"/>
          <w:color w:val="auto"/>
        </w:rPr>
      </w:pPr>
    </w:p>
    <w:p>
      <w:pPr>
        <w:jc w:val="both"/>
        <w:ind w:firstLine="302"/>
        <w:spacing w:after="0" w:line="260" w:lineRule="auto"/>
        <w:rPr>
          <w:sz w:val="20"/>
          <w:szCs w:val="20"/>
          <w:color w:val="auto"/>
        </w:rPr>
      </w:pPr>
      <w:r>
        <w:rPr>
          <w:rFonts w:ascii="Arial" w:cs="Arial" w:eastAsia="Arial" w:hAnsi="Arial"/>
          <w:sz w:val="13"/>
          <w:szCs w:val="13"/>
          <w:color w:val="auto"/>
        </w:rPr>
        <w:t>While all Medicare Administrative Contractors are regularly reimbursing for minimally invasive sacroiliac joint fusion, some private payors still have policies that treat the procedure as experimental or investigational and do not regularly reimburse for the procedure. Future action by the Centers for Medicare &amp; Medicaid Services (“CMS”) or third-party payors may further reduce the availability of payments to physicians, outpatient surgery centers, and/or hospitals for procedures using our products.</w:t>
      </w:r>
    </w:p>
    <w:p>
      <w:pPr>
        <w:spacing w:after="0" w:line="148" w:lineRule="exact"/>
        <w:rPr>
          <w:sz w:val="20"/>
          <w:szCs w:val="20"/>
          <w:color w:val="auto"/>
        </w:rPr>
      </w:pPr>
    </w:p>
    <w:p>
      <w:pPr>
        <w:jc w:val="both"/>
        <w:ind w:firstLine="302"/>
        <w:spacing w:after="0" w:line="248" w:lineRule="auto"/>
        <w:rPr>
          <w:sz w:val="20"/>
          <w:szCs w:val="20"/>
          <w:color w:val="auto"/>
        </w:rPr>
      </w:pPr>
      <w:r>
        <w:rPr>
          <w:rFonts w:ascii="Arial" w:cs="Arial" w:eastAsia="Arial" w:hAnsi="Arial"/>
          <w:sz w:val="13"/>
          <w:szCs w:val="13"/>
          <w:color w:val="auto"/>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chose to cover. For example, several Blue Cross Blue Shield payors have adopted policies that treat 3D-printed orthopedic implants that come in standard sizes, rather than customized to the patient’s anatomy, such as our iFuse-3D implant, as experimental and investigational and therefore not eligible for reimbursement. There can be no guarantee that we will be able to provide the scientific and clinical data necessary to overcome these policies. Such policies may contribute to a decrease in sales of our iFuse-3D implants.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157" w:lineRule="exact"/>
        <w:rPr>
          <w:sz w:val="20"/>
          <w:szCs w:val="20"/>
          <w:color w:val="auto"/>
        </w:rPr>
      </w:pPr>
    </w:p>
    <w:p>
      <w:pPr>
        <w:jc w:val="both"/>
        <w:ind w:firstLine="302"/>
        <w:spacing w:after="0" w:line="251" w:lineRule="auto"/>
        <w:rPr>
          <w:sz w:val="20"/>
          <w:szCs w:val="20"/>
          <w:color w:val="auto"/>
        </w:rPr>
      </w:pPr>
      <w:r>
        <w:rPr>
          <w:rFonts w:ascii="Arial" w:cs="Arial" w:eastAsia="Arial" w:hAnsi="Arial"/>
          <w:sz w:val="13"/>
          <w:szCs w:val="13"/>
          <w:color w:val="auto"/>
        </w:rPr>
        <w:t>We believe that some surgeons may continue to view the Medicare and commercial reimbursement amounts as insufficient for the procedure, given the work effort involved with the procedure, including the time to diagnose the patient and obtain prior authorization from the patient’s health insurer if necessary. We believe that some private payors apply their own coverage policies and criteria inconsistently, and surgeons may not be able to consistently have minimally invasive sacroiliac fusions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adversely affect our revenues.</w:t>
      </w:r>
    </w:p>
    <w:p>
      <w:pPr>
        <w:spacing w:after="0" w:line="155" w:lineRule="exact"/>
        <w:rPr>
          <w:sz w:val="20"/>
          <w:szCs w:val="20"/>
          <w:color w:val="auto"/>
        </w:rPr>
      </w:pPr>
    </w:p>
    <w:p>
      <w:pPr>
        <w:jc w:val="both"/>
        <w:ind w:firstLine="332"/>
        <w:spacing w:after="0" w:line="246" w:lineRule="auto"/>
        <w:rPr>
          <w:sz w:val="20"/>
          <w:szCs w:val="20"/>
          <w:color w:val="auto"/>
        </w:rPr>
      </w:pPr>
      <w:r>
        <w:rPr>
          <w:rFonts w:ascii="Arial" w:cs="Arial" w:eastAsia="Arial" w:hAnsi="Arial"/>
          <w:sz w:val="13"/>
          <w:szCs w:val="13"/>
          <w:color w:val="auto"/>
        </w:rPr>
        <w:t>Recent political, economic, and regulatory influences are subjecting the healthcare industry to fundamental changes that can impact coverage and reimbursement from third-party payors. We expect that the Patient Protection and Affordable Care Act, as amended by the Health Care and Education Reconciliation Act of 2011, as currently enacted or as it may be amended in the future, and other healthcare reform measures that may be adopted in the future, could have a material adverse effect on our industry generally and on our ability to maintain or increase sales of our existing products. CMS budget neutrality requirements may impose cuts to the Medicare physician fee schedule, which may be mitigated by acts of Congress or other changes to regulations. Other federal laws, known as budget sequestration, further reduce Medicare’s payments to providers by two percent through 2030. However, COVID-19 relief support legislation suspended the 2% Medicare reductions from May 1, 2020 through March 31, 2021, which was extended through December 31, 2021. These reductions may reduce reimbursement for procedures performed using our products, which could potentially negatively impact our revenue, and may reduce providers’ revenues or profits, which could affect their ability to purchase new technologies. Both the federal and state governments in the U.S.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 which could adversely affect our business, results of operations and financial condition.</w:t>
      </w:r>
    </w:p>
    <w:p>
      <w:pPr>
        <w:spacing w:after="0" w:line="159"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3"/>
          <w:szCs w:val="13"/>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39" w:name="page40"/>
    <w:bookmarkEnd w:id="39"/>
    <w:p>
      <w:pPr>
        <w:jc w:val="both"/>
        <w:spacing w:after="0" w:line="294" w:lineRule="auto"/>
        <w:rPr>
          <w:sz w:val="20"/>
          <w:szCs w:val="20"/>
          <w:color w:val="auto"/>
        </w:rPr>
      </w:pPr>
      <w:r>
        <w:rPr>
          <w:rFonts w:ascii="Arial" w:cs="Arial" w:eastAsia="Arial" w:hAnsi="Arial"/>
          <w:sz w:val="13"/>
          <w:szCs w:val="13"/>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17" w:lineRule="exact"/>
        <w:rPr>
          <w:sz w:val="20"/>
          <w:szCs w:val="20"/>
          <w:color w:val="auto"/>
        </w:rPr>
      </w:pPr>
    </w:p>
    <w:p>
      <w:pPr>
        <w:jc w:val="both"/>
        <w:ind w:firstLine="332"/>
        <w:spacing w:after="0" w:line="248" w:lineRule="auto"/>
        <w:rPr>
          <w:sz w:val="20"/>
          <w:szCs w:val="20"/>
          <w:color w:val="auto"/>
        </w:rPr>
      </w:pPr>
      <w:r>
        <w:rPr>
          <w:rFonts w:ascii="Arial" w:cs="Arial" w:eastAsia="Arial" w:hAnsi="Arial"/>
          <w:sz w:val="13"/>
          <w:szCs w:val="13"/>
          <w:color w:val="auto"/>
        </w:rPr>
        <w:t>As of June 30, 2021, more than 35 of the largest 65 U.S. payors that we track and target have issued positive coverage policies covering the patented triangular design of our iFuse implants and excluding coverage of other products that are intended to fuse the sacroiliac joint because of the clinical evidence supporting the use of iFuse and the lack of clinical evidence supporting the use of other products. We believe that payors have adopted these exclusive coverage decisions due to the strength of our clinical evidence and in part due to recommendations of specialty benefit managers and healthcare technology assessment organizations. Clinical trials of the type and size necessary to offer evidence of the safety and efficacy of competing products could be performed and could show that other products for sacroiliac joint fusion are as effective as, or more effective than, iFuse. Payors could also abandon their decisions to cover iFuse exclusively for other reasons. If healthcare payors covering a significant number of covered lives reverse their policies of covering minimally invasive sacroiliac joint fusion exclusively when performed with the iFuse system, sales of our iFuse implants could decline or fail to grow, which could adversely affect our business, results of operations and financial condition.</w:t>
      </w:r>
    </w:p>
    <w:p>
      <w:pPr>
        <w:spacing w:after="0" w:line="137" w:lineRule="exact"/>
        <w:rPr>
          <w:sz w:val="20"/>
          <w:szCs w:val="20"/>
          <w:color w:val="auto"/>
        </w:rPr>
      </w:pPr>
    </w:p>
    <w:p>
      <w:pPr>
        <w:ind w:right="420"/>
        <w:spacing w:after="0" w:line="277" w:lineRule="auto"/>
        <w:rPr>
          <w:sz w:val="20"/>
          <w:szCs w:val="20"/>
          <w:color w:val="auto"/>
        </w:rPr>
      </w:pPr>
      <w:r>
        <w:rPr>
          <w:rFonts w:ascii="Arial" w:cs="Arial" w:eastAsia="Arial" w:hAnsi="Arial"/>
          <w:sz w:val="13"/>
          <w:szCs w:val="13"/>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118" w:lineRule="exact"/>
        <w:rPr>
          <w:sz w:val="20"/>
          <w:szCs w:val="20"/>
          <w:color w:val="auto"/>
        </w:rPr>
      </w:pPr>
    </w:p>
    <w:p>
      <w:pPr>
        <w:jc w:val="both"/>
        <w:ind w:firstLine="332"/>
        <w:spacing w:after="0" w:line="260" w:lineRule="auto"/>
        <w:rPr>
          <w:sz w:val="20"/>
          <w:szCs w:val="20"/>
          <w:color w:val="auto"/>
        </w:rPr>
      </w:pPr>
      <w:r>
        <w:rPr>
          <w:rFonts w:ascii="Arial" w:cs="Arial" w:eastAsia="Arial" w:hAnsi="Arial"/>
          <w:sz w:val="13"/>
          <w:szCs w:val="13"/>
          <w:color w:val="auto"/>
        </w:rPr>
        <w:t>Surgeons, in consultation with their patients, play the primary role in determining the course of treatment and, ultimately, any product that will be used in treatment. In order for us to sell our iFuse system successfully, we must demonstrate to surgeons through education and training that treatment with iFuse is beneficial, safe, and cost-effective for patients as compared to our competitors’ products. If we are not successful in demonstrating the merits of iFuse to surgeons, their use of our products may decline, adversely affecting our revenues and profitability.</w:t>
      </w:r>
    </w:p>
    <w:p>
      <w:pPr>
        <w:spacing w:after="0" w:line="148" w:lineRule="exact"/>
        <w:rPr>
          <w:sz w:val="20"/>
          <w:szCs w:val="20"/>
          <w:color w:val="auto"/>
        </w:rPr>
      </w:pPr>
    </w:p>
    <w:p>
      <w:pPr>
        <w:jc w:val="both"/>
        <w:ind w:firstLine="332"/>
        <w:spacing w:after="0" w:line="254" w:lineRule="auto"/>
        <w:rPr>
          <w:sz w:val="20"/>
          <w:szCs w:val="20"/>
          <w:color w:val="auto"/>
        </w:rPr>
      </w:pPr>
      <w:r>
        <w:rPr>
          <w:rFonts w:ascii="Arial" w:cs="Arial" w:eastAsia="Arial" w:hAnsi="Arial"/>
          <w:sz w:val="13"/>
          <w:szCs w:val="13"/>
          <w:color w:val="auto"/>
        </w:rPr>
        <w:t>Historically, most spine surgeons did not include an evaluation of the sacroiliac joint in their diagnostic work-up because they did not have an adequate surgical procedure to perform for patients diagnosed with sacroiliac joint dysfunction. We believe that educating surgeons and other healthcare professionals about the clinical merits and patient benefits of iFuse is an important element of building our business. If we fail to effectively educate surgeons and other medical professionals, they may not include a sacroiliac joint evaluation as part of their diagnosis and, as a result, those patients may continue to receive unnecessary surgical procedures or only non-surgical treatment.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Surgeons may also hesitate to change their medical treatment practices for other reasons, including the following:</w:t>
      </w:r>
    </w:p>
    <w:p>
      <w:pPr>
        <w:spacing w:after="0" w:line="22" w:lineRule="exact"/>
        <w:rPr>
          <w:sz w:val="20"/>
          <w:szCs w:val="20"/>
          <w:color w:val="auto"/>
        </w:rPr>
      </w:pPr>
    </w:p>
    <w:p>
      <w:pPr>
        <w:ind w:left="760" w:hanging="95"/>
        <w:spacing w:after="0"/>
        <w:tabs>
          <w:tab w:leader="none" w:pos="7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lack of experience with minimally invasive procedures;</w:t>
      </w:r>
    </w:p>
    <w:p>
      <w:pPr>
        <w:spacing w:after="0" w:line="31" w:lineRule="exact"/>
        <w:rPr>
          <w:rFonts w:ascii="Arial" w:cs="Arial" w:eastAsia="Arial" w:hAnsi="Arial"/>
          <w:sz w:val="13"/>
          <w:szCs w:val="13"/>
          <w:color w:val="auto"/>
        </w:rPr>
      </w:pPr>
    </w:p>
    <w:p>
      <w:pPr>
        <w:ind w:left="760" w:hanging="95"/>
        <w:spacing w:after="0"/>
        <w:tabs>
          <w:tab w:leader="none" w:pos="7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perceived liability risks generally associated with the use of new products and procedures;</w:t>
      </w:r>
    </w:p>
    <w:p>
      <w:pPr>
        <w:spacing w:after="0" w:line="31" w:lineRule="exact"/>
        <w:rPr>
          <w:rFonts w:ascii="Arial" w:cs="Arial" w:eastAsia="Arial" w:hAnsi="Arial"/>
          <w:sz w:val="13"/>
          <w:szCs w:val="13"/>
          <w:color w:val="auto"/>
        </w:rPr>
      </w:pPr>
    </w:p>
    <w:p>
      <w:pPr>
        <w:ind w:left="760" w:hanging="95"/>
        <w:spacing w:after="0"/>
        <w:tabs>
          <w:tab w:leader="none" w:pos="7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costs associated with the purchase of new products; and</w:t>
      </w:r>
    </w:p>
    <w:p>
      <w:pPr>
        <w:spacing w:after="0" w:line="31" w:lineRule="exact"/>
        <w:rPr>
          <w:rFonts w:ascii="Arial" w:cs="Arial" w:eastAsia="Arial" w:hAnsi="Arial"/>
          <w:sz w:val="13"/>
          <w:szCs w:val="13"/>
          <w:color w:val="auto"/>
        </w:rPr>
      </w:pPr>
    </w:p>
    <w:p>
      <w:pPr>
        <w:ind w:left="760" w:hanging="95"/>
        <w:spacing w:after="0"/>
        <w:tabs>
          <w:tab w:leader="none" w:pos="7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time commitment that may be required for training.</w:t>
      </w:r>
    </w:p>
    <w:p>
      <w:pPr>
        <w:spacing w:after="0" w:line="193" w:lineRule="exact"/>
        <w:rPr>
          <w:sz w:val="20"/>
          <w:szCs w:val="20"/>
          <w:color w:val="auto"/>
        </w:rPr>
      </w:pPr>
    </w:p>
    <w:p>
      <w:pPr>
        <w:jc w:val="both"/>
        <w:ind w:firstLine="332"/>
        <w:spacing w:after="0" w:line="260" w:lineRule="auto"/>
        <w:rPr>
          <w:sz w:val="20"/>
          <w:szCs w:val="20"/>
          <w:color w:val="auto"/>
        </w:rPr>
      </w:pPr>
      <w:r>
        <w:rPr>
          <w:rFonts w:ascii="Arial" w:cs="Arial" w:eastAsia="Arial" w:hAnsi="Arial"/>
          <w:sz w:val="13"/>
          <w:szCs w:val="13"/>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their benefits. If we are unable to provide that data, surgeons may not use our products. In such circumstances, we may not achieve expected sales and may be unable to achieve profitability.</w:t>
      </w:r>
    </w:p>
    <w:p>
      <w:pPr>
        <w:spacing w:after="0" w:line="148" w:lineRule="exact"/>
        <w:rPr>
          <w:sz w:val="20"/>
          <w:szCs w:val="20"/>
          <w:color w:val="auto"/>
        </w:rPr>
      </w:pPr>
    </w:p>
    <w:p>
      <w:pPr>
        <w:jc w:val="both"/>
        <w:ind w:firstLine="332"/>
        <w:spacing w:after="0" w:line="272" w:lineRule="auto"/>
        <w:rPr>
          <w:sz w:val="20"/>
          <w:szCs w:val="20"/>
          <w:color w:val="auto"/>
        </w:rPr>
      </w:pPr>
      <w:r>
        <w:rPr>
          <w:rFonts w:ascii="Arial" w:cs="Arial" w:eastAsia="Arial" w:hAnsi="Arial"/>
          <w:sz w:val="12"/>
          <w:szCs w:val="12"/>
          <w:color w:val="auto"/>
        </w:rPr>
        <w:t>Many patients with sacroiliac joint dysfunction are cared for by pain physicians, who are generally trained as anesthesiologists or physical medicine and rehabilitation specialists. Pain physicians often offer a variety of non-surgical and surgical interventions to sacroiliac joint dysfunction patients, including, but not limited to, steroid injections, radiofrequency ablation of the nerves serving the sacroiliac joint and implantation of neurostimulation devices, allografts, and other products intended to treat the sacroiliac joint or the pain it can cause. Our professional education program seeks to teach pain physicians, and other health care providers, about the benefits of iFuse, in order to prompt these providers to refer their patients with sacroiliac joint dysfunction to surgeons who have been trained to perform the iFuse procedure. These providers may, however, prefer to continue to treat these patients with the interventions they offer. If we are unable to demonstrate to potential referring health care providers of the comparative benefits of iFuse, and we are therefore unable to prompt sufficient numbers of these providers to refer their patients with sacroiliac joint dysfunction for treatment by surgeons trained to perform the iFuse procedure, sales of our iFuse implants could decline or fail to grow, which could adversely affect our business, results of operations and financial condition.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773" w:right="31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3"/>
          <w:szCs w:val="13"/>
          <w:b w:val="1"/>
          <w:bCs w:val="1"/>
          <w:i w:val="1"/>
          <w:iCs w:val="1"/>
          <w:color w:val="auto"/>
        </w:rPr>
        <w:t>Surgeons and payors may not find our clinical evidence to be compelling, which could limit our sales and revenue, and on-going and future research may prove our products to be less safe and effective than currently thought.</w:t>
      </w:r>
    </w:p>
    <w:p>
      <w:pPr>
        <w:spacing w:after="0" w:line="118" w:lineRule="exact"/>
        <w:rPr>
          <w:sz w:val="20"/>
          <w:szCs w:val="20"/>
          <w:color w:val="auto"/>
        </w:rPr>
      </w:pPr>
    </w:p>
    <w:p>
      <w:pPr>
        <w:jc w:val="both"/>
        <w:ind w:firstLine="332"/>
        <w:spacing w:after="0" w:line="271" w:lineRule="auto"/>
        <w:rPr>
          <w:sz w:val="20"/>
          <w:szCs w:val="20"/>
          <w:color w:val="auto"/>
        </w:rPr>
      </w:pPr>
      <w:r>
        <w:rPr>
          <w:rFonts w:ascii="Arial" w:cs="Arial" w:eastAsia="Arial" w:hAnsi="Arial"/>
          <w:sz w:val="12"/>
          <w:szCs w:val="12"/>
          <w:color w:val="auto"/>
        </w:rPr>
        <w:t>The products we currently market in the United States have either received premarket clearance under Section 510(k) of the United States. Federal Food, Drug, and Cosmetic Act (“FDCA”), or are exempt from premarket review. Those marketed in the European Union (“EU”) have been the subject of a CE Certificate of Conformity. The 510(k) clearance process of the U.S. Food and Drug Administration (“FDA”) requires us to document that our product is “substantially equivalent” to another 510(k)-cleared product. The 510(k) process is shorter and typically requires the submission of less supporting documentation than other FDA approval processes, such as a premarket approval (“PMA”), and does not usually require pre-clinical or clinical studies.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3"/>
          <w:szCs w:val="13"/>
          <w:b w:val="1"/>
          <w:bCs w:val="1"/>
          <w:i w:val="1"/>
          <w:iCs w:val="1"/>
          <w:color w:val="auto"/>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p>
    <w:p>
      <w:pPr>
        <w:spacing w:after="0" w:line="138" w:lineRule="exact"/>
        <w:rPr>
          <w:sz w:val="20"/>
          <w:szCs w:val="20"/>
          <w:color w:val="auto"/>
        </w:rPr>
      </w:pPr>
    </w:p>
    <w:p>
      <w:pPr>
        <w:jc w:val="both"/>
        <w:ind w:firstLine="332"/>
        <w:spacing w:after="0" w:line="260" w:lineRule="auto"/>
        <w:rPr>
          <w:sz w:val="20"/>
          <w:szCs w:val="20"/>
          <w:color w:val="auto"/>
        </w:rPr>
      </w:pPr>
      <w:r>
        <w:rPr>
          <w:rFonts w:ascii="Arial" w:cs="Arial" w:eastAsia="Arial" w:hAnsi="Arial"/>
          <w:sz w:val="13"/>
          <w:szCs w:val="13"/>
          <w:color w:val="auto"/>
        </w:rPr>
        <w:t>If competitive forces drive down the prices we are able to charge for our product, our profit margins will shrink, which will adversely affect our ability to invest in and maintain and grow our market share.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48" w:lineRule="exact"/>
        <w:rPr>
          <w:sz w:val="20"/>
          <w:szCs w:val="20"/>
          <w:color w:val="auto"/>
        </w:rPr>
      </w:pPr>
    </w:p>
    <w:p>
      <w:pPr>
        <w:jc w:val="both"/>
        <w:ind w:firstLine="332"/>
        <w:spacing w:after="0" w:line="277" w:lineRule="auto"/>
        <w:rPr>
          <w:sz w:val="20"/>
          <w:szCs w:val="20"/>
          <w:color w:val="auto"/>
        </w:rPr>
      </w:pPr>
      <w:r>
        <w:rPr>
          <w:rFonts w:ascii="Arial" w:cs="Arial" w:eastAsia="Arial" w:hAnsi="Arial"/>
          <w:sz w:val="13"/>
          <w:szCs w:val="13"/>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down and harm our ability to market and sell our products.</w:t>
      </w:r>
    </w:p>
    <w:p>
      <w:pPr>
        <w:spacing w:after="0" w:line="138" w:lineRule="exact"/>
        <w:rPr>
          <w:sz w:val="20"/>
          <w:szCs w:val="20"/>
          <w:color w:val="auto"/>
        </w:rPr>
      </w:pPr>
    </w:p>
    <w:p>
      <w:pPr>
        <w:jc w:val="both"/>
        <w:ind w:firstLine="332"/>
        <w:spacing w:after="0" w:line="245" w:lineRule="auto"/>
        <w:rPr>
          <w:sz w:val="20"/>
          <w:szCs w:val="20"/>
          <w:color w:val="auto"/>
        </w:rPr>
      </w:pPr>
      <w:r>
        <w:rPr>
          <w:rFonts w:ascii="Arial" w:cs="Arial" w:eastAsia="Arial" w:hAnsi="Arial"/>
          <w:sz w:val="13"/>
          <w:szCs w:val="13"/>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 Physician-owned distributorships (“POD”) are medical device distributors that are owned, directly or indirectly, by physicians. These physicians profit from selling or arranging the sale of medical devices for use in procedures they perform on their own patients at hospitals that purchase the devices from the POD. We do not engage with PODs. The proliferation of PODs could result in increased pricing pressure on our products or harm our ability to sell our products to physicians who own or are affiliated with those distributorships and therefore choose to use competing products.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3"/>
          <w:szCs w:val="13"/>
          <w:b w:val="1"/>
          <w:bCs w:val="1"/>
          <w:i w:val="1"/>
          <w:iCs w:val="1"/>
          <w:color w:val="auto"/>
        </w:rPr>
        <w:t>Practice trends or other factors, including the COVID-19 pandemic, may cause procedures to shift from the hospital environment to ambulatory surgical centers, or ASCs, where pressure on the prices of our products is generally more acute.</w:t>
      </w:r>
    </w:p>
    <w:p>
      <w:pPr>
        <w:spacing w:after="0" w:line="138" w:lineRule="exact"/>
        <w:rPr>
          <w:sz w:val="20"/>
          <w:szCs w:val="20"/>
          <w:color w:val="auto"/>
        </w:rPr>
      </w:pPr>
    </w:p>
    <w:p>
      <w:pPr>
        <w:jc w:val="both"/>
        <w:ind w:firstLine="332"/>
        <w:spacing w:after="0" w:line="249" w:lineRule="auto"/>
        <w:rPr>
          <w:sz w:val="20"/>
          <w:szCs w:val="20"/>
          <w:color w:val="auto"/>
        </w:rPr>
      </w:pPr>
      <w:r>
        <w:rPr>
          <w:rFonts w:ascii="Arial" w:cs="Arial" w:eastAsia="Arial" w:hAnsi="Arial"/>
          <w:sz w:val="13"/>
          <w:szCs w:val="13"/>
          <w:color w:val="auto"/>
        </w:rPr>
        <w:t>To protect health care professionals involved in surgical care and their patients, we anticipate that more outpatient eligible procedures will be performed in ASCs during the COVID-19 pandemic, and as its acuity declines and the healthcare system returns to a more normalized state. Since patients do not stay overnight in ASCs and COVID-19 patients would not otherwise be treated in ASCs, it is likely that the ASC will be viewed as a safer site of service for patients and health care providers, where the risk of transmission of the novel coronavirus can be more effectively controlled. Because ASC facility fee reimbursement is typically less than facility fee reimbursement for hospitals, we typically experience more pressure on the pricing of our products by ASCs than by hospitals, and the average price for which we sell our products to ASCs is less than the average prices we charge to hospitals. An accelerated shift of procedures using our products to ASCs as a result of the COVID-19 pandemic could adversely impact the average selling prices of our products and our revenues could suffer as a result.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41" w:name="page42"/>
    <w:bookmarkEnd w:id="41"/>
    <w:p>
      <w:pPr>
        <w:spacing w:after="0"/>
        <w:rPr>
          <w:sz w:val="20"/>
          <w:szCs w:val="20"/>
          <w:color w:val="auto"/>
        </w:rPr>
      </w:pPr>
      <w:r>
        <w:rPr>
          <w:rFonts w:ascii="Arial" w:cs="Arial" w:eastAsia="Arial" w:hAnsi="Arial"/>
          <w:sz w:val="11"/>
          <w:szCs w:val="11"/>
          <w:b w:val="1"/>
          <w:bCs w:val="1"/>
          <w:i w:val="1"/>
          <w:iCs w:val="1"/>
          <w:color w:val="auto"/>
        </w:rPr>
        <w:t>We operate in a very competitive business environment and if we are unable to compete successfully against our existing or potential competitors, our sales and operating results may be adversely affected.</w:t>
      </w:r>
    </w:p>
    <w:p>
      <w:pPr>
        <w:spacing w:after="0" w:line="186" w:lineRule="exact"/>
        <w:rPr>
          <w:sz w:val="20"/>
          <w:szCs w:val="20"/>
          <w:color w:val="auto"/>
        </w:rPr>
      </w:pPr>
    </w:p>
    <w:p>
      <w:pPr>
        <w:jc w:val="both"/>
        <w:ind w:firstLine="332"/>
        <w:spacing w:after="0" w:line="282" w:lineRule="auto"/>
        <w:rPr>
          <w:sz w:val="20"/>
          <w:szCs w:val="20"/>
          <w:color w:val="auto"/>
        </w:rPr>
      </w:pPr>
      <w:r>
        <w:rPr>
          <w:rFonts w:ascii="Arial" w:cs="Arial" w:eastAsia="Arial" w:hAnsi="Arial"/>
          <w:sz w:val="12"/>
          <w:szCs w:val="12"/>
          <w:color w:val="auto"/>
        </w:rPr>
        <w:t>Our currently marketed products are, and any future products we commercialize will likely be, subject to intense competition. Our field is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137" w:lineRule="exact"/>
        <w:rPr>
          <w:sz w:val="20"/>
          <w:szCs w:val="20"/>
          <w:color w:val="auto"/>
        </w:rPr>
      </w:pPr>
    </w:p>
    <w:p>
      <w:pPr>
        <w:jc w:val="both"/>
        <w:ind w:firstLine="332"/>
        <w:spacing w:after="0" w:line="271" w:lineRule="auto"/>
        <w:rPr>
          <w:sz w:val="20"/>
          <w:szCs w:val="20"/>
          <w:color w:val="auto"/>
        </w:rPr>
      </w:pPr>
      <w:r>
        <w:rPr>
          <w:rFonts w:ascii="Arial" w:cs="Arial" w:eastAsia="Arial" w:hAnsi="Arial"/>
          <w:sz w:val="12"/>
          <w:szCs w:val="12"/>
          <w:color w:val="auto"/>
        </w:rPr>
        <w:t>The number of competitors that we are aware of marketing sacroiliac joint fusion products in the United States has grown from zero to more than 20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conditions affecting the spine and pelvis. The ability of these competitors to sell these products together or as part of larger purchasing arrangements may put us at a disadvantage. In addition, if these competitors use technology, contracts, or intellectual property measures to limit or eliminate the compatibility of their surgical imaging, navigation and robotic systems with our products, sales of our products could decline or fail to grow, which could adversely affect our business and results of operations.</w:t>
      </w:r>
    </w:p>
    <w:p>
      <w:pPr>
        <w:spacing w:after="0" w:line="145" w:lineRule="exact"/>
        <w:rPr>
          <w:sz w:val="20"/>
          <w:szCs w:val="20"/>
          <w:color w:val="auto"/>
        </w:rPr>
      </w:pPr>
    </w:p>
    <w:p>
      <w:pPr>
        <w:jc w:val="both"/>
        <w:ind w:firstLine="332"/>
        <w:spacing w:after="0" w:line="251" w:lineRule="auto"/>
        <w:rPr>
          <w:sz w:val="20"/>
          <w:szCs w:val="20"/>
          <w:color w:val="auto"/>
        </w:rPr>
      </w:pPr>
      <w:r>
        <w:rPr>
          <w:rFonts w:ascii="Arial" w:cs="Arial" w:eastAsia="Arial" w:hAnsi="Arial"/>
          <w:sz w:val="13"/>
          <w:szCs w:val="13"/>
          <w:color w:val="auto"/>
        </w:rPr>
        <w:t>In the United States, we believe that our primary competitors currently are Medtronic plc and Globus Medical, Inc. Our primary competitors in Europe are Globus Medical, Inc. and SIGNUS Medizintechnik GmbH. At any time, these or other industry participants may develop alternative treatments, products or procedures for the treatment of the sacroiliac joint that compete directly or indirectly with our products. The may also develop and patent processes or products earlier than we can, or obtain domestic and international regulatory clearances or approvals and CE Certificates of Conformity for competing products in the European Economic Area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32"/>
        <w:spacing w:after="0" w:line="254" w:lineRule="auto"/>
        <w:rPr>
          <w:sz w:val="20"/>
          <w:szCs w:val="20"/>
          <w:color w:val="auto"/>
        </w:rPr>
      </w:pPr>
      <w:r>
        <w:rPr>
          <w:rFonts w:ascii="Arial" w:cs="Arial" w:eastAsia="Arial" w:hAnsi="Arial"/>
          <w:sz w:val="13"/>
          <w:szCs w:val="13"/>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current or planned future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52" w:lineRule="exact"/>
        <w:rPr>
          <w:sz w:val="20"/>
          <w:szCs w:val="20"/>
          <w:color w:val="auto"/>
        </w:rPr>
      </w:pPr>
    </w:p>
    <w:p>
      <w:pPr>
        <w:jc w:val="both"/>
        <w:ind w:firstLine="332"/>
        <w:spacing w:after="0" w:line="321" w:lineRule="auto"/>
        <w:rPr>
          <w:sz w:val="20"/>
          <w:szCs w:val="20"/>
          <w:color w:val="auto"/>
        </w:rPr>
      </w:pPr>
      <w:r>
        <w:rPr>
          <w:rFonts w:ascii="Arial" w:cs="Arial" w:eastAsia="Arial" w:hAnsi="Arial"/>
          <w:sz w:val="12"/>
          <w:szCs w:val="12"/>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market share or product margins could decrease, thereby harming our business.</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b w:val="1"/>
          <w:bCs w:val="1"/>
          <w:i w:val="1"/>
          <w:iCs w:val="1"/>
          <w:color w:val="auto"/>
        </w:rPr>
        <w:t>We currently manufacture and sell a single family of products focused on procedures, the goal of which is to stabilize and fuse the sacroiliac joint. Reliance on a single family of products and single family of procedures could negatively affect our results of operations and financial condition.</w:t>
      </w:r>
    </w:p>
    <w:p>
      <w:pPr>
        <w:spacing w:after="0" w:line="138" w:lineRule="exact"/>
        <w:rPr>
          <w:sz w:val="20"/>
          <w:szCs w:val="20"/>
          <w:color w:val="auto"/>
        </w:rPr>
      </w:pPr>
    </w:p>
    <w:p>
      <w:pPr>
        <w:jc w:val="both"/>
        <w:ind w:firstLine="332"/>
        <w:spacing w:after="0" w:line="254" w:lineRule="auto"/>
        <w:rPr>
          <w:sz w:val="20"/>
          <w:szCs w:val="20"/>
          <w:color w:val="auto"/>
        </w:rPr>
      </w:pPr>
      <w:r>
        <w:rPr>
          <w:rFonts w:ascii="Arial" w:cs="Arial" w:eastAsia="Arial" w:hAnsi="Arial"/>
          <w:sz w:val="13"/>
          <w:szCs w:val="13"/>
          <w:color w:val="auto"/>
        </w:rPr>
        <w:t>Substantially all of our revenue comes from the sale of iFuse-3D and iFuse implants, and related tools and instruments. Therefore, we are dependent on widespread market adoption of iFuse and we will continue to be dependent on the success of this single product family for some time. There can be no assurance that iFuse will maintain a substantial degree of market acceptance among surgeons, patients or healthcare providers. Our failure to successfully grow the market for iFuse and increase our share within that market or any other event impeding our ability to sell iFuse, could adversely affect our results of operations, financial condition and continuing operations.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3"/>
          <w:szCs w:val="13"/>
          <w:b w:val="1"/>
          <w:bCs w:val="1"/>
          <w:i w:val="1"/>
          <w:iCs w:val="1"/>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138" w:lineRule="exact"/>
        <w:rPr>
          <w:sz w:val="20"/>
          <w:szCs w:val="20"/>
          <w:color w:val="auto"/>
        </w:rPr>
      </w:pPr>
    </w:p>
    <w:p>
      <w:pPr>
        <w:jc w:val="both"/>
        <w:ind w:firstLine="332"/>
        <w:spacing w:after="0" w:line="284" w:lineRule="auto"/>
        <w:rPr>
          <w:sz w:val="20"/>
          <w:szCs w:val="20"/>
          <w:color w:val="auto"/>
        </w:rPr>
      </w:pPr>
      <w:r>
        <w:rPr>
          <w:rFonts w:ascii="Arial" w:cs="Arial" w:eastAsia="Arial" w:hAnsi="Arial"/>
          <w:sz w:val="13"/>
          <w:szCs w:val="13"/>
          <w:color w:val="auto"/>
        </w:rPr>
        <w:t>In November 2018, we introduced our iFuse Bedrock technique, in which spine surgeons place iFuse implants across the sacroiliac joint using a different surgical approach to treat sacroiliac joint dysfunction at the same time they are fusing multiple levels of the spine above and affixing those spinal fusion devices to the pelvis. In April 2019, the FDA cleared promotion of iFuse Bedrock for a broader and more general purpose, to provide additional stability and immobilization of the sacroiliac joint in connection with a</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42" w:name="page43"/>
    <w:bookmarkEnd w:id="42"/>
    <w:p>
      <w:pPr>
        <w:jc w:val="both"/>
        <w:spacing w:after="0" w:line="275" w:lineRule="auto"/>
        <w:rPr>
          <w:sz w:val="20"/>
          <w:szCs w:val="20"/>
          <w:color w:val="auto"/>
        </w:rPr>
      </w:pPr>
      <w:r>
        <w:rPr>
          <w:rFonts w:ascii="Arial" w:cs="Arial" w:eastAsia="Arial" w:hAnsi="Arial"/>
          <w:sz w:val="13"/>
          <w:szCs w:val="13"/>
          <w:color w:val="auto"/>
        </w:rPr>
        <w:t>thoracolumbar fusion procedure. To date, clinical experience with the iFuse Bedrock technique is limited and we have yet to complete a clinical trial to evaluate the iFuse Bedrock technique. Surgeons do not know if the addition of iFuse implants to the implants used to fuse multiple levels of the lumbar spine will result in patient benefit. If surgeons' clinical experience with iFuse Bedrock is not positive, or if our clinical trials do not show meaningful benefits to the patients undergoing this procedure, sale of our iFuse implants for this indication could be adversely impacted, which could negatively affect our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maintain our network of direct sales representatives and third-party distributors, we may not be able to generate anticipated sales.</w:t>
      </w:r>
    </w:p>
    <w:p>
      <w:pPr>
        <w:spacing w:after="0" w:line="163" w:lineRule="exact"/>
        <w:rPr>
          <w:sz w:val="20"/>
          <w:szCs w:val="20"/>
          <w:color w:val="auto"/>
        </w:rPr>
      </w:pPr>
    </w:p>
    <w:p>
      <w:pPr>
        <w:jc w:val="both"/>
        <w:ind w:firstLine="332"/>
        <w:spacing w:after="0" w:line="260" w:lineRule="auto"/>
        <w:rPr>
          <w:sz w:val="20"/>
          <w:szCs w:val="20"/>
          <w:color w:val="auto"/>
        </w:rPr>
      </w:pPr>
      <w:r>
        <w:rPr>
          <w:rFonts w:ascii="Arial" w:cs="Arial" w:eastAsia="Arial" w:hAnsi="Arial"/>
          <w:sz w:val="13"/>
          <w:szCs w:val="13"/>
          <w:color w:val="auto"/>
        </w:rPr>
        <w:t>As of June 30, 2021, our U.S. sales force consisted of 74 territory sales managers and 59 clinical support specialists directly employed by us, and 48 third-party distributors. As of June 30, 2021, our international sales force consisted of 21 sales representatives directly employed by us and 30 third-party distributors, which together have had sales in 37 countries through June 30, 2021. Our operating results are directly dependent upon the sales and marketing efforts of both our direct sales force and of our third-party distributors.</w:t>
      </w:r>
    </w:p>
    <w:p>
      <w:pPr>
        <w:spacing w:after="0" w:line="128" w:lineRule="exact"/>
        <w:rPr>
          <w:sz w:val="20"/>
          <w:szCs w:val="20"/>
          <w:color w:val="auto"/>
        </w:rPr>
      </w:pPr>
    </w:p>
    <w:p>
      <w:pPr>
        <w:jc w:val="both"/>
        <w:ind w:firstLine="332"/>
        <w:spacing w:after="0" w:line="246" w:lineRule="auto"/>
        <w:rPr>
          <w:sz w:val="20"/>
          <w:szCs w:val="20"/>
          <w:color w:val="auto"/>
        </w:rPr>
      </w:pPr>
      <w:r>
        <w:rPr>
          <w:rFonts w:ascii="Arial" w:cs="Arial" w:eastAsia="Arial" w:hAnsi="Arial"/>
          <w:sz w:val="13"/>
          <w:szCs w:val="13"/>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 If our direct sales representatives or third-party distributors fail to adequately promote, market and sell our products or decide to leave or cease to do business with us, our sales could significantly decrease.</w:t>
      </w:r>
    </w:p>
    <w:p>
      <w:pPr>
        <w:spacing w:after="0" w:line="161" w:lineRule="exact"/>
        <w:rPr>
          <w:sz w:val="20"/>
          <w:szCs w:val="20"/>
          <w:color w:val="auto"/>
        </w:rPr>
      </w:pPr>
    </w:p>
    <w:p>
      <w:pPr>
        <w:jc w:val="both"/>
        <w:ind w:firstLine="332"/>
        <w:spacing w:after="0" w:line="277" w:lineRule="auto"/>
        <w:rPr>
          <w:sz w:val="20"/>
          <w:szCs w:val="20"/>
          <w:color w:val="auto"/>
        </w:rPr>
      </w:pPr>
      <w:r>
        <w:rPr>
          <w:rFonts w:ascii="Arial" w:cs="Arial" w:eastAsia="Arial" w:hAnsi="Arial"/>
          <w:sz w:val="13"/>
          <w:szCs w:val="13"/>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could suffer if we lose the services of key members of our senior management, key advisors or personnel.</w:t>
      </w:r>
    </w:p>
    <w:p>
      <w:pPr>
        <w:spacing w:after="0" w:line="163" w:lineRule="exact"/>
        <w:rPr>
          <w:sz w:val="20"/>
          <w:szCs w:val="20"/>
          <w:color w:val="auto"/>
        </w:rPr>
      </w:pPr>
    </w:p>
    <w:p>
      <w:pPr>
        <w:jc w:val="both"/>
        <w:ind w:firstLine="332"/>
        <w:spacing w:after="0" w:line="282" w:lineRule="auto"/>
        <w:rPr>
          <w:sz w:val="20"/>
          <w:szCs w:val="20"/>
          <w:color w:val="auto"/>
        </w:rPr>
      </w:pPr>
      <w:r>
        <w:rPr>
          <w:rFonts w:ascii="Arial" w:cs="Arial" w:eastAsia="Arial" w:hAnsi="Arial"/>
          <w:sz w:val="12"/>
          <w:szCs w:val="12"/>
          <w:color w:val="auto"/>
        </w:rPr>
        <w:t>We are dependent upon the continued services of key members of our senior management and a limited number of key advisors and personnel.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use of our products result in adverse events, this may require them to be taken off the market, require them to include safety warnings or otherwise limit their sales.</w:t>
      </w:r>
    </w:p>
    <w:p>
      <w:pPr>
        <w:spacing w:after="0" w:line="163" w:lineRule="exact"/>
        <w:rPr>
          <w:sz w:val="20"/>
          <w:szCs w:val="20"/>
          <w:color w:val="auto"/>
        </w:rPr>
      </w:pPr>
    </w:p>
    <w:p>
      <w:pPr>
        <w:jc w:val="both"/>
        <w:ind w:firstLine="332"/>
        <w:spacing w:after="0" w:line="254" w:lineRule="auto"/>
        <w:rPr>
          <w:sz w:val="20"/>
          <w:szCs w:val="20"/>
          <w:color w:val="auto"/>
        </w:rPr>
      </w:pPr>
      <w:r>
        <w:rPr>
          <w:rFonts w:ascii="Arial" w:cs="Arial" w:eastAsia="Arial" w:hAnsi="Arial"/>
          <w:sz w:val="13"/>
          <w:szCs w:val="13"/>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If we or others later identify adverse events caused by our products:</w:t>
      </w:r>
    </w:p>
    <w:p>
      <w:pPr>
        <w:spacing w:after="0" w:line="163" w:lineRule="exact"/>
        <w:rPr>
          <w:sz w:val="20"/>
          <w:szCs w:val="20"/>
          <w:color w:val="auto"/>
        </w:rPr>
      </w:pPr>
    </w:p>
    <w:p>
      <w:pPr>
        <w:ind w:left="540" w:hanging="177"/>
        <w:spacing w:after="0"/>
        <w:tabs>
          <w:tab w:leader="none" w:pos="5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sales of the product may decrease significantly, and we may not achieve the anticipated market share;</w:t>
      </w:r>
    </w:p>
    <w:p>
      <w:pPr>
        <w:spacing w:after="0" w:line="162" w:lineRule="exact"/>
        <w:rPr>
          <w:rFonts w:ascii="Arial" w:cs="Arial" w:eastAsia="Arial" w:hAnsi="Arial"/>
          <w:sz w:val="13"/>
          <w:szCs w:val="13"/>
          <w:color w:val="auto"/>
        </w:rPr>
      </w:pPr>
    </w:p>
    <w:p>
      <w:pPr>
        <w:ind w:left="660" w:hanging="297"/>
        <w:spacing w:after="0" w:line="277" w:lineRule="auto"/>
        <w:tabs>
          <w:tab w:leader="none" w:pos="583"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118" w:lineRule="exact"/>
        <w:rPr>
          <w:rFonts w:ascii="Arial" w:cs="Arial" w:eastAsia="Arial" w:hAnsi="Arial"/>
          <w:sz w:val="13"/>
          <w:szCs w:val="13"/>
          <w:color w:val="auto"/>
        </w:rPr>
      </w:pPr>
    </w:p>
    <w:p>
      <w:pPr>
        <w:ind w:left="540" w:hanging="177"/>
        <w:spacing w:after="0"/>
        <w:tabs>
          <w:tab w:leader="none" w:pos="5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may be required to change instructions regarding the way the product is implanted or conduct additional clinical trials;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may be subject to limitations on how we may promote the product;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793" w:right="319" w:bottom="1440" w:gutter="0" w:footer="0" w:header="0"/>
        </w:sectPr>
      </w:pPr>
    </w:p>
    <w:bookmarkStart w:id="43" w:name="page44"/>
    <w:bookmarkEnd w:id="43"/>
    <w:p>
      <w:pPr>
        <w:ind w:left="540" w:hanging="177"/>
        <w:spacing w:after="0"/>
        <w:tabs>
          <w:tab w:leader="none" w:pos="5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regulatory authorities may require us to temporarily or permanently take our approved product off the market or to conduct other field safety corrective actions;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may be required to modify our product;</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may be subject to litigation fines or product liability claims; and</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reputation may suffer.</w:t>
      </w:r>
    </w:p>
    <w:p>
      <w:pPr>
        <w:spacing w:after="0" w:line="163" w:lineRule="exact"/>
        <w:rPr>
          <w:sz w:val="20"/>
          <w:szCs w:val="20"/>
          <w:color w:val="auto"/>
        </w:rPr>
      </w:pPr>
    </w:p>
    <w:p>
      <w:pPr>
        <w:jc w:val="both"/>
        <w:ind w:firstLine="332"/>
        <w:spacing w:after="0" w:line="277" w:lineRule="auto"/>
        <w:rPr>
          <w:sz w:val="20"/>
          <w:szCs w:val="20"/>
          <w:color w:val="auto"/>
        </w:rPr>
      </w:pPr>
      <w:r>
        <w:rPr>
          <w:rFonts w:ascii="Arial" w:cs="Arial" w:eastAsia="Arial" w:hAnsi="Arial"/>
          <w:sz w:val="13"/>
          <w:szCs w:val="13"/>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3"/>
          <w:szCs w:val="13"/>
          <w:b w:val="1"/>
          <w:bCs w:val="1"/>
          <w:i w:val="1"/>
          <w:iCs w:val="1"/>
          <w:color w:val="auto"/>
        </w:rPr>
        <w:t>Unfavorable media reports or other negative publicity concerning both alleged improper methods of tissue recovery from donors and disease transmission from donated tissue could limit widespread acceptance of some of our products.</w:t>
      </w:r>
    </w:p>
    <w:p>
      <w:pPr>
        <w:spacing w:after="0" w:line="138" w:lineRule="exact"/>
        <w:rPr>
          <w:sz w:val="20"/>
          <w:szCs w:val="20"/>
          <w:color w:val="auto"/>
        </w:rPr>
      </w:pPr>
    </w:p>
    <w:p>
      <w:pPr>
        <w:jc w:val="both"/>
        <w:ind w:firstLine="302"/>
        <w:spacing w:after="0" w:line="282" w:lineRule="auto"/>
        <w:rPr>
          <w:sz w:val="20"/>
          <w:szCs w:val="20"/>
          <w:color w:val="auto"/>
        </w:rPr>
      </w:pPr>
      <w:r>
        <w:rPr>
          <w:rFonts w:ascii="Arial" w:cs="Arial" w:eastAsia="Arial" w:hAnsi="Arial"/>
          <w:sz w:val="12"/>
          <w:szCs w:val="12"/>
          <w:color w:val="auto"/>
        </w:rPr>
        <w:t>We introduced iFuse Bone, an implantable bone product manufactured from sterilized recovered cadaveric bone tissue, to meet the demand of some of our surgeon customers to use implantable bone products to support and augment the patient's own bone tissue in orthopedic procedures. Unfavorable reports of improper or illegal tissue recovery practices, both in the United States and internationally, as well as incidents of improperly processed tissue leading to the transmission of disease, may affect the rate of future tissue donation and market acceptance of technologies incorporating human tissue. In addition, negative publicity could cause the families of potential donors to become reluctant to donate tissue to for-profit tissue processors. These reports could have a negative effect on sales of iFuse Bone.</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Various factors outside our direct control may adversely affect manufacturing, sterilization, and distribution of our products.</w:t>
      </w:r>
    </w:p>
    <w:p>
      <w:pPr>
        <w:spacing w:after="0" w:line="163" w:lineRule="exact"/>
        <w:rPr>
          <w:sz w:val="20"/>
          <w:szCs w:val="20"/>
          <w:color w:val="auto"/>
        </w:rPr>
      </w:pPr>
    </w:p>
    <w:p>
      <w:pPr>
        <w:jc w:val="both"/>
        <w:ind w:firstLine="332"/>
        <w:spacing w:after="0" w:line="321" w:lineRule="auto"/>
        <w:rPr>
          <w:sz w:val="20"/>
          <w:szCs w:val="20"/>
          <w:color w:val="auto"/>
        </w:rPr>
      </w:pPr>
      <w:r>
        <w:rPr>
          <w:rFonts w:ascii="Arial" w:cs="Arial" w:eastAsia="Arial" w:hAnsi="Arial"/>
          <w:sz w:val="12"/>
          <w:szCs w:val="12"/>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94" w:lineRule="exact"/>
        <w:rPr>
          <w:sz w:val="20"/>
          <w:szCs w:val="20"/>
          <w:color w:val="auto"/>
        </w:rPr>
      </w:pPr>
    </w:p>
    <w:p>
      <w:pPr>
        <w:ind w:left="540" w:hanging="177"/>
        <w:spacing w:after="0"/>
        <w:tabs>
          <w:tab w:leader="none" w:pos="5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failure to complete sterilization on time or in compliance with the required regulatory standards;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transportation and import and export risk;</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delays in analytical results or failure of analytical techniques that we depend on for quality control and release of products;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large-scale epidemics of communicable diseases such as COVID-19;</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supply chain disruptions, including those caused by material and labor supply shortages in the wake of COVID-19;</w:t>
      </w:r>
    </w:p>
    <w:p>
      <w:pPr>
        <w:spacing w:after="0" w:line="162" w:lineRule="exact"/>
        <w:rPr>
          <w:rFonts w:ascii="Arial" w:cs="Arial" w:eastAsia="Arial" w:hAnsi="Arial"/>
          <w:sz w:val="13"/>
          <w:szCs w:val="13"/>
          <w:color w:val="auto"/>
        </w:rPr>
      </w:pPr>
    </w:p>
    <w:p>
      <w:pPr>
        <w:ind w:left="660" w:hanging="297"/>
        <w:spacing w:after="0" w:line="277" w:lineRule="auto"/>
        <w:tabs>
          <w:tab w:leader="none" w:pos="578" w:val="left"/>
        </w:tabs>
        <w:numPr>
          <w:ilvl w:val="0"/>
          <w:numId w:val="17"/>
        </w:numPr>
        <w:rPr>
          <w:rFonts w:ascii="Arial" w:cs="Arial" w:eastAsia="Arial" w:hAnsi="Arial"/>
          <w:sz w:val="13"/>
          <w:szCs w:val="13"/>
          <w:color w:val="auto"/>
        </w:rPr>
      </w:pPr>
      <w:r>
        <w:rPr>
          <w:rFonts w:ascii="Arial" w:cs="Arial" w:eastAsia="Arial" w:hAnsi="Arial"/>
          <w:sz w:val="13"/>
          <w:szCs w:val="13"/>
          <w:color w:val="auto"/>
        </w:rPr>
        <w:t>natural disasters, labor disputes, financial distress, raw material availability, issues with facilities and equipment, or other forms of disruption to business operations affecting our manufacturers or suppliers; and</w:t>
      </w:r>
    </w:p>
    <w:p>
      <w:pPr>
        <w:spacing w:after="0" w:line="118" w:lineRule="exact"/>
        <w:rPr>
          <w:rFonts w:ascii="Arial" w:cs="Arial" w:eastAsia="Arial" w:hAnsi="Arial"/>
          <w:sz w:val="13"/>
          <w:szCs w:val="13"/>
          <w:color w:val="auto"/>
        </w:rPr>
      </w:pPr>
    </w:p>
    <w:p>
      <w:pPr>
        <w:ind w:left="540" w:hanging="177"/>
        <w:spacing w:after="0"/>
        <w:tabs>
          <w:tab w:leader="none" w:pos="5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latent defects that may become apparent after products have been released and that may result in a recall or field safety corrective action with respect to such products.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If any of these risks were to materialize, our ability to provide our products to customers on a timely basis could be adversely impacted.</w:t>
      </w:r>
    </w:p>
    <w:p>
      <w:pPr>
        <w:spacing w:after="0" w:line="163" w:lineRule="exact"/>
        <w:rPr>
          <w:sz w:val="20"/>
          <w:szCs w:val="20"/>
          <w:color w:val="auto"/>
        </w:rPr>
      </w:pPr>
    </w:p>
    <w:p>
      <w:pPr>
        <w:jc w:val="both"/>
        <w:spacing w:after="0" w:line="321" w:lineRule="auto"/>
        <w:rPr>
          <w:sz w:val="20"/>
          <w:szCs w:val="20"/>
          <w:color w:val="auto"/>
        </w:rPr>
      </w:pPr>
      <w:r>
        <w:rPr>
          <w:rFonts w:ascii="Arial" w:cs="Arial" w:eastAsia="Arial" w:hAnsi="Arial"/>
          <w:sz w:val="12"/>
          <w:szCs w:val="12"/>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94" w:lineRule="exact"/>
        <w:rPr>
          <w:sz w:val="20"/>
          <w:szCs w:val="20"/>
          <w:color w:val="auto"/>
        </w:rPr>
      </w:pPr>
    </w:p>
    <w:p>
      <w:pPr>
        <w:jc w:val="both"/>
        <w:ind w:firstLine="332"/>
        <w:spacing w:after="0" w:line="254" w:lineRule="auto"/>
        <w:rPr>
          <w:sz w:val="20"/>
          <w:szCs w:val="20"/>
          <w:color w:val="auto"/>
        </w:rPr>
      </w:pPr>
      <w:r>
        <w:rPr>
          <w:rFonts w:ascii="Arial" w:cs="Arial" w:eastAsia="Arial" w:hAnsi="Arial"/>
          <w:sz w:val="13"/>
          <w:szCs w:val="13"/>
          <w:color w:val="auto"/>
        </w:rPr>
        <w:t>We rely on third-party suppliers to manufacture and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from a single supplier. Therefore, we cannot assure investors that we will be able to obtain sufficient quantities of product in the future.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44" w:name="page45"/>
    <w:bookmarkEnd w:id="44"/>
    <w:p>
      <w:pPr>
        <w:ind w:firstLine="332"/>
        <w:spacing w:after="0" w:line="321" w:lineRule="auto"/>
        <w:rPr>
          <w:sz w:val="20"/>
          <w:szCs w:val="20"/>
          <w:color w:val="auto"/>
        </w:rPr>
      </w:pPr>
      <w:r>
        <w:rPr>
          <w:rFonts w:ascii="Arial" w:cs="Arial" w:eastAsia="Arial" w:hAnsi="Arial"/>
          <w:sz w:val="12"/>
          <w:szCs w:val="12"/>
          <w:color w:val="auto"/>
        </w:rPr>
        <w:t>In addition, future growth could strain the ability of our suppliers to deliver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94" w:lineRule="exact"/>
        <w:rPr>
          <w:sz w:val="20"/>
          <w:szCs w:val="20"/>
          <w:color w:val="auto"/>
        </w:rPr>
      </w:pPr>
    </w:p>
    <w:p>
      <w:pPr>
        <w:ind w:firstLine="332"/>
        <w:spacing w:after="0" w:line="277" w:lineRule="auto"/>
        <w:rPr>
          <w:sz w:val="20"/>
          <w:szCs w:val="20"/>
          <w:color w:val="auto"/>
        </w:rPr>
      </w:pPr>
      <w:r>
        <w:rPr>
          <w:rFonts w:ascii="Arial" w:cs="Arial" w:eastAsia="Arial" w:hAnsi="Arial"/>
          <w:sz w:val="13"/>
          <w:szCs w:val="13"/>
          <w:color w:val="auto"/>
        </w:rPr>
        <w:t>We generally use a small number of suppliers for our instruments and currently rely on RMS for iFuse-3D implants and Orchid for iFuse implants. Our dependence on such a limited number of suppliers exposes us to risks, including, among other things:</w:t>
      </w:r>
    </w:p>
    <w:p>
      <w:pPr>
        <w:spacing w:after="0" w:line="118" w:lineRule="exact"/>
        <w:rPr>
          <w:sz w:val="20"/>
          <w:szCs w:val="20"/>
          <w:color w:val="auto"/>
        </w:rPr>
      </w:pPr>
    </w:p>
    <w:p>
      <w:pPr>
        <w:ind w:left="660" w:hanging="297"/>
        <w:spacing w:after="0" w:line="277" w:lineRule="auto"/>
        <w:tabs>
          <w:tab w:leader="none" w:pos="544"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118" w:lineRule="exact"/>
        <w:rPr>
          <w:rFonts w:ascii="Arial" w:cs="Arial" w:eastAsia="Arial" w:hAnsi="Arial"/>
          <w:sz w:val="13"/>
          <w:szCs w:val="13"/>
          <w:color w:val="auto"/>
        </w:rPr>
      </w:pPr>
    </w:p>
    <w:p>
      <w:pPr>
        <w:ind w:left="660" w:hanging="297"/>
        <w:spacing w:after="0" w:line="277" w:lineRule="auto"/>
        <w:tabs>
          <w:tab w:leader="none" w:pos="592"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spacing w:after="0" w:line="118" w:lineRule="exact"/>
        <w:rPr>
          <w:rFonts w:ascii="Arial" w:cs="Arial" w:eastAsia="Arial" w:hAnsi="Arial"/>
          <w:sz w:val="13"/>
          <w:szCs w:val="13"/>
          <w:color w:val="auto"/>
        </w:rPr>
      </w:pPr>
    </w:p>
    <w:p>
      <w:pPr>
        <w:ind w:left="660" w:hanging="297"/>
        <w:spacing w:after="0" w:line="277" w:lineRule="auto"/>
        <w:tabs>
          <w:tab w:leader="none" w:pos="541"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118" w:lineRule="exact"/>
        <w:rPr>
          <w:rFonts w:ascii="Arial" w:cs="Arial" w:eastAsia="Arial" w:hAnsi="Arial"/>
          <w:sz w:val="13"/>
          <w:szCs w:val="13"/>
          <w:color w:val="auto"/>
        </w:rPr>
      </w:pPr>
    </w:p>
    <w:p>
      <w:pPr>
        <w:ind w:left="540" w:hanging="177"/>
        <w:spacing w:after="0"/>
        <w:tabs>
          <w:tab w:leader="none" w:pos="5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or our third-party manufacturers and suppliers may be subject to price fluctuations due to a lack of long-term supply arrangements for key components;</w:t>
      </w:r>
    </w:p>
    <w:p>
      <w:pPr>
        <w:spacing w:after="0" w:line="162" w:lineRule="exact"/>
        <w:rPr>
          <w:rFonts w:ascii="Arial" w:cs="Arial" w:eastAsia="Arial" w:hAnsi="Arial"/>
          <w:sz w:val="13"/>
          <w:szCs w:val="13"/>
          <w:color w:val="auto"/>
        </w:rPr>
      </w:pPr>
    </w:p>
    <w:p>
      <w:pPr>
        <w:ind w:left="660" w:hanging="297"/>
        <w:spacing w:after="0" w:line="277" w:lineRule="auto"/>
        <w:tabs>
          <w:tab w:leader="none" w:pos="626"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or our third-party manufacturers and suppliers may lose access to critical services and components, or experience significant delays in obtaining them, resulting in an interruption in the manufacture, assembly and shipment of our systems;</w:t>
      </w:r>
    </w:p>
    <w:p>
      <w:pPr>
        <w:spacing w:after="0" w:line="118" w:lineRule="exact"/>
        <w:rPr>
          <w:rFonts w:ascii="Arial" w:cs="Arial" w:eastAsia="Arial" w:hAnsi="Arial"/>
          <w:sz w:val="13"/>
          <w:szCs w:val="13"/>
          <w:color w:val="auto"/>
        </w:rPr>
      </w:pPr>
    </w:p>
    <w:p>
      <w:pPr>
        <w:ind w:left="660" w:hanging="297"/>
        <w:spacing w:after="0" w:line="277" w:lineRule="auto"/>
        <w:tabs>
          <w:tab w:leader="none" w:pos="552"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or our third-party manufacturers could experience plant closures due to local epidemics of communicable diseases, such as COVID-19, or local outbreaks of such diseases among their workforce, thereby shuttering a plant in which our products are manufactured;</w:t>
      </w:r>
    </w:p>
    <w:p>
      <w:pPr>
        <w:spacing w:after="0" w:line="118" w:lineRule="exact"/>
        <w:rPr>
          <w:rFonts w:ascii="Arial" w:cs="Arial" w:eastAsia="Arial" w:hAnsi="Arial"/>
          <w:sz w:val="13"/>
          <w:szCs w:val="13"/>
          <w:color w:val="auto"/>
        </w:rPr>
      </w:pPr>
    </w:p>
    <w:p>
      <w:pPr>
        <w:ind w:left="540" w:hanging="177"/>
        <w:spacing w:after="0"/>
        <w:tabs>
          <w:tab w:leader="none" w:pos="5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may experience delays in delivery by our third-party manufacturers and suppliers due to changes in demand from us or their other customers;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fluctuations in demand for products that our third-party manufacturers and suppliers manufacture for others may affect their ability or willingness to deliver components to us in a timely manner;</w:t>
      </w:r>
    </w:p>
    <w:p>
      <w:pPr>
        <w:spacing w:after="0" w:line="174" w:lineRule="exact"/>
        <w:rPr>
          <w:rFonts w:ascii="Arial" w:cs="Arial" w:eastAsia="Arial" w:hAnsi="Arial"/>
          <w:sz w:val="12"/>
          <w:szCs w:val="12"/>
          <w:color w:val="auto"/>
        </w:rPr>
      </w:pPr>
    </w:p>
    <w:p>
      <w:pPr>
        <w:ind w:left="540" w:hanging="177"/>
        <w:spacing w:after="0"/>
        <w:tabs>
          <w:tab w:leader="none" w:pos="5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third-party manufacturers and suppliers may wish to discontinue supplying components or services to us for risk management reasons;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we may not be able to find new or alternative components or reconfigure our system and manufacturing processes in a timely manner if the necessary components become unavailable; and</w:t>
      </w:r>
    </w:p>
    <w:p>
      <w:pPr>
        <w:spacing w:after="0" w:line="174" w:lineRule="exact"/>
        <w:rPr>
          <w:rFonts w:ascii="Arial" w:cs="Arial" w:eastAsia="Arial" w:hAnsi="Arial"/>
          <w:sz w:val="12"/>
          <w:szCs w:val="12"/>
          <w:color w:val="auto"/>
        </w:rPr>
      </w:pPr>
    </w:p>
    <w:p>
      <w:pPr>
        <w:ind w:left="540" w:hanging="177"/>
        <w:spacing w:after="0"/>
        <w:tabs>
          <w:tab w:leader="none" w:pos="5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third-party manufacturers and suppliers may encounter financial hardships unrelated to our demand, which could inhibit their ability to fulfill our orders and meet our requirements.</w:t>
      </w:r>
    </w:p>
    <w:p>
      <w:pPr>
        <w:spacing w:after="0" w:line="163" w:lineRule="exact"/>
        <w:rPr>
          <w:sz w:val="20"/>
          <w:szCs w:val="20"/>
          <w:color w:val="auto"/>
        </w:rPr>
      </w:pPr>
    </w:p>
    <w:p>
      <w:pPr>
        <w:jc w:val="both"/>
        <w:ind w:firstLine="332"/>
        <w:spacing w:after="0" w:line="260" w:lineRule="auto"/>
        <w:rPr>
          <w:sz w:val="20"/>
          <w:szCs w:val="20"/>
          <w:color w:val="auto"/>
        </w:rPr>
      </w:pPr>
      <w:r>
        <w:rPr>
          <w:rFonts w:ascii="Arial" w:cs="Arial" w:eastAsia="Arial" w:hAnsi="Arial"/>
          <w:sz w:val="13"/>
          <w:szCs w:val="13"/>
          <w:color w:val="auto"/>
        </w:rPr>
        <w:t>If any one or more of these risks materialize, it could significantly increase our costs and impact our ability to meet demand for our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45" w:name="page46"/>
    <w:bookmarkEnd w:id="45"/>
    <w:p>
      <w:pPr>
        <w:jc w:val="both"/>
        <w:ind w:firstLine="332"/>
        <w:spacing w:after="0" w:line="271" w:lineRule="auto"/>
        <w:rPr>
          <w:sz w:val="20"/>
          <w:szCs w:val="20"/>
          <w:color w:val="auto"/>
        </w:rPr>
      </w:pPr>
      <w:r>
        <w:rPr>
          <w:rFonts w:ascii="Arial" w:cs="Arial" w:eastAsia="Arial" w:hAnsi="Arial"/>
          <w:sz w:val="12"/>
          <w:szCs w:val="12"/>
          <w:color w:val="auto"/>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spacing w:after="0" w:line="143" w:lineRule="exact"/>
        <w:rPr>
          <w:sz w:val="20"/>
          <w:szCs w:val="20"/>
          <w:color w:val="auto"/>
        </w:rPr>
      </w:pPr>
    </w:p>
    <w:p>
      <w:pPr>
        <w:jc w:val="both"/>
        <w:ind w:firstLine="332"/>
        <w:spacing w:after="0" w:line="251" w:lineRule="auto"/>
        <w:rPr>
          <w:sz w:val="20"/>
          <w:szCs w:val="20"/>
          <w:color w:val="auto"/>
        </w:rPr>
      </w:pPr>
      <w:r>
        <w:rPr>
          <w:rFonts w:ascii="Arial" w:cs="Arial" w:eastAsia="Arial" w:hAnsi="Arial"/>
          <w:sz w:val="13"/>
          <w:szCs w:val="13"/>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55" w:lineRule="exact"/>
        <w:rPr>
          <w:sz w:val="20"/>
          <w:szCs w:val="20"/>
          <w:color w:val="auto"/>
        </w:rPr>
      </w:pPr>
    </w:p>
    <w:p>
      <w:pPr>
        <w:jc w:val="both"/>
        <w:ind w:firstLine="332"/>
        <w:spacing w:after="0" w:line="251" w:lineRule="auto"/>
        <w:rPr>
          <w:sz w:val="20"/>
          <w:szCs w:val="20"/>
          <w:color w:val="auto"/>
        </w:rPr>
      </w:pPr>
      <w:r>
        <w:rPr>
          <w:rFonts w:ascii="Arial" w:cs="Arial" w:eastAsia="Arial" w:hAnsi="Arial"/>
          <w:sz w:val="13"/>
          <w:szCs w:val="13"/>
          <w:color w:val="auto"/>
        </w:rPr>
        <w:t>We may also have difficulty obtaining similar components from other suppliers that are acceptable to the FDA, our Notified Body and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55" w:lineRule="exact"/>
        <w:rPr>
          <w:sz w:val="20"/>
          <w:szCs w:val="20"/>
          <w:color w:val="auto"/>
        </w:rPr>
      </w:pPr>
    </w:p>
    <w:p>
      <w:pPr>
        <w:jc w:val="both"/>
        <w:ind w:firstLine="332"/>
        <w:spacing w:after="0" w:line="254" w:lineRule="auto"/>
        <w:rPr>
          <w:sz w:val="20"/>
          <w:szCs w:val="20"/>
          <w:color w:val="auto"/>
        </w:rPr>
      </w:pPr>
      <w:r>
        <w:rPr>
          <w:rFonts w:ascii="Arial" w:cs="Arial" w:eastAsia="Arial" w:hAnsi="Arial"/>
          <w:sz w:val="13"/>
          <w:szCs w:val="13"/>
          <w:color w:val="auto"/>
        </w:rPr>
        <w:t>In addition, each of our third-party suppliers operates at a facility in a single location and substantially all of our inventory of component supplies and finished goods is held at these locations. A local outbreak of COVID-19 cases,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encounter problems or delays in the assembly of our products or fail to meet certain regulatory requirements which could result in an adverse effect on our business and financial results.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After the impacts of the COVID-19 pandemic subside, to become profitable we must assemble our products in adequate quantities in compliance with regulatory requirements and at an acceptable cost.</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Increasing our capacity to assemble and test our products will require us to improve internal efficiencies. We may encounter a number of difficulties in increasing our assembly and testing capacity, including:</w:t>
      </w:r>
    </w:p>
    <w:p>
      <w:pPr>
        <w:spacing w:after="0" w:line="162" w:lineRule="exact"/>
        <w:rPr>
          <w:sz w:val="20"/>
          <w:szCs w:val="20"/>
          <w:color w:val="auto"/>
        </w:rPr>
      </w:pPr>
    </w:p>
    <w:p>
      <w:pPr>
        <w:ind w:left="540" w:hanging="177"/>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managing production yields;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maintaining quality control and assurance;</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providing component and service availability;</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maintaining adequate control policies and procedures;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hiring and retaining qualified personnel; and</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complying with state, federal, and foreign regulations.</w:t>
      </w:r>
    </w:p>
    <w:p>
      <w:pPr>
        <w:spacing w:after="0" w:line="163" w:lineRule="exact"/>
        <w:rPr>
          <w:sz w:val="20"/>
          <w:szCs w:val="20"/>
          <w:color w:val="auto"/>
        </w:rPr>
      </w:pPr>
    </w:p>
    <w:p>
      <w:pPr>
        <w:ind w:firstLine="332"/>
        <w:spacing w:after="0" w:line="277" w:lineRule="auto"/>
        <w:rPr>
          <w:sz w:val="20"/>
          <w:szCs w:val="20"/>
          <w:color w:val="auto"/>
        </w:rPr>
      </w:pPr>
      <w:r>
        <w:rPr>
          <w:rFonts w:ascii="Arial" w:cs="Arial" w:eastAsia="Arial" w:hAnsi="Arial"/>
          <w:sz w:val="13"/>
          <w:szCs w:val="13"/>
          <w:color w:val="auto"/>
        </w:rPr>
        <w:t>If we are unable to satisfy commercial demand for our iFuse system due to our inability to assemble and test, our ability to generate revenue would be impaired, market acceptance of our products could be adversely affected and customers may instead purchase or use our competitors’ products.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773" w:right="31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i w:val="1"/>
          <w:iCs w:val="1"/>
          <w:color w:val="auto"/>
        </w:rPr>
        <w:t>If we do not enhance and broaden our product offerings through our research and development efforts, we may be unable to compete effectively.</w:t>
      </w:r>
    </w:p>
    <w:p>
      <w:pPr>
        <w:spacing w:after="0" w:line="163" w:lineRule="exact"/>
        <w:rPr>
          <w:sz w:val="20"/>
          <w:szCs w:val="20"/>
          <w:color w:val="auto"/>
        </w:rPr>
      </w:pPr>
    </w:p>
    <w:p>
      <w:pPr>
        <w:jc w:val="both"/>
        <w:ind w:firstLine="332"/>
        <w:spacing w:after="0" w:line="254" w:lineRule="auto"/>
        <w:rPr>
          <w:sz w:val="20"/>
          <w:szCs w:val="20"/>
          <w:color w:val="auto"/>
        </w:rPr>
      </w:pPr>
      <w:r>
        <w:rPr>
          <w:rFonts w:ascii="Arial" w:cs="Arial" w:eastAsia="Arial" w:hAnsi="Arial"/>
          <w:sz w:val="13"/>
          <w:szCs w:val="13"/>
          <w:color w:val="auto"/>
        </w:rPr>
        <w:t>In order to increase our market share in the sacroiliac joint fusion and related markets, we must enhance and broaden our product offerings in response to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132" w:lineRule="exact"/>
        <w:rPr>
          <w:sz w:val="20"/>
          <w:szCs w:val="20"/>
          <w:color w:val="auto"/>
        </w:rPr>
      </w:pPr>
    </w:p>
    <w:p>
      <w:pPr>
        <w:ind w:left="540" w:hanging="177"/>
        <w:spacing w:after="0"/>
        <w:tabs>
          <w:tab w:leader="none" w:pos="5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properly identify and anticipate surgeon and patient needs;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develop and introduce new products or product enhancements in a timely manner;</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adequately protect our intellectual property and avoid infringing upon the intellectual property rights of third parties;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demonstrate the safety and effectiveness of new products; and</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obtain the necessary domestic and international regulatory clearances or approvals and CE Certificates of Conformity for new products or product enhancements.</w:t>
      </w:r>
    </w:p>
    <w:p>
      <w:pPr>
        <w:spacing w:after="0" w:line="163" w:lineRule="exact"/>
        <w:rPr>
          <w:sz w:val="20"/>
          <w:szCs w:val="20"/>
          <w:color w:val="auto"/>
        </w:rPr>
      </w:pPr>
    </w:p>
    <w:p>
      <w:pPr>
        <w:jc w:val="both"/>
        <w:ind w:firstLine="332"/>
        <w:spacing w:after="0" w:line="280" w:lineRule="auto"/>
        <w:rPr>
          <w:sz w:val="20"/>
          <w:szCs w:val="20"/>
          <w:color w:val="auto"/>
        </w:rPr>
      </w:pPr>
      <w:r>
        <w:rPr>
          <w:rFonts w:ascii="Arial" w:cs="Arial" w:eastAsia="Arial" w:hAnsi="Arial"/>
          <w:sz w:val="12"/>
          <w:szCs w:val="12"/>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business could be adversely affected. Our research and development efforts may require a substantial investment of time and</w:t>
      </w:r>
    </w:p>
    <w:p>
      <w:pPr>
        <w:spacing w:after="0" w:line="1" w:lineRule="exact"/>
        <w:rPr>
          <w:sz w:val="20"/>
          <w:szCs w:val="20"/>
          <w:color w:val="auto"/>
        </w:rPr>
      </w:pPr>
    </w:p>
    <w:p>
      <w:pPr>
        <w:jc w:val="both"/>
        <w:spacing w:after="0" w:line="294" w:lineRule="auto"/>
        <w:rPr>
          <w:sz w:val="20"/>
          <w:szCs w:val="20"/>
          <w:color w:val="auto"/>
        </w:rPr>
      </w:pPr>
      <w:r>
        <w:rPr>
          <w:rFonts w:ascii="Arial" w:cs="Arial" w:eastAsia="Arial" w:hAnsi="Arial"/>
          <w:sz w:val="12"/>
          <w:szCs w:val="12"/>
          <w:color w:val="auto"/>
        </w:rPr>
        <w:t>resources before we are adequately able to determine the commercial viability of a new product, technology, material, or other innovation. In some cases, following a successful product development effort, we may need to invest substantial resources in surgical instrumentation and implant inventory, prior to launch of the product, and before we understand the demand for such product. If we overestimate the demand for such products and invest too heavily in inventory to support the product line, the additional revenue and product margins may not produce a positive return on such investments, which could cause our financial results to suffer.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required to maintain adequate levels of inventory, the failure of which could consume our resources and reduce our cash flows.</w:t>
      </w:r>
    </w:p>
    <w:p>
      <w:pPr>
        <w:spacing w:after="0" w:line="163" w:lineRule="exact"/>
        <w:rPr>
          <w:sz w:val="20"/>
          <w:szCs w:val="20"/>
          <w:color w:val="auto"/>
        </w:rPr>
      </w:pPr>
    </w:p>
    <w:p>
      <w:pPr>
        <w:jc w:val="both"/>
        <w:ind w:firstLine="332"/>
        <w:spacing w:after="0" w:line="249" w:lineRule="auto"/>
        <w:rPr>
          <w:sz w:val="20"/>
          <w:szCs w:val="20"/>
          <w:color w:val="auto"/>
        </w:rPr>
      </w:pPr>
      <w:r>
        <w:rPr>
          <w:rFonts w:ascii="Arial" w:cs="Arial" w:eastAsia="Arial" w:hAnsi="Arial"/>
          <w:sz w:val="13"/>
          <w:szCs w:val="13"/>
          <w:color w:val="auto"/>
        </w:rPr>
        <w:t>As a result of the need to maintain adequate levels of inventory, we are subject to the risk of inventory obsolescence. Many of our products come in sets, which feature components in a variety of sizes so that the implant or device may be chosen for size based on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addition, as we introduce new implants and instruments with the same intended uses as existing products, the older products may fall out of favor with our customers, causing them to become obsolete.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47" w:name="page48"/>
    <w:bookmarkEnd w:id="47"/>
    <w:p>
      <w:pPr>
        <w:jc w:val="both"/>
        <w:spacing w:after="0" w:line="260" w:lineRule="auto"/>
        <w:rPr>
          <w:sz w:val="20"/>
          <w:szCs w:val="20"/>
          <w:color w:val="auto"/>
        </w:rPr>
      </w:pPr>
      <w:r>
        <w:rPr>
          <w:rFonts w:ascii="Arial" w:cs="Arial" w:eastAsia="Arial" w:hAnsi="Arial"/>
          <w:sz w:val="13"/>
          <w:szCs w:val="13"/>
          <w:b w:val="1"/>
          <w:bCs w:val="1"/>
          <w:i w:val="1"/>
          <w:iCs w:val="1"/>
          <w:color w:val="auto"/>
        </w:rPr>
        <w:t>The size and future growth in the market for iFuse has not been established with precision and may be smaller than we estimate, possibly materially. In addition, we estimate cost savings to the economy and healthcare system as a result of the iFuse procedure based on our market research. If our estimates and projections overestimate the size of this market or these benefits and cost savings, our sales growth may be adversely affected.</w:t>
      </w:r>
    </w:p>
    <w:p>
      <w:pPr>
        <w:spacing w:after="0" w:line="148" w:lineRule="exact"/>
        <w:rPr>
          <w:sz w:val="20"/>
          <w:szCs w:val="20"/>
          <w:color w:val="auto"/>
        </w:rPr>
      </w:pPr>
    </w:p>
    <w:p>
      <w:pPr>
        <w:jc w:val="both"/>
        <w:ind w:firstLine="332"/>
        <w:spacing w:after="0" w:line="246" w:lineRule="auto"/>
        <w:rPr>
          <w:sz w:val="20"/>
          <w:szCs w:val="20"/>
          <w:color w:val="auto"/>
        </w:rPr>
      </w:pPr>
      <w:r>
        <w:rPr>
          <w:rFonts w:ascii="Arial" w:cs="Arial" w:eastAsia="Arial" w:hAnsi="Arial"/>
          <w:sz w:val="13"/>
          <w:szCs w:val="13"/>
          <w:color w:val="auto"/>
        </w:rPr>
        <w:t>We are not aware of an independent third-party study that reliably reports the potential market size for iFuse or cost savings as a result of the iFuse procedure. Therefore, our estimates of the size and potential for future growth in the market for our iFuse products, cost savings to patients, the healthcare system and the economy overall from its use,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results of operations could suffer if we are unable to manage our international business effectively.</w:t>
      </w:r>
    </w:p>
    <w:p>
      <w:pPr>
        <w:spacing w:after="0" w:line="163" w:lineRule="exact"/>
        <w:rPr>
          <w:sz w:val="20"/>
          <w:szCs w:val="20"/>
          <w:color w:val="auto"/>
        </w:rPr>
      </w:pPr>
    </w:p>
    <w:p>
      <w:pPr>
        <w:jc w:val="both"/>
        <w:ind w:firstLine="332"/>
        <w:spacing w:after="0" w:line="272" w:lineRule="auto"/>
        <w:rPr>
          <w:sz w:val="20"/>
          <w:szCs w:val="20"/>
          <w:color w:val="auto"/>
        </w:rPr>
      </w:pPr>
      <w:r>
        <w:rPr>
          <w:rFonts w:ascii="Arial" w:cs="Arial" w:eastAsia="Arial" w:hAnsi="Arial"/>
          <w:sz w:val="12"/>
          <w:szCs w:val="12"/>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U.S., including the Office of Foreign Asset Control of the U.S. Treasury. Any failure to comply with applicable legal and regulatory obligations in the U.S.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 addition, some of the countries in which we sell or plan to sell our products are, to some degree, subject to various risks, including:</w:t>
      </w:r>
    </w:p>
    <w:p>
      <w:pPr>
        <w:spacing w:after="0" w:line="163" w:lineRule="exact"/>
        <w:rPr>
          <w:sz w:val="20"/>
          <w:szCs w:val="20"/>
          <w:color w:val="auto"/>
        </w:rPr>
      </w:pPr>
    </w:p>
    <w:p>
      <w:pPr>
        <w:ind w:left="540" w:hanging="177"/>
        <w:spacing w:after="0"/>
        <w:tabs>
          <w:tab w:leader="none" w:pos="5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exposure to different legal and regulatory standards;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lack of stringent protection of intellectual property;</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obstacles to obtaining domestic and foreign export, import, and other governmental approvals, permits, and licenses and compliance with foreign laws;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potentially adverse tax consequences and the complexities of foreign value-added tax systems;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adverse changes in tariffs and trade restrictions;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limitations on the repatriation of earnings;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difficulties in staffing and managing foreign operations;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transportation delays and difficulties of managing international distribution channels;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longer collection periods and difficulties in collecting receivables from foreign entities;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increased financing costs;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currency risks; and</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political, social, and economic instability and increased security concerns.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773" w:right="319" w:bottom="1440" w:gutter="0" w:footer="0" w:header="0"/>
        </w:sectPr>
      </w:pPr>
    </w:p>
    <w:bookmarkStart w:id="48" w:name="page49"/>
    <w:bookmarkEnd w:id="48"/>
    <w:p>
      <w:pPr>
        <w:jc w:val="both"/>
        <w:ind w:firstLine="332"/>
        <w:spacing w:after="0" w:line="277" w:lineRule="auto"/>
        <w:rPr>
          <w:sz w:val="20"/>
          <w:szCs w:val="20"/>
          <w:color w:val="auto"/>
        </w:rPr>
      </w:pPr>
      <w:r>
        <w:rPr>
          <w:rFonts w:ascii="Arial" w:cs="Arial" w:eastAsia="Arial" w:hAnsi="Arial"/>
          <w:sz w:val="13"/>
          <w:szCs w:val="13"/>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18" w:lineRule="exact"/>
        <w:rPr>
          <w:sz w:val="20"/>
          <w:szCs w:val="20"/>
          <w:color w:val="auto"/>
        </w:rPr>
      </w:pPr>
    </w:p>
    <w:p>
      <w:pPr>
        <w:jc w:val="both"/>
        <w:ind w:firstLine="332"/>
        <w:spacing w:after="0" w:line="321" w:lineRule="auto"/>
        <w:rPr>
          <w:sz w:val="20"/>
          <w:szCs w:val="20"/>
          <w:color w:val="auto"/>
        </w:rPr>
      </w:pPr>
      <w:r>
        <w:rPr>
          <w:rFonts w:ascii="Arial" w:cs="Arial" w:eastAsia="Arial" w:hAnsi="Arial"/>
          <w:sz w:val="12"/>
          <w:szCs w:val="12"/>
          <w:color w:val="auto"/>
        </w:rPr>
        <w:t>Our successful conduct of our international business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 the future our products may become obsolete, which would negatively affect operations and financial condition.</w:t>
      </w:r>
    </w:p>
    <w:p>
      <w:pPr>
        <w:spacing w:after="0" w:line="163" w:lineRule="exact"/>
        <w:rPr>
          <w:sz w:val="20"/>
          <w:szCs w:val="20"/>
          <w:color w:val="auto"/>
        </w:rPr>
      </w:pPr>
    </w:p>
    <w:p>
      <w:pPr>
        <w:jc w:val="both"/>
        <w:ind w:firstLine="332"/>
        <w:spacing w:after="0" w:line="282" w:lineRule="auto"/>
        <w:rPr>
          <w:sz w:val="20"/>
          <w:szCs w:val="20"/>
          <w:color w:val="auto"/>
        </w:rPr>
      </w:pPr>
      <w:r>
        <w:rPr>
          <w:rFonts w:ascii="Arial" w:cs="Arial" w:eastAsia="Arial" w:hAnsi="Arial"/>
          <w:sz w:val="12"/>
          <w:szCs w:val="12"/>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changes in technology and the practice of medicine through the development and introduction of new products. Product development involves a high degree of risk and there can be no assurance that our new product development efforts will result in any commercially successful products.</w:t>
      </w:r>
    </w:p>
    <w:p>
      <w:pPr>
        <w:spacing w:after="0" w:line="117" w:lineRule="exact"/>
        <w:rPr>
          <w:sz w:val="20"/>
          <w:szCs w:val="20"/>
          <w:color w:val="auto"/>
        </w:rPr>
      </w:pPr>
    </w:p>
    <w:p>
      <w:pPr>
        <w:jc w:val="center"/>
        <w:ind w:right="2060"/>
        <w:spacing w:after="0"/>
        <w:rPr>
          <w:sz w:val="20"/>
          <w:szCs w:val="20"/>
          <w:color w:val="auto"/>
        </w:rPr>
      </w:pPr>
      <w:r>
        <w:rPr>
          <w:rFonts w:ascii="Arial" w:cs="Arial" w:eastAsia="Arial" w:hAnsi="Arial"/>
          <w:sz w:val="11"/>
          <w:szCs w:val="11"/>
          <w:b w:val="1"/>
          <w:bCs w:val="1"/>
          <w:i w:val="1"/>
          <w:iCs w:val="1"/>
          <w:color w:val="auto"/>
        </w:rPr>
        <w:t>If we experience significant disruptions in our information technology systems, our business, results of operations, and financial condition could be adversely affected.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efficient operation of our business depends on our information technology systems. We rely on our information technology systems to effectively manage:</w:t>
      </w:r>
    </w:p>
    <w:p>
      <w:pPr>
        <w:spacing w:after="0" w:line="163" w:lineRule="exact"/>
        <w:rPr>
          <w:sz w:val="20"/>
          <w:szCs w:val="20"/>
          <w:color w:val="auto"/>
        </w:rPr>
      </w:pPr>
    </w:p>
    <w:p>
      <w:pPr>
        <w:ind w:left="540" w:hanging="177"/>
        <w:spacing w:after="0"/>
        <w:tabs>
          <w:tab w:leader="none" w:pos="5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sales and marketing, accounting, and financial functions;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inventory management;</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engineering and product development tasks; and</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research and development data.</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Our information technology systems are vulnerable to damage or interruption from:</w:t>
      </w:r>
    </w:p>
    <w:p>
      <w:pPr>
        <w:spacing w:after="0" w:line="163" w:lineRule="exact"/>
        <w:rPr>
          <w:sz w:val="20"/>
          <w:szCs w:val="20"/>
          <w:color w:val="auto"/>
        </w:rPr>
      </w:pPr>
    </w:p>
    <w:p>
      <w:pPr>
        <w:ind w:left="540" w:hanging="177"/>
        <w:spacing w:after="0"/>
        <w:tabs>
          <w:tab w:leader="none" w:pos="5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earthquakes, fires, floods, and other natural disasters;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terrorist attacks and attacks by computer viruses or hackers or breach of our cybersecurity;</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power losses; and</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computer systems, or Internet, telecommunications, or data network failures.</w:t>
      </w:r>
    </w:p>
    <w:p>
      <w:pPr>
        <w:spacing w:after="0" w:line="163" w:lineRule="exact"/>
        <w:rPr>
          <w:sz w:val="20"/>
          <w:szCs w:val="20"/>
          <w:color w:val="auto"/>
        </w:rPr>
      </w:pPr>
    </w:p>
    <w:p>
      <w:pPr>
        <w:jc w:val="both"/>
        <w:ind w:firstLine="332"/>
        <w:spacing w:after="0" w:line="260" w:lineRule="auto"/>
        <w:rPr>
          <w:sz w:val="20"/>
          <w:szCs w:val="20"/>
          <w:color w:val="auto"/>
        </w:rPr>
      </w:pPr>
      <w:r>
        <w:rPr>
          <w:rFonts w:ascii="Arial" w:cs="Arial" w:eastAsia="Arial" w:hAnsi="Arial"/>
          <w:sz w:val="13"/>
          <w:szCs w:val="13"/>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48" w:lineRule="exact"/>
        <w:rPr>
          <w:sz w:val="20"/>
          <w:szCs w:val="20"/>
          <w:color w:val="auto"/>
        </w:rPr>
      </w:pPr>
    </w:p>
    <w:p>
      <w:pPr>
        <w:jc w:val="both"/>
        <w:ind w:firstLine="332"/>
        <w:spacing w:after="0" w:line="272" w:lineRule="auto"/>
        <w:rPr>
          <w:sz w:val="20"/>
          <w:szCs w:val="20"/>
          <w:color w:val="auto"/>
        </w:rPr>
      </w:pPr>
      <w:r>
        <w:rPr>
          <w:rFonts w:ascii="Arial" w:cs="Arial" w:eastAsia="Arial" w:hAnsi="Arial"/>
          <w:sz w:val="12"/>
          <w:szCs w:val="12"/>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49" w:name="page50"/>
    <w:bookmarkEnd w:id="49"/>
    <w:p>
      <w:pPr>
        <w:spacing w:after="0" w:line="277" w:lineRule="auto"/>
        <w:rPr>
          <w:sz w:val="20"/>
          <w:szCs w:val="20"/>
          <w:color w:val="auto"/>
        </w:rPr>
      </w:pPr>
      <w:r>
        <w:rPr>
          <w:rFonts w:ascii="Arial" w:cs="Arial" w:eastAsia="Arial" w:hAnsi="Arial"/>
          <w:sz w:val="13"/>
          <w:szCs w:val="13"/>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18" w:lineRule="exact"/>
        <w:rPr>
          <w:sz w:val="20"/>
          <w:szCs w:val="20"/>
          <w:color w:val="auto"/>
        </w:rPr>
      </w:pPr>
    </w:p>
    <w:p>
      <w:pPr>
        <w:ind w:firstLine="332"/>
        <w:spacing w:after="0" w:line="277" w:lineRule="auto"/>
        <w:rPr>
          <w:sz w:val="20"/>
          <w:szCs w:val="20"/>
          <w:color w:val="auto"/>
        </w:rPr>
      </w:pPr>
      <w:r>
        <w:rPr>
          <w:rFonts w:ascii="Arial" w:cs="Arial" w:eastAsia="Arial" w:hAnsi="Arial"/>
          <w:sz w:val="13"/>
          <w:szCs w:val="13"/>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118" w:lineRule="exact"/>
        <w:rPr>
          <w:sz w:val="20"/>
          <w:szCs w:val="20"/>
          <w:color w:val="auto"/>
        </w:rPr>
      </w:pPr>
    </w:p>
    <w:p>
      <w:pPr>
        <w:ind w:left="540" w:hanging="177"/>
        <w:spacing w:after="0"/>
        <w:tabs>
          <w:tab w:leader="none" w:pos="5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problems assimilating the purchased technologies, products, or business operations;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issues maintaining uniform standards, procedures, controls, and policies;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unanticipated costs and liabilities associated with acquisitions;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diversion of management’s attention from our core business;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adverse effects on existing business relationships with suppliers and customers;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risks associated with entering new markets in which we have limited or no experience;</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potential loss of key employees of acquired businesses; and</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increased legal and accounting compliance costs.</w:t>
      </w:r>
    </w:p>
    <w:p>
      <w:pPr>
        <w:spacing w:after="0" w:line="163" w:lineRule="exact"/>
        <w:rPr>
          <w:sz w:val="20"/>
          <w:szCs w:val="20"/>
          <w:color w:val="auto"/>
        </w:rPr>
      </w:pPr>
    </w:p>
    <w:p>
      <w:pPr>
        <w:jc w:val="both"/>
        <w:ind w:firstLine="332"/>
        <w:spacing w:after="0" w:line="277" w:lineRule="auto"/>
        <w:rPr>
          <w:sz w:val="20"/>
          <w:szCs w:val="20"/>
          <w:color w:val="auto"/>
        </w:rPr>
      </w:pPr>
      <w:r>
        <w:rPr>
          <w:rFonts w:ascii="Arial" w:cs="Arial" w:eastAsia="Arial" w:hAnsi="Arial"/>
          <w:sz w:val="12"/>
          <w:szCs w:val="12"/>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118" w:lineRule="exact"/>
        <w:rPr>
          <w:sz w:val="20"/>
          <w:szCs w:val="20"/>
          <w:color w:val="auto"/>
        </w:rPr>
      </w:pPr>
    </w:p>
    <w:p>
      <w:pPr>
        <w:jc w:val="both"/>
        <w:ind w:firstLine="332"/>
        <w:spacing w:after="0" w:line="274" w:lineRule="auto"/>
        <w:rPr>
          <w:sz w:val="20"/>
          <w:szCs w:val="20"/>
          <w:color w:val="auto"/>
        </w:rPr>
      </w:pPr>
      <w:r>
        <w:rPr>
          <w:rFonts w:ascii="Arial" w:cs="Arial" w:eastAsia="Arial" w:hAnsi="Arial"/>
          <w:sz w:val="12"/>
          <w:szCs w:val="12"/>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42" w:lineRule="exact"/>
        <w:rPr>
          <w:sz w:val="20"/>
          <w:szCs w:val="20"/>
          <w:color w:val="auto"/>
        </w:rPr>
      </w:pPr>
    </w:p>
    <w:p>
      <w:pPr>
        <w:jc w:val="both"/>
        <w:ind w:firstLine="332"/>
        <w:spacing w:after="0" w:line="277" w:lineRule="auto"/>
        <w:rPr>
          <w:sz w:val="20"/>
          <w:szCs w:val="20"/>
          <w:color w:val="auto"/>
        </w:rPr>
      </w:pPr>
      <w:r>
        <w:rPr>
          <w:rFonts w:ascii="Arial" w:cs="Arial" w:eastAsia="Arial" w:hAnsi="Arial"/>
          <w:sz w:val="12"/>
          <w:szCs w:val="12"/>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40" w:lineRule="exact"/>
        <w:rPr>
          <w:sz w:val="20"/>
          <w:szCs w:val="20"/>
          <w:color w:val="auto"/>
        </w:rPr>
      </w:pPr>
    </w:p>
    <w:p>
      <w:pPr>
        <w:jc w:val="both"/>
        <w:ind w:firstLine="332"/>
        <w:spacing w:after="0" w:line="251" w:lineRule="auto"/>
        <w:rPr>
          <w:sz w:val="20"/>
          <w:szCs w:val="20"/>
          <w:color w:val="auto"/>
        </w:rPr>
      </w:pPr>
      <w:r>
        <w:rPr>
          <w:rFonts w:ascii="Arial" w:cs="Arial" w:eastAsia="Arial" w:hAnsi="Arial"/>
          <w:sz w:val="13"/>
          <w:szCs w:val="13"/>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50" w:name="page51"/>
    <w:bookmarkEnd w:id="50"/>
    <w:p>
      <w:pPr>
        <w:jc w:val="both"/>
        <w:spacing w:after="0" w:line="260" w:lineRule="auto"/>
        <w:rPr>
          <w:sz w:val="20"/>
          <w:szCs w:val="20"/>
          <w:color w:val="auto"/>
        </w:rPr>
      </w:pPr>
      <w:r>
        <w:rPr>
          <w:rFonts w:ascii="Arial" w:cs="Arial" w:eastAsia="Arial" w:hAnsi="Arial"/>
          <w:sz w:val="13"/>
          <w:szCs w:val="13"/>
          <w:color w:val="auto"/>
        </w:rPr>
        <w:t>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term loan contains covenants that may restrict our business and financing activities.</w:t>
      </w:r>
    </w:p>
    <w:p>
      <w:pPr>
        <w:spacing w:after="0" w:line="193" w:lineRule="exact"/>
        <w:rPr>
          <w:sz w:val="20"/>
          <w:szCs w:val="20"/>
          <w:color w:val="auto"/>
        </w:rPr>
      </w:pPr>
    </w:p>
    <w:p>
      <w:pPr>
        <w:jc w:val="both"/>
        <w:ind w:firstLine="332"/>
        <w:spacing w:after="0" w:line="248" w:lineRule="auto"/>
        <w:rPr>
          <w:sz w:val="20"/>
          <w:szCs w:val="20"/>
          <w:color w:val="auto"/>
        </w:rPr>
      </w:pPr>
      <w:r>
        <w:rPr>
          <w:rFonts w:ascii="Arial" w:cs="Arial" w:eastAsia="Arial" w:hAnsi="Arial"/>
          <w:sz w:val="13"/>
          <w:szCs w:val="13"/>
          <w:color w:val="auto"/>
        </w:rPr>
        <w:t>On May 29, 2020, we entered into a Loan and Security Agreement with Solar Capital Ltd. (“Solar”), pursuant to which we borrowed $40.0 million pursuant to a term loan (the “Solar Term Loan”). The Loan and Security Agreement with Solar contains customary events of default, including bankruptcy, the failure to make payments when due, the occurrence of a material impairment on the lenders’ security interest over the collateral, a material adverse change, the occurrence of a default under certain other indebtedness of us or our subsidiaries, the rendering of certain types of judgments against us or our subsidiaries, the revocation of certain government approvals, violation of covenants, and incorrectness of representations and warranties in any material respect. The Loan and Security Agreement with Solar also contains certain restrictive covenants that limit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as well as financial reporting requirements.</w:t>
      </w:r>
    </w:p>
    <w:p>
      <w:pPr>
        <w:spacing w:after="0" w:line="157" w:lineRule="exact"/>
        <w:rPr>
          <w:sz w:val="20"/>
          <w:szCs w:val="20"/>
          <w:color w:val="auto"/>
        </w:rPr>
      </w:pPr>
    </w:p>
    <w:p>
      <w:pPr>
        <w:ind w:right="40" w:firstLine="483"/>
        <w:spacing w:after="0" w:line="270" w:lineRule="auto"/>
        <w:rPr>
          <w:sz w:val="20"/>
          <w:szCs w:val="20"/>
          <w:color w:val="auto"/>
        </w:rPr>
      </w:pPr>
      <w:r>
        <w:rPr>
          <w:rFonts w:ascii="Arial" w:cs="Arial" w:eastAsia="Arial" w:hAnsi="Arial"/>
          <w:sz w:val="13"/>
          <w:szCs w:val="13"/>
          <w:color w:val="auto"/>
        </w:rPr>
        <w:t>The Solar Term Loan is secured by substantially all of our assets. The Loan and Security Agreement with Solar also contains a financial covenant related to our liquidity based on our trailing twelve-month net product revenues. We are required to hold at least $15.0 million in cash and cash equivalents so long as trailing twelve-month net product revenues are less than $75.0 million and at least $7.5 million in cash and cash equivalents so long as trailing twelve-month net product revenues are greater than or equal to $75.0 million but less than $100.0 million (collectively “Minimum Liquidity Requirements”). We are not subject to a Minimum Liquidity Requirement when trailing twelve-month net product revenues exceeds $100.0 million.</w:t>
      </w:r>
    </w:p>
    <w:p>
      <w:pPr>
        <w:spacing w:after="0" w:line="153" w:lineRule="exact"/>
        <w:rPr>
          <w:sz w:val="20"/>
          <w:szCs w:val="20"/>
          <w:color w:val="auto"/>
        </w:rPr>
      </w:pPr>
    </w:p>
    <w:p>
      <w:pPr>
        <w:ind w:right="120" w:firstLine="483"/>
        <w:spacing w:after="0" w:line="299" w:lineRule="auto"/>
        <w:rPr>
          <w:sz w:val="20"/>
          <w:szCs w:val="20"/>
          <w:color w:val="auto"/>
        </w:rPr>
      </w:pPr>
      <w:r>
        <w:rPr>
          <w:rFonts w:ascii="Arial" w:cs="Arial" w:eastAsia="Arial" w:hAnsi="Arial"/>
          <w:sz w:val="12"/>
          <w:szCs w:val="12"/>
          <w:color w:val="auto"/>
        </w:rPr>
        <w:t>The covenants in the Solar Term Loan,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Due to uncertainties surrounding the impact of COVID-19 pandemic, there is a risk that we may not meet the minimum trailing 12-month product revenue in future period. If not waived, future defaults could cause all of the outstanding indebtedness under our Loan and Security Agreement to become immediately due and payable.</w:t>
      </w:r>
    </w:p>
    <w:p>
      <w:pPr>
        <w:spacing w:after="0" w:line="138" w:lineRule="exact"/>
        <w:rPr>
          <w:sz w:val="20"/>
          <w:szCs w:val="20"/>
          <w:color w:val="auto"/>
        </w:rPr>
      </w:pPr>
    </w:p>
    <w:p>
      <w:pPr>
        <w:ind w:right="180" w:firstLine="483"/>
        <w:spacing w:after="0" w:line="294" w:lineRule="auto"/>
        <w:rPr>
          <w:sz w:val="20"/>
          <w:szCs w:val="20"/>
          <w:color w:val="auto"/>
        </w:rPr>
      </w:pPr>
      <w:r>
        <w:rPr>
          <w:rFonts w:ascii="Arial" w:cs="Arial" w:eastAsia="Arial" w:hAnsi="Arial"/>
          <w:sz w:val="13"/>
          <w:szCs w:val="13"/>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Risks Related to Our Legal and Regulatory Environment</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3"/>
          <w:szCs w:val="13"/>
          <w:b w:val="1"/>
          <w:bCs w:val="1"/>
          <w:i w:val="1"/>
          <w:iCs w:val="1"/>
          <w:color w:val="auto"/>
        </w:rPr>
        <w:t>We, our suppliers, and our third-party manufacturers are subject to extensive governmental regulation both in the U.S. and abroad, and failure to comply with applicable requirements could cause our business to suffer.</w:t>
      </w:r>
    </w:p>
    <w:p>
      <w:pPr>
        <w:spacing w:after="0" w:line="118" w:lineRule="exact"/>
        <w:rPr>
          <w:sz w:val="20"/>
          <w:szCs w:val="20"/>
          <w:color w:val="auto"/>
        </w:rPr>
      </w:pPr>
    </w:p>
    <w:p>
      <w:pPr>
        <w:ind w:firstLine="332"/>
        <w:spacing w:after="0" w:line="277" w:lineRule="auto"/>
        <w:rPr>
          <w:sz w:val="20"/>
          <w:szCs w:val="20"/>
          <w:color w:val="auto"/>
        </w:rPr>
      </w:pPr>
      <w:r>
        <w:rPr>
          <w:rFonts w:ascii="Arial" w:cs="Arial" w:eastAsia="Arial" w:hAnsi="Arial"/>
          <w:sz w:val="13"/>
          <w:szCs w:val="13"/>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118" w:lineRule="exact"/>
        <w:rPr>
          <w:sz w:val="20"/>
          <w:szCs w:val="20"/>
          <w:color w:val="auto"/>
        </w:rPr>
      </w:pPr>
    </w:p>
    <w:p>
      <w:pPr>
        <w:ind w:left="540" w:hanging="177"/>
        <w:spacing w:after="0"/>
        <w:tabs>
          <w:tab w:leader="none" w:pos="5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design, development, and manufacturing;</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testing, labeling, content, and language of instructions for use and storage;</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clinical trials;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product safety;</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marketing, sales, and distribution;</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premarket clearance and approval;</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conformity assessment procedures;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record keeping procedures;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773" w:right="319" w:bottom="1440" w:gutter="0" w:footer="0" w:header="0"/>
        </w:sectPr>
      </w:pPr>
    </w:p>
    <w:bookmarkStart w:id="51" w:name="page52"/>
    <w:bookmarkEnd w:id="51"/>
    <w:p>
      <w:pPr>
        <w:ind w:left="540" w:hanging="177"/>
        <w:spacing w:after="0"/>
        <w:tabs>
          <w:tab w:leader="none" w:pos="5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advertising and promotion;</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compliance with good manufacturing practices requirements;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recalls and field safety corrective actions;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post-market surveillance, including reporting of deaths or serious injuries and malfunctions that, if they were to recur, could lead to death or serious injury;</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post-market approval studies; and</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product import and export.</w:t>
      </w:r>
    </w:p>
    <w:p>
      <w:pPr>
        <w:spacing w:after="0" w:line="163" w:lineRule="exact"/>
        <w:rPr>
          <w:sz w:val="20"/>
          <w:szCs w:val="20"/>
          <w:color w:val="auto"/>
        </w:rPr>
      </w:pPr>
    </w:p>
    <w:p>
      <w:pPr>
        <w:jc w:val="both"/>
        <w:ind w:firstLine="332"/>
        <w:spacing w:after="0" w:line="277" w:lineRule="auto"/>
        <w:rPr>
          <w:sz w:val="20"/>
          <w:szCs w:val="20"/>
          <w:color w:val="auto"/>
        </w:rPr>
      </w:pPr>
      <w:r>
        <w:rPr>
          <w:rFonts w:ascii="Arial" w:cs="Arial" w:eastAsia="Arial" w:hAnsi="Arial"/>
          <w:sz w:val="13"/>
          <w:szCs w:val="13"/>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18" w:lineRule="exact"/>
        <w:rPr>
          <w:sz w:val="20"/>
          <w:szCs w:val="20"/>
          <w:color w:val="auto"/>
        </w:rPr>
      </w:pPr>
    </w:p>
    <w:p>
      <w:pPr>
        <w:jc w:val="both"/>
        <w:ind w:firstLine="332"/>
        <w:spacing w:after="0" w:line="269" w:lineRule="auto"/>
        <w:rPr>
          <w:sz w:val="20"/>
          <w:szCs w:val="20"/>
          <w:color w:val="auto"/>
        </w:rPr>
      </w:pPr>
      <w:r>
        <w:rPr>
          <w:rFonts w:ascii="Arial" w:cs="Arial" w:eastAsia="Arial" w:hAnsi="Arial"/>
          <w:sz w:val="12"/>
          <w:szCs w:val="12"/>
          <w:color w:val="auto"/>
        </w:rPr>
        <w:t>Before we can market or sell a new regulated product or make a significant modification to an existing product in the U.S., with only limited exceptions, we must obtain either clearance under Section 510(k) of the FDCA for Class II devices or approval of a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125" w:lineRule="exact"/>
        <w:rPr>
          <w:sz w:val="20"/>
          <w:szCs w:val="20"/>
          <w:color w:val="auto"/>
        </w:rPr>
      </w:pPr>
    </w:p>
    <w:p>
      <w:pPr>
        <w:jc w:val="both"/>
        <w:ind w:firstLine="332"/>
        <w:spacing w:after="0" w:line="249" w:lineRule="auto"/>
        <w:rPr>
          <w:sz w:val="20"/>
          <w:szCs w:val="20"/>
          <w:color w:val="auto"/>
        </w:rPr>
      </w:pPr>
      <w:r>
        <w:rPr>
          <w:rFonts w:ascii="Arial" w:cs="Arial" w:eastAsia="Arial" w:hAnsi="Arial"/>
          <w:sz w:val="13"/>
          <w:szCs w:val="13"/>
          <w:color w:val="auto"/>
        </w:rPr>
        <w:t>In the U.S.,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FDA can delay, limit or deny clearance or approval of a device for many reasons, including:</w:t>
      </w:r>
    </w:p>
    <w:p>
      <w:pPr>
        <w:spacing w:after="0" w:line="163" w:lineRule="exact"/>
        <w:rPr>
          <w:sz w:val="20"/>
          <w:szCs w:val="20"/>
          <w:color w:val="auto"/>
        </w:rPr>
      </w:pPr>
    </w:p>
    <w:p>
      <w:pPr>
        <w:ind w:left="540" w:hanging="177"/>
        <w:spacing w:after="0"/>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may not be able to demonstrate to the FDA’s satisfaction that our products are safe and effective for their intended uses;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data from our pre-clinical studies and clinical trials may be insufficient to support clearance or approval, where required; and</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manufacturing process or facilities we use may not meet applicable requirements.</w:t>
      </w:r>
    </w:p>
    <w:p>
      <w:pPr>
        <w:spacing w:after="0" w:line="163" w:lineRule="exact"/>
        <w:rPr>
          <w:sz w:val="20"/>
          <w:szCs w:val="20"/>
          <w:color w:val="auto"/>
        </w:rPr>
      </w:pPr>
    </w:p>
    <w:p>
      <w:pPr>
        <w:ind w:firstLine="332"/>
        <w:spacing w:after="0" w:line="277" w:lineRule="auto"/>
        <w:rPr>
          <w:sz w:val="20"/>
          <w:szCs w:val="20"/>
          <w:color w:val="auto"/>
        </w:rPr>
      </w:pPr>
      <w:r>
        <w:rPr>
          <w:rFonts w:ascii="Arial" w:cs="Arial" w:eastAsia="Arial" w:hAnsi="Arial"/>
          <w:sz w:val="13"/>
          <w:szCs w:val="13"/>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2"/>
          <w:szCs w:val="12"/>
          <w:color w:val="auto"/>
        </w:rPr>
        <w:t>Any delay in, or failure to receive or maintain, clearance or approval for our products under development could prevent us from generating revenue from these products or achieving profitability.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52" w:name="page53"/>
    <w:bookmarkEnd w:id="52"/>
    <w:p>
      <w:pPr>
        <w:jc w:val="both"/>
        <w:ind w:firstLine="332"/>
        <w:spacing w:after="0" w:line="260" w:lineRule="auto"/>
        <w:rPr>
          <w:sz w:val="20"/>
          <w:szCs w:val="20"/>
          <w:color w:val="auto"/>
        </w:rPr>
      </w:pPr>
      <w:r>
        <w:rPr>
          <w:rFonts w:ascii="Arial" w:cs="Arial" w:eastAsia="Arial" w:hAnsi="Arial"/>
          <w:sz w:val="13"/>
          <w:szCs w:val="13"/>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U.S.</w:t>
      </w:r>
    </w:p>
    <w:p>
      <w:pPr>
        <w:spacing w:after="0" w:line="128" w:lineRule="exact"/>
        <w:rPr>
          <w:sz w:val="20"/>
          <w:szCs w:val="20"/>
          <w:color w:val="auto"/>
        </w:rPr>
      </w:pPr>
    </w:p>
    <w:p>
      <w:pPr>
        <w:jc w:val="both"/>
        <w:ind w:firstLine="332"/>
        <w:spacing w:after="0" w:line="272" w:lineRule="auto"/>
        <w:rPr>
          <w:sz w:val="20"/>
          <w:szCs w:val="20"/>
          <w:color w:val="auto"/>
        </w:rPr>
      </w:pPr>
      <w:r>
        <w:rPr>
          <w:rFonts w:ascii="Arial" w:cs="Arial" w:eastAsia="Arial" w:hAnsi="Arial"/>
          <w:sz w:val="12"/>
          <w:szCs w:val="12"/>
          <w:color w:val="auto"/>
        </w:rPr>
        <w:t>In the EEA, our medical devices must currently comply with the Essential Requirements set forth in Annex I to the EU Medical Devices Directive (Council Directive 93/42/EEC). Compliance with these requirements is a prerequisite to be able to affix the CE mark to our medical devices, without which they cannot be marketed or sold in the EEA. To demonstrate compliance with the Essential Requirements we must undergo a conformity assessment procedure, which varies according to the type of medical device and its classification. Except for low risk medical devices (Class I), where the manufacturer can issue an EC Declaration of Conformity based on a self-assessment of the conformity of its products with the Essential Requirements, a conformity assessment procedure requires the intervention of a third-party organization designated by the competent authorities of a EEA country to conduct conformity assessments, known as a Notified Body. The Notified Body would typically audit and examine the medical device’s Technical File including the clinical evaluation, and the quality system for its manufacture and design, and conduct a final inspection of our medical devices before issuing a CE Certificate of Conformity demonstrating compliance with the Essential Requirements or the FDA’s Quality System Regulations (“QSR”) or the Medical Devices Directive.</w:t>
      </w:r>
    </w:p>
    <w:p>
      <w:pPr>
        <w:spacing w:after="0" w:line="144" w:lineRule="exact"/>
        <w:rPr>
          <w:sz w:val="20"/>
          <w:szCs w:val="20"/>
          <w:color w:val="auto"/>
        </w:rPr>
      </w:pPr>
    </w:p>
    <w:p>
      <w:pPr>
        <w:jc w:val="both"/>
        <w:ind w:firstLine="332"/>
        <w:spacing w:after="0" w:line="246" w:lineRule="auto"/>
        <w:rPr>
          <w:sz w:val="20"/>
          <w:szCs w:val="20"/>
          <w:color w:val="auto"/>
        </w:rPr>
      </w:pPr>
      <w:r>
        <w:rPr>
          <w:rFonts w:ascii="Arial" w:cs="Arial" w:eastAsia="Arial" w:hAnsi="Arial"/>
          <w:sz w:val="13"/>
          <w:szCs w:val="13"/>
          <w:color w:val="auto"/>
        </w:rPr>
        <w:t>As part of the conformity assessment process, medical device manufacturers must carry out a clinical evaluation of their medical devices to verify that they comply with the relevant Essential Requirements covering safety and performance.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 warnings) and the suitability of related Instructions for Use. This assessment must be based on clinical data, which can be obtained from (i) clinical studies conducted on the devices being assessed; (ii) scientific literature from similar devices whose equivalence with the assessed device can be demonstrated; or (iii) both clinical studies and scientific literature. With respect to implantable devices, or devices classified as Class III in the EU, the manufacturer must conduct clinical studies to obtain the required clinical data, unless the relying on existing clinical data from similar devices can be justified. As part of the conformity assessment procedure, depending on the type of devices, the Notified Body will review the manufacturer’s clinical evaluation for the medical device. The conduct of clinical studies to obtain clinical data that might be required as part of the described clinical evaluation process can be expensive and time consuming.</w:t>
      </w:r>
    </w:p>
    <w:p>
      <w:pPr>
        <w:spacing w:after="0" w:line="141" w:lineRule="exact"/>
        <w:rPr>
          <w:sz w:val="20"/>
          <w:szCs w:val="20"/>
          <w:color w:val="auto"/>
        </w:rPr>
      </w:pPr>
    </w:p>
    <w:p>
      <w:pPr>
        <w:jc w:val="both"/>
        <w:ind w:firstLine="332"/>
        <w:spacing w:after="0" w:line="321" w:lineRule="auto"/>
        <w:rPr>
          <w:sz w:val="20"/>
          <w:szCs w:val="20"/>
          <w:color w:val="auto"/>
        </w:rPr>
      </w:pPr>
      <w:r>
        <w:rPr>
          <w:rFonts w:ascii="Arial" w:cs="Arial" w:eastAsia="Arial" w:hAnsi="Arial"/>
          <w:sz w:val="12"/>
          <w:szCs w:val="12"/>
          <w:color w:val="auto"/>
        </w:rPr>
        <w:t>In May 2017, the EU Medical Device Regulation, (Regulation 2017/745) was adopted as described in “Item 1. Business - Regulation - International Regulation of Our Products” in our Annual Report on Form 10-K filed with the SEC on March 10, 2021. On April 24, 2020, the European Parliament adopted legislation deferring effectiveness of the EU Medical Device Regulation until May 2021.</w:t>
      </w:r>
    </w:p>
    <w:p>
      <w:pPr>
        <w:spacing w:after="0" w:line="94" w:lineRule="exact"/>
        <w:rPr>
          <w:sz w:val="20"/>
          <w:szCs w:val="20"/>
          <w:color w:val="auto"/>
        </w:rPr>
      </w:pPr>
    </w:p>
    <w:p>
      <w:pPr>
        <w:jc w:val="both"/>
        <w:ind w:firstLine="332"/>
        <w:spacing w:after="0" w:line="277" w:lineRule="auto"/>
        <w:rPr>
          <w:sz w:val="20"/>
          <w:szCs w:val="20"/>
          <w:color w:val="auto"/>
        </w:rPr>
      </w:pPr>
      <w:r>
        <w:rPr>
          <w:rFonts w:ascii="Arial" w:cs="Arial" w:eastAsia="Arial" w:hAnsi="Arial"/>
          <w:sz w:val="13"/>
          <w:szCs w:val="13"/>
          <w:color w:val="auto"/>
        </w:rPr>
        <w:t>The FDA and other regulatory authorities, including foreign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Failure to comply with applicable regulations could jeopardize our ability to sell our products and result in enforcement actions such as:</w:t>
      </w:r>
    </w:p>
    <w:p>
      <w:pPr>
        <w:spacing w:after="0" w:line="163" w:lineRule="exact"/>
        <w:rPr>
          <w:sz w:val="20"/>
          <w:szCs w:val="20"/>
          <w:color w:val="auto"/>
        </w:rPr>
      </w:pPr>
    </w:p>
    <w:p>
      <w:pPr>
        <w:ind w:left="540" w:hanging="177"/>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warning letters;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fines;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injunctions;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civil penalties;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termination of distribution;</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recalls or seizures of products;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delays in the introduction of products into the market;</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total or partial suspension of production;</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facility closures;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53" w:name="page54"/>
    <w:bookmarkEnd w:id="53"/>
    <w:p>
      <w:pPr>
        <w:ind w:left="540" w:hanging="177"/>
        <w:spacing w:after="0"/>
        <w:tabs>
          <w:tab w:leader="none" w:pos="5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refusal of the FDA or our Notified Body or other regulator to grant future clearances or approvals or to issue CE Certificates of Conformity;</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withdrawals, variation, or suspensions of current clearances or approvals and CE Certificates of Conformity, resulting in prohibitions on sales of our products; and</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 the most serious cases, criminal penalties.</w:t>
      </w:r>
    </w:p>
    <w:p>
      <w:pPr>
        <w:spacing w:after="0" w:line="163" w:lineRule="exact"/>
        <w:rPr>
          <w:sz w:val="20"/>
          <w:szCs w:val="20"/>
          <w:color w:val="auto"/>
        </w:rPr>
      </w:pPr>
    </w:p>
    <w:p>
      <w:pPr>
        <w:jc w:val="both"/>
        <w:ind w:firstLine="332"/>
        <w:spacing w:after="0" w:line="321" w:lineRule="auto"/>
        <w:rPr>
          <w:sz w:val="20"/>
          <w:szCs w:val="20"/>
          <w:color w:val="auto"/>
        </w:rPr>
      </w:pPr>
      <w:r>
        <w:rPr>
          <w:rFonts w:ascii="Arial" w:cs="Arial" w:eastAsia="Arial" w:hAnsi="Arial"/>
          <w:sz w:val="12"/>
          <w:szCs w:val="12"/>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b w:val="1"/>
          <w:bCs w:val="1"/>
          <w:i w:val="1"/>
          <w:iCs w:val="1"/>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spacing w:after="0" w:line="138" w:lineRule="exact"/>
        <w:rPr>
          <w:sz w:val="20"/>
          <w:szCs w:val="20"/>
          <w:color w:val="auto"/>
        </w:rPr>
      </w:pPr>
    </w:p>
    <w:p>
      <w:pPr>
        <w:jc w:val="both"/>
        <w:ind w:firstLine="332"/>
        <w:spacing w:after="0" w:line="271" w:lineRule="auto"/>
        <w:rPr>
          <w:sz w:val="20"/>
          <w:szCs w:val="20"/>
          <w:color w:val="auto"/>
        </w:rPr>
      </w:pPr>
      <w:r>
        <w:rPr>
          <w:rFonts w:ascii="Arial" w:cs="Arial" w:eastAsia="Arial" w:hAnsi="Arial"/>
          <w:sz w:val="12"/>
          <w:szCs w:val="12"/>
          <w:color w:val="auto"/>
        </w:rPr>
        <w:t>Healthcare providers, distributors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and government authorities may conclude that our business practices do not comply with applicable fraud and abuse or other healthcare laws and regulations or guidance despite our good faith efforts to comply.</w:t>
      </w:r>
    </w:p>
    <w:p>
      <w:pPr>
        <w:spacing w:after="0" w:line="143" w:lineRule="exact"/>
        <w:rPr>
          <w:sz w:val="20"/>
          <w:szCs w:val="20"/>
          <w:color w:val="auto"/>
        </w:rPr>
      </w:pPr>
    </w:p>
    <w:p>
      <w:pPr>
        <w:jc w:val="both"/>
        <w:ind w:firstLine="332"/>
        <w:spacing w:after="0" w:line="270" w:lineRule="auto"/>
        <w:rPr>
          <w:sz w:val="20"/>
          <w:szCs w:val="20"/>
          <w:color w:val="auto"/>
        </w:rPr>
      </w:pPr>
      <w:r>
        <w:rPr>
          <w:rFonts w:ascii="Arial" w:cs="Arial" w:eastAsia="Arial" w:hAnsi="Arial"/>
          <w:sz w:val="13"/>
          <w:szCs w:val="13"/>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 For example, we are subject to the federal health care Anti-Kickback Statute, the federal civil False Claims Act, the Health Insurance Portability and Accountability Act (“HIPAA”) and the federal Physician Payment Sunshine Act, each of which is described in detail in Item 1 Business - Healthcare Fraud and Abuse” and “-Data Privacy and Security Laws” in our Annual Report on Form 10-K filed with the SEC on March 10, 2021.</w:t>
      </w:r>
    </w:p>
    <w:p>
      <w:pPr>
        <w:spacing w:after="0" w:line="153" w:lineRule="exact"/>
        <w:rPr>
          <w:sz w:val="20"/>
          <w:szCs w:val="20"/>
          <w:color w:val="auto"/>
        </w:rPr>
      </w:pPr>
    </w:p>
    <w:p>
      <w:pPr>
        <w:jc w:val="both"/>
        <w:ind w:firstLine="332"/>
        <w:spacing w:after="0" w:line="291" w:lineRule="auto"/>
        <w:rPr>
          <w:sz w:val="20"/>
          <w:szCs w:val="20"/>
          <w:color w:val="auto"/>
        </w:rPr>
      </w:pPr>
      <w:r>
        <w:rPr>
          <w:rFonts w:ascii="Arial" w:cs="Arial" w:eastAsia="Arial" w:hAnsi="Arial"/>
          <w:sz w:val="12"/>
          <w:szCs w:val="12"/>
          <w:color w:val="auto"/>
        </w:rPr>
        <w:t>Certain states also have enacted analogous state and foreign law equivalents of each of the above federal laws and certain states may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Many of these state laws differ from each other in significant ways and may not have the same effect, thus complicating compliance efforts.</w:t>
      </w:r>
    </w:p>
    <w:p>
      <w:pPr>
        <w:spacing w:after="0" w:line="200" w:lineRule="exact"/>
        <w:rPr>
          <w:sz w:val="20"/>
          <w:szCs w:val="20"/>
          <w:color w:val="auto"/>
        </w:rPr>
      </w:pPr>
    </w:p>
    <w:p>
      <w:pPr>
        <w:spacing w:after="0" w:line="295" w:lineRule="exact"/>
        <w:rPr>
          <w:sz w:val="20"/>
          <w:szCs w:val="20"/>
          <w:color w:val="auto"/>
        </w:rPr>
      </w:pPr>
    </w:p>
    <w:p>
      <w:pPr>
        <w:jc w:val="both"/>
        <w:ind w:firstLine="483"/>
        <w:spacing w:after="0" w:line="260" w:lineRule="auto"/>
        <w:rPr>
          <w:sz w:val="20"/>
          <w:szCs w:val="20"/>
          <w:color w:val="auto"/>
        </w:rPr>
      </w:pPr>
      <w:r>
        <w:rPr>
          <w:rFonts w:ascii="Arial" w:cs="Arial" w:eastAsia="Arial" w:hAnsi="Arial"/>
          <w:sz w:val="13"/>
          <w:szCs w:val="13"/>
          <w:color w:val="auto"/>
        </w:rPr>
        <w:t>If we or our employees are found to have violated any of the above laws we may be subject to significant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spacing w:after="0" w:line="148" w:lineRule="exact"/>
        <w:rPr>
          <w:sz w:val="20"/>
          <w:szCs w:val="20"/>
          <w:color w:val="auto"/>
        </w:rPr>
      </w:pPr>
    </w:p>
    <w:p>
      <w:pPr>
        <w:jc w:val="both"/>
        <w:ind w:firstLine="336"/>
        <w:spacing w:after="0" w:line="272" w:lineRule="auto"/>
        <w:rPr>
          <w:sz w:val="20"/>
          <w:szCs w:val="20"/>
          <w:color w:val="auto"/>
        </w:rPr>
      </w:pPr>
      <w:r>
        <w:rPr>
          <w:rFonts w:ascii="Arial" w:cs="Arial" w:eastAsia="Arial" w:hAnsi="Arial"/>
          <w:sz w:val="12"/>
          <w:szCs w:val="12"/>
          <w:color w:val="auto"/>
        </w:rPr>
        <w:t>We have entered into consulting agreements and royalty agreements with physicians and healthcare executives, including some who are customers. We also engage in co-marketing arrangements with certain surgeons who use our products. In addition, prior to our IPO, a small number of our current customer surgeons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to comply with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144" w:lineRule="exact"/>
        <w:rPr>
          <w:sz w:val="20"/>
          <w:szCs w:val="20"/>
          <w:color w:val="auto"/>
        </w:rPr>
      </w:pPr>
    </w:p>
    <w:p>
      <w:pPr>
        <w:jc w:val="both"/>
        <w:ind w:firstLine="336"/>
        <w:spacing w:after="0" w:line="277" w:lineRule="auto"/>
        <w:rPr>
          <w:sz w:val="20"/>
          <w:szCs w:val="20"/>
          <w:color w:val="auto"/>
        </w:rPr>
      </w:pPr>
      <w:r>
        <w:rPr>
          <w:rFonts w:ascii="Arial" w:cs="Arial" w:eastAsia="Arial" w:hAnsi="Arial"/>
          <w:sz w:val="13"/>
          <w:szCs w:val="13"/>
          <w:color w:val="auto"/>
        </w:rPr>
        <w:t>Various state and federal regulatory and enforcement agencies continue actively to investigate violations of health care laws and regulations, and the U.S. Congress continues to strengthen the arsenal of enforcement tools. To enforce compliance with the federal</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54" w:name="page55"/>
    <w:bookmarkEnd w:id="54"/>
    <w:p>
      <w:pPr>
        <w:jc w:val="both"/>
        <w:spacing w:after="0" w:line="249" w:lineRule="auto"/>
        <w:rPr>
          <w:sz w:val="20"/>
          <w:szCs w:val="20"/>
          <w:color w:val="auto"/>
        </w:rPr>
      </w:pPr>
      <w:r>
        <w:rPr>
          <w:rFonts w:ascii="Arial" w:cs="Arial" w:eastAsia="Arial" w:hAnsi="Arial"/>
          <w:sz w:val="13"/>
          <w:szCs w:val="13"/>
          <w:color w:val="auto"/>
        </w:rPr>
        <w:t>laws, the U.S. Department of Justice has continued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deferred or non-prosecution agreement,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57" w:lineRule="exact"/>
        <w:rPr>
          <w:sz w:val="20"/>
          <w:szCs w:val="20"/>
          <w:color w:val="auto"/>
        </w:rPr>
      </w:pPr>
    </w:p>
    <w:p>
      <w:pPr>
        <w:jc w:val="both"/>
        <w:ind w:firstLine="336"/>
        <w:spacing w:after="0" w:line="291" w:lineRule="auto"/>
        <w:rPr>
          <w:sz w:val="20"/>
          <w:szCs w:val="20"/>
          <w:color w:val="auto"/>
        </w:rPr>
      </w:pPr>
      <w:r>
        <w:rPr>
          <w:rFonts w:ascii="Arial" w:cs="Arial" w:eastAsia="Arial" w:hAnsi="Arial"/>
          <w:sz w:val="12"/>
          <w:szCs w:val="12"/>
          <w:color w:val="auto"/>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failure to adequately protect personal information in compliance with evolving legal requirements could harm our business.</w:t>
      </w:r>
    </w:p>
    <w:p>
      <w:pPr>
        <w:spacing w:after="0" w:line="163" w:lineRule="exact"/>
        <w:rPr>
          <w:sz w:val="20"/>
          <w:szCs w:val="20"/>
          <w:color w:val="auto"/>
        </w:rPr>
      </w:pPr>
    </w:p>
    <w:p>
      <w:pPr>
        <w:jc w:val="both"/>
        <w:ind w:firstLine="332"/>
        <w:spacing w:after="0" w:line="267" w:lineRule="auto"/>
        <w:rPr>
          <w:sz w:val="20"/>
          <w:szCs w:val="20"/>
          <w:color w:val="auto"/>
        </w:rPr>
      </w:pPr>
      <w:r>
        <w:rPr>
          <w:rFonts w:ascii="Arial" w:cs="Arial" w:eastAsia="Arial" w:hAnsi="Arial"/>
          <w:sz w:val="13"/>
          <w:szCs w:val="13"/>
          <w:color w:val="auto"/>
        </w:rPr>
        <w:t>In the ordinary course of our business, we collect and store sensitive data, including legally protected personally identifiable information. We collect this kind of information for billing, reimbursement support, marketing purposes, post-marketing safety vigilance, servicing potential warranty claims and during the course of clinical trials. In doing so, we are subject to various federal, state and foreign laws that protect the confidentiality of certain patient health information, including patient medical records, and restrict the use and disclosure of patient health information by healthcare providers, such as HIPAA in the U.S. and regulations in the European Union (“EU”), which are described in detail in Item 1 Business - Data Privacy and Security Laws” in our Annual Report on Form 10-K filed with the SEC on March 10, 2021.</w:t>
      </w:r>
    </w:p>
    <w:p>
      <w:pPr>
        <w:spacing w:after="0" w:line="155" w:lineRule="exact"/>
        <w:rPr>
          <w:sz w:val="20"/>
          <w:szCs w:val="20"/>
          <w:color w:val="auto"/>
        </w:rPr>
      </w:pPr>
    </w:p>
    <w:p>
      <w:pPr>
        <w:jc w:val="both"/>
        <w:ind w:firstLine="332"/>
        <w:spacing w:after="0" w:line="274" w:lineRule="auto"/>
        <w:rPr>
          <w:sz w:val="20"/>
          <w:szCs w:val="20"/>
          <w:color w:val="auto"/>
        </w:rPr>
      </w:pPr>
      <w:r>
        <w:rPr>
          <w:rFonts w:ascii="Arial" w:cs="Arial" w:eastAsia="Arial" w:hAnsi="Arial"/>
          <w:sz w:val="12"/>
          <w:szCs w:val="12"/>
          <w:color w:val="auto"/>
        </w:rPr>
        <w:t>The California Consumer Privacy Act (“CCPA”), which became effective on January 1, 2020, requires a broad range of businesses to honor the requests of California residents to access and require deletion of their personal information, opt out of certain personal information sharing, and receive detailed information about how their personal information is used and shared. The CCPA provides for civil penalties of up to $7,500 for intentional violations, and a private right of action for data breaches that allows private plaintiffs to seek the greater of actual damages or statutory damages of up to $750 per</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consumer per data breach. These remedies are expected to increase data breach litigation. Although the CCPA includes exemptions for certain clinical trials data, and protected health information governed by HIPAA, the law may increase our compliance costs and potential liability with respect to other personal information we collect about California residents. Our compliance costs and potential liability with respect to personal information may also increase in response to other states adopting and considering initiative regarding protection of personal information. In March 2021, Virginia passed the Consumer Data Protection Act (“CDPA”) which will take effect on January 1, 2023. Virginia is the second state to pass comprehensive privacy litigation. Colorado passed the Colorado Privacy Act (“CPA”) on July 7, 2021 with enforcement to begin on July 1, 2023. While the CDPA and CPA emulate the GDPR and the CCPA in certain respects, the laws differ and compliance with one law does not equate to compliance with the other laws. Several other states (including Washington, New York, and Minnesota) also are considering comprehensive privacy legislation that could further complicate and increase the cost of complying with various state privacy laws. If states pass a patchwork of privacy laws, this also could increase pressure on the U.S. Congress to harmonize privacy laws through federal legislation.</w:t>
      </w:r>
    </w:p>
    <w:p>
      <w:pPr>
        <w:spacing w:after="0" w:line="141" w:lineRule="exact"/>
        <w:rPr>
          <w:sz w:val="20"/>
          <w:szCs w:val="20"/>
          <w:color w:val="auto"/>
        </w:rPr>
      </w:pPr>
    </w:p>
    <w:p>
      <w:pPr>
        <w:jc w:val="both"/>
        <w:ind w:firstLine="336"/>
        <w:spacing w:after="0" w:line="248" w:lineRule="auto"/>
        <w:rPr>
          <w:sz w:val="20"/>
          <w:szCs w:val="20"/>
          <w:color w:val="auto"/>
        </w:rPr>
      </w:pPr>
      <w:r>
        <w:rPr>
          <w:rFonts w:ascii="Arial" w:cs="Arial" w:eastAsia="Arial" w:hAnsi="Arial"/>
          <w:sz w:val="13"/>
          <w:szCs w:val="13"/>
          <w:color w:val="auto"/>
        </w:rPr>
        <w:t>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our operations, financial performance, and business. Evolving and changing definitions of personal data and personal information, within the European Union, the U.S.,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773" w:right="31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i w:val="1"/>
          <w:iCs w:val="1"/>
          <w:color w:val="auto"/>
        </w:rPr>
        <w:t>We are subject to risks associated with our non-U.S. operations.</w:t>
      </w:r>
    </w:p>
    <w:p>
      <w:pPr>
        <w:spacing w:after="0" w:line="163" w:lineRule="exact"/>
        <w:rPr>
          <w:sz w:val="20"/>
          <w:szCs w:val="20"/>
          <w:color w:val="auto"/>
        </w:rPr>
      </w:pPr>
    </w:p>
    <w:p>
      <w:pPr>
        <w:jc w:val="both"/>
        <w:ind w:firstLine="332"/>
        <w:spacing w:after="0" w:line="271" w:lineRule="auto"/>
        <w:rPr>
          <w:sz w:val="20"/>
          <w:szCs w:val="20"/>
          <w:color w:val="auto"/>
        </w:rPr>
      </w:pPr>
      <w:r>
        <w:rPr>
          <w:rFonts w:ascii="Arial" w:cs="Arial" w:eastAsia="Arial" w:hAnsi="Arial"/>
          <w:sz w:val="12"/>
          <w:szCs w:val="12"/>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43" w:lineRule="exact"/>
        <w:rPr>
          <w:sz w:val="20"/>
          <w:szCs w:val="20"/>
          <w:color w:val="auto"/>
        </w:rPr>
      </w:pPr>
    </w:p>
    <w:p>
      <w:pPr>
        <w:jc w:val="both"/>
        <w:ind w:firstLine="332"/>
        <w:spacing w:after="0" w:line="277" w:lineRule="auto"/>
        <w:rPr>
          <w:sz w:val="20"/>
          <w:szCs w:val="20"/>
          <w:color w:val="auto"/>
        </w:rPr>
      </w:pPr>
      <w:r>
        <w:rPr>
          <w:rFonts w:ascii="Arial" w:cs="Arial" w:eastAsia="Arial" w:hAnsi="Arial"/>
          <w:sz w:val="12"/>
          <w:szCs w:val="12"/>
          <w:color w:val="auto"/>
        </w:rPr>
        <w:t>Furthermore, we are subject to anti-boycott laws, anti-money laundering laws, and the export controls and economic embargo rules and regulations of the U.S.,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118" w:lineRule="exact"/>
        <w:rPr>
          <w:sz w:val="20"/>
          <w:szCs w:val="20"/>
          <w:color w:val="auto"/>
        </w:rPr>
      </w:pPr>
    </w:p>
    <w:p>
      <w:pPr>
        <w:jc w:val="both"/>
        <w:ind w:firstLine="332"/>
        <w:spacing w:after="0" w:line="251" w:lineRule="auto"/>
        <w:rPr>
          <w:sz w:val="20"/>
          <w:szCs w:val="20"/>
          <w:color w:val="auto"/>
        </w:rPr>
      </w:pPr>
      <w:r>
        <w:rPr>
          <w:rFonts w:ascii="Arial" w:cs="Arial" w:eastAsia="Arial" w:hAnsi="Arial"/>
          <w:sz w:val="13"/>
          <w:szCs w:val="13"/>
          <w:color w:val="auto"/>
        </w:rPr>
        <w:t>For any product for which we obtain regulatory clearance or approval, or a CE Certificate of Conformity,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International Standards Organization (“ISO”)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35" w:lineRule="exact"/>
        <w:rPr>
          <w:sz w:val="20"/>
          <w:szCs w:val="20"/>
          <w:color w:val="auto"/>
        </w:rPr>
      </w:pPr>
    </w:p>
    <w:p>
      <w:pPr>
        <w:jc w:val="both"/>
        <w:ind w:firstLine="332"/>
        <w:spacing w:after="0" w:line="277" w:lineRule="auto"/>
        <w:rPr>
          <w:sz w:val="20"/>
          <w:szCs w:val="20"/>
          <w:color w:val="auto"/>
        </w:rPr>
      </w:pPr>
      <w:r>
        <w:rPr>
          <w:rFonts w:ascii="Arial" w:cs="Arial" w:eastAsia="Arial" w:hAnsi="Arial"/>
          <w:sz w:val="13"/>
          <w:szCs w:val="13"/>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118" w:lineRule="exact"/>
        <w:rPr>
          <w:sz w:val="20"/>
          <w:szCs w:val="20"/>
          <w:color w:val="auto"/>
        </w:rPr>
      </w:pPr>
    </w:p>
    <w:p>
      <w:pPr>
        <w:ind w:left="540" w:hanging="177"/>
        <w:spacing w:after="0"/>
        <w:tabs>
          <w:tab w:leader="none" w:pos="5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untitled letters, warning letters, fines, injunctions, consent, and civil penalties;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unanticipated expenditures to address or defend such actions;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customer notifications for repair, replacement, refunds;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recall, detention, or seizure of our products;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operating restrictions or partial suspension or total shutdown of production;</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refusing or delaying our requests for 510(k) clearance or premarket approval and conformity assessments of new products or modified products;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limitations on the intended uses for which the product may be marketed;</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operating restrictions;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withdrawing 510(k) clearances or PMA approvals that have already been granted;</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suspension, variation or withdrawal of CE Certificates of Conformity;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56" w:name="page57"/>
    <w:bookmarkEnd w:id="56"/>
    <w:p>
      <w:pPr>
        <w:ind w:left="540" w:hanging="177"/>
        <w:spacing w:after="0"/>
        <w:tabs>
          <w:tab w:leader="none" w:pos="5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refusal to grant export approval for our products; and</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criminal prosecution.</w:t>
      </w:r>
    </w:p>
    <w:p>
      <w:pPr>
        <w:spacing w:after="0" w:line="163" w:lineRule="exact"/>
        <w:rPr>
          <w:sz w:val="20"/>
          <w:szCs w:val="20"/>
          <w:color w:val="auto"/>
        </w:rPr>
      </w:pPr>
    </w:p>
    <w:p>
      <w:pPr>
        <w:jc w:val="both"/>
        <w:ind w:firstLine="332"/>
        <w:spacing w:after="0" w:line="249" w:lineRule="auto"/>
        <w:rPr>
          <w:sz w:val="20"/>
          <w:szCs w:val="20"/>
          <w:color w:val="auto"/>
        </w:rPr>
      </w:pPr>
      <w:r>
        <w:rPr>
          <w:rFonts w:ascii="Arial" w:cs="Arial" w:eastAsia="Arial" w:hAnsi="Arial"/>
          <w:sz w:val="13"/>
          <w:szCs w:val="13"/>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57" w:lineRule="exact"/>
        <w:rPr>
          <w:sz w:val="20"/>
          <w:szCs w:val="20"/>
          <w:color w:val="auto"/>
        </w:rPr>
      </w:pPr>
    </w:p>
    <w:p>
      <w:pPr>
        <w:jc w:val="both"/>
        <w:ind w:firstLine="332"/>
        <w:spacing w:after="0" w:line="282" w:lineRule="auto"/>
        <w:rPr>
          <w:sz w:val="20"/>
          <w:szCs w:val="20"/>
          <w:color w:val="auto"/>
        </w:rPr>
      </w:pPr>
      <w:r>
        <w:rPr>
          <w:rFonts w:ascii="Arial" w:cs="Arial" w:eastAsia="Arial" w:hAnsi="Arial"/>
          <w:sz w:val="12"/>
          <w:szCs w:val="12"/>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 Any of these actions would harm our reputation and cause our product sales and profitability to suffer and may prevent us from generating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3"/>
          <w:szCs w:val="13"/>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118" w:lineRule="exact"/>
        <w:rPr>
          <w:sz w:val="20"/>
          <w:szCs w:val="20"/>
          <w:color w:val="auto"/>
        </w:rPr>
      </w:pPr>
    </w:p>
    <w:p>
      <w:pPr>
        <w:jc w:val="both"/>
        <w:ind w:firstLine="332"/>
        <w:spacing w:after="0" w:line="246" w:lineRule="auto"/>
        <w:rPr>
          <w:sz w:val="20"/>
          <w:szCs w:val="20"/>
          <w:color w:val="auto"/>
        </w:rPr>
      </w:pPr>
      <w:r>
        <w:rPr>
          <w:rFonts w:ascii="Arial" w:cs="Arial" w:eastAsia="Arial" w:hAnsi="Arial"/>
          <w:sz w:val="13"/>
          <w:szCs w:val="13"/>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state and foreign healthcare laws and regulations,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subject to enforcement action, including fines, penalties or injunctions, if we are determined to be engaging in the off-label promotion of our products.</w:t>
      </w:r>
    </w:p>
    <w:p>
      <w:pPr>
        <w:spacing w:after="0" w:line="163" w:lineRule="exact"/>
        <w:rPr>
          <w:sz w:val="20"/>
          <w:szCs w:val="20"/>
          <w:color w:val="auto"/>
        </w:rPr>
      </w:pPr>
    </w:p>
    <w:p>
      <w:pPr>
        <w:jc w:val="both"/>
        <w:ind w:firstLine="332"/>
        <w:spacing w:after="0" w:line="272" w:lineRule="auto"/>
        <w:rPr>
          <w:sz w:val="20"/>
          <w:szCs w:val="20"/>
          <w:color w:val="auto"/>
        </w:rPr>
      </w:pPr>
      <w:r>
        <w:rPr>
          <w:rFonts w:ascii="Arial" w:cs="Arial" w:eastAsia="Arial" w:hAnsi="Arial"/>
          <w:sz w:val="12"/>
          <w:szCs w:val="12"/>
          <w:color w:val="auto"/>
        </w:rPr>
        <w:t>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 In the U.S., the full indication for the iFuse Implant System is: “The iFuse Implant System is intended for sacroiliac fusion for the following conditions: (i) Sacroiliac joint dysfunction that is a direct result of sacroiliac joint disruption and degenerative sacroiliitis. This includes conditions whose symptoms began during pregnancy or in the peripartum period and have persisted postpartum for more than 6 months. (ii) To augment immobilization and stabilization of the sacroiliac joint in skeletally mature patients undergoing sacropelvic fixation as part of a lumbar or thoracolumbar fusion. (iii) Acute, non-acute, and non-traumatic fractures involving the sacroiliac joint.” In the U.S.,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200" w:lineRule="exact"/>
        <w:rPr>
          <w:sz w:val="20"/>
          <w:szCs w:val="20"/>
          <w:color w:val="auto"/>
        </w:rPr>
      </w:pPr>
    </w:p>
    <w:p>
      <w:pPr>
        <w:spacing w:after="0" w:line="306" w:lineRule="exact"/>
        <w:rPr>
          <w:sz w:val="20"/>
          <w:szCs w:val="20"/>
          <w:color w:val="auto"/>
        </w:rPr>
      </w:pPr>
    </w:p>
    <w:p>
      <w:pPr>
        <w:jc w:val="both"/>
        <w:ind w:firstLine="332"/>
        <w:spacing w:after="0" w:line="254" w:lineRule="auto"/>
        <w:rPr>
          <w:sz w:val="20"/>
          <w:szCs w:val="20"/>
          <w:color w:val="auto"/>
        </w:rPr>
      </w:pPr>
      <w:r>
        <w:rPr>
          <w:rFonts w:ascii="Arial" w:cs="Arial" w:eastAsia="Arial" w:hAnsi="Arial"/>
          <w:sz w:val="13"/>
          <w:szCs w:val="13"/>
          <w:color w:val="auto"/>
        </w:rPr>
        <w:t>We believe that the specific surgical procedures for which our products are marketed fall within the scope of the surgical applications that have been cleared by the FDA and our notified body. However, if the FDA or an equivalent third country authority determines that our promotional materials or training constitutes promotion of an off-label use, it could request that we modify our training or promotional materials, require us to stop promoting our products for those specific procedures until we obtain FDA or third country authority clearance or approval for them, or subject us to regulatory or enforcement actions, including the issuance of an untitled letter, a warning letter, injunction, seizure, civil fines, and criminal penalties. It is also possible that other federal, state or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57" w:name="page58"/>
    <w:bookmarkEnd w:id="57"/>
    <w:p>
      <w:pPr>
        <w:jc w:val="both"/>
        <w:spacing w:after="0" w:line="251" w:lineRule="auto"/>
        <w:rPr>
          <w:sz w:val="20"/>
          <w:szCs w:val="20"/>
          <w:color w:val="auto"/>
        </w:rPr>
      </w:pPr>
      <w:r>
        <w:rPr>
          <w:rFonts w:ascii="Arial" w:cs="Arial" w:eastAsia="Arial" w:hAnsi="Arial"/>
          <w:sz w:val="13"/>
          <w:szCs w:val="13"/>
          <w:color w:val="auto"/>
        </w:rPr>
        <w:t>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174" w:lineRule="exact"/>
        <w:rPr>
          <w:sz w:val="20"/>
          <w:szCs w:val="20"/>
          <w:color w:val="auto"/>
        </w:rPr>
      </w:pPr>
    </w:p>
    <w:p>
      <w:pPr>
        <w:jc w:val="both"/>
        <w:ind w:firstLine="332"/>
        <w:spacing w:after="0" w:line="254" w:lineRule="auto"/>
        <w:rPr>
          <w:sz w:val="20"/>
          <w:szCs w:val="20"/>
          <w:color w:val="auto"/>
        </w:rPr>
      </w:pPr>
      <w:r>
        <w:rPr>
          <w:rFonts w:ascii="Arial" w:cs="Arial" w:eastAsia="Arial" w:hAnsi="Arial"/>
          <w:sz w:val="13"/>
          <w:szCs w:val="13"/>
          <w:color w:val="auto"/>
        </w:rPr>
        <w:t>Under the FDA’s medical device reporting, regulations, and equivalent rules of other countries we are required to report to the FDA or a similar authority in such other country, any information that our product may have caused or contributed to a death or serious injury or in which our product malfunctioned and, if the malfunction were to recur, would likely cause or contribute to death or serious injury. In the EEA, we must report serious incidents and field safety corrective actions through the Commission’s electronic system on vigilance and post-market surveillance, which reports are transmitted to the competent authority of the Member State in which the incident occurred.</w:t>
      </w:r>
    </w:p>
    <w:p>
      <w:pPr>
        <w:spacing w:after="0" w:line="132" w:lineRule="exact"/>
        <w:rPr>
          <w:sz w:val="20"/>
          <w:szCs w:val="20"/>
          <w:color w:val="auto"/>
        </w:rPr>
      </w:pPr>
    </w:p>
    <w:p>
      <w:pPr>
        <w:jc w:val="both"/>
        <w:ind w:firstLine="332"/>
        <w:spacing w:after="0" w:line="282" w:lineRule="auto"/>
        <w:rPr>
          <w:sz w:val="20"/>
          <w:szCs w:val="20"/>
          <w:color w:val="auto"/>
        </w:rPr>
      </w:pPr>
      <w:r>
        <w:rPr>
          <w:rFonts w:ascii="Arial" w:cs="Arial" w:eastAsia="Arial" w:hAnsi="Arial"/>
          <w:sz w:val="12"/>
          <w:szCs w:val="12"/>
          <w:color w:val="auto"/>
        </w:rPr>
        <w:t>If we fail to report these events to the FDA or applicable authority in another country within the required timeframes, or at all, FDA, or the applicable authority in the other country could take enforcement action against us. Any such adverse event involving our products or repeated product malfunctions may result in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200" w:lineRule="exact"/>
        <w:rPr>
          <w:sz w:val="20"/>
          <w:szCs w:val="20"/>
          <w:color w:val="auto"/>
        </w:rPr>
      </w:pPr>
    </w:p>
    <w:p>
      <w:pPr>
        <w:spacing w:after="0" w:line="259" w:lineRule="exact"/>
        <w:rPr>
          <w:sz w:val="20"/>
          <w:szCs w:val="20"/>
          <w:color w:val="auto"/>
        </w:rPr>
      </w:pPr>
    </w:p>
    <w:p>
      <w:pPr>
        <w:jc w:val="both"/>
        <w:ind w:firstLine="332"/>
        <w:spacing w:after="0" w:line="251" w:lineRule="auto"/>
        <w:rPr>
          <w:sz w:val="20"/>
          <w:szCs w:val="20"/>
          <w:color w:val="auto"/>
        </w:rPr>
      </w:pPr>
      <w:r>
        <w:rPr>
          <w:rFonts w:ascii="Arial" w:cs="Arial" w:eastAsia="Arial" w:hAnsi="Arial"/>
          <w:sz w:val="13"/>
          <w:szCs w:val="13"/>
          <w:color w:val="auto"/>
        </w:rPr>
        <w:t>Any adverse event involving our products, whether in the U.S.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3"/>
          <w:szCs w:val="13"/>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118" w:lineRule="exact"/>
        <w:rPr>
          <w:sz w:val="20"/>
          <w:szCs w:val="20"/>
          <w:color w:val="auto"/>
        </w:rPr>
      </w:pPr>
    </w:p>
    <w:p>
      <w:pPr>
        <w:jc w:val="both"/>
        <w:ind w:firstLine="332"/>
        <w:spacing w:after="0" w:line="277" w:lineRule="auto"/>
        <w:rPr>
          <w:sz w:val="20"/>
          <w:szCs w:val="20"/>
          <w:color w:val="auto"/>
        </w:rPr>
      </w:pPr>
      <w:r>
        <w:rPr>
          <w:rFonts w:ascii="Arial" w:cs="Arial" w:eastAsia="Arial" w:hAnsi="Arial"/>
          <w:sz w:val="13"/>
          <w:szCs w:val="13"/>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38" w:lineRule="exact"/>
        <w:rPr>
          <w:sz w:val="20"/>
          <w:szCs w:val="20"/>
          <w:color w:val="auto"/>
        </w:rPr>
      </w:pPr>
    </w:p>
    <w:p>
      <w:pPr>
        <w:jc w:val="both"/>
        <w:ind w:firstLine="332"/>
        <w:spacing w:after="0" w:line="277" w:lineRule="auto"/>
        <w:rPr>
          <w:sz w:val="20"/>
          <w:szCs w:val="20"/>
          <w:color w:val="auto"/>
        </w:rPr>
      </w:pPr>
      <w:r>
        <w:rPr>
          <w:rFonts w:ascii="Arial" w:cs="Arial" w:eastAsia="Arial" w:hAnsi="Arial"/>
          <w:sz w:val="12"/>
          <w:szCs w:val="12"/>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40" w:lineRule="exact"/>
        <w:rPr>
          <w:sz w:val="20"/>
          <w:szCs w:val="20"/>
          <w:color w:val="auto"/>
        </w:rPr>
      </w:pPr>
    </w:p>
    <w:p>
      <w:pPr>
        <w:jc w:val="both"/>
        <w:ind w:firstLine="332"/>
        <w:spacing w:after="0" w:line="282" w:lineRule="auto"/>
        <w:rPr>
          <w:sz w:val="20"/>
          <w:szCs w:val="20"/>
          <w:color w:val="auto"/>
        </w:rPr>
      </w:pPr>
      <w:r>
        <w:rPr>
          <w:rFonts w:ascii="Arial" w:cs="Arial" w:eastAsia="Arial" w:hAnsi="Arial"/>
          <w:sz w:val="12"/>
          <w:szCs w:val="12"/>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 Equivalent procedures and penalties have been established in other countries including EU Member States.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773" w:right="31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3"/>
          <w:szCs w:val="13"/>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18" w:lineRule="exact"/>
        <w:rPr>
          <w:sz w:val="20"/>
          <w:szCs w:val="20"/>
          <w:color w:val="auto"/>
        </w:rPr>
      </w:pPr>
    </w:p>
    <w:p>
      <w:pPr>
        <w:jc w:val="both"/>
        <w:ind w:firstLine="332"/>
        <w:spacing w:after="0" w:line="282" w:lineRule="auto"/>
        <w:rPr>
          <w:sz w:val="20"/>
          <w:szCs w:val="20"/>
          <w:color w:val="auto"/>
        </w:rPr>
      </w:pPr>
      <w:r>
        <w:rPr>
          <w:rFonts w:ascii="Arial" w:cs="Arial" w:eastAsia="Arial" w:hAnsi="Arial"/>
          <w:sz w:val="12"/>
          <w:szCs w:val="12"/>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w:t>
      </w:r>
    </w:p>
    <w:p>
      <w:pPr>
        <w:spacing w:after="0" w:line="137" w:lineRule="exact"/>
        <w:rPr>
          <w:sz w:val="20"/>
          <w:szCs w:val="20"/>
          <w:color w:val="auto"/>
        </w:rPr>
      </w:pPr>
    </w:p>
    <w:p>
      <w:pPr>
        <w:jc w:val="both"/>
        <w:ind w:firstLine="332"/>
        <w:spacing w:after="0" w:line="254" w:lineRule="auto"/>
        <w:rPr>
          <w:sz w:val="20"/>
          <w:szCs w:val="20"/>
          <w:color w:val="auto"/>
        </w:rPr>
      </w:pPr>
      <w:r>
        <w:rPr>
          <w:rFonts w:ascii="Arial" w:cs="Arial" w:eastAsia="Arial" w:hAnsi="Arial"/>
          <w:sz w:val="13"/>
          <w:szCs w:val="13"/>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In these circumstances, we may be subject to significant enforcement actions, regulatory fines, or penalties, which could require us to redesign our products and harm our operating results.</w:t>
      </w:r>
    </w:p>
    <w:p>
      <w:pPr>
        <w:spacing w:after="0" w:line="334" w:lineRule="exact"/>
        <w:rPr>
          <w:sz w:val="20"/>
          <w:szCs w:val="20"/>
          <w:color w:val="auto"/>
        </w:rPr>
      </w:pPr>
    </w:p>
    <w:p>
      <w:pPr>
        <w:jc w:val="both"/>
        <w:ind w:firstLine="332"/>
        <w:spacing w:after="0" w:line="251" w:lineRule="auto"/>
        <w:rPr>
          <w:sz w:val="20"/>
          <w:szCs w:val="20"/>
          <w:color w:val="auto"/>
        </w:rPr>
      </w:pPr>
      <w:r>
        <w:rPr>
          <w:rFonts w:ascii="Arial" w:cs="Arial" w:eastAsia="Arial" w:hAnsi="Arial"/>
          <w:sz w:val="13"/>
          <w:szCs w:val="13"/>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55" w:lineRule="exact"/>
        <w:rPr>
          <w:sz w:val="20"/>
          <w:szCs w:val="20"/>
          <w:color w:val="auto"/>
        </w:rPr>
      </w:pPr>
    </w:p>
    <w:p>
      <w:pPr>
        <w:jc w:val="both"/>
        <w:ind w:firstLine="332"/>
        <w:spacing w:after="0" w:line="251" w:lineRule="auto"/>
        <w:rPr>
          <w:sz w:val="20"/>
          <w:szCs w:val="20"/>
          <w:color w:val="auto"/>
        </w:rPr>
      </w:pPr>
      <w:r>
        <w:rPr>
          <w:rFonts w:ascii="Arial" w:cs="Arial" w:eastAsia="Arial" w:hAnsi="Arial"/>
          <w:sz w:val="13"/>
          <w:szCs w:val="13"/>
          <w:color w:val="auto"/>
        </w:rPr>
        <w:t>In the EEA, we must inform the Notified Body that carried out the conformity assessment of the medical devices we market or sell in the EEA of any planned substantial changes to our quality system, manufacturing process, or changes to our devices which could affect compliance with the essential requirements or the devices’ intended use. The Notified Body will then assess the changes and verify whether they affect the products’ conformity with Essential Requirements and related applicable laws. There can be no assurances that the assessment will be favorable and that the Notified Body will attest to our compliance with the essential requirements, which will prevent us from selling our products in the EEA. Moreover, any substantial changes that take place in the coming years may impact the continuing effectiveness of our CE Certificates of Conformity that were issued on the basis of the Medical Device Directive.</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3"/>
          <w:szCs w:val="13"/>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business prospects.</w:t>
      </w:r>
    </w:p>
    <w:p>
      <w:pPr>
        <w:spacing w:after="0" w:line="118" w:lineRule="exact"/>
        <w:rPr>
          <w:sz w:val="20"/>
          <w:szCs w:val="20"/>
          <w:color w:val="auto"/>
        </w:rPr>
      </w:pPr>
    </w:p>
    <w:p>
      <w:pPr>
        <w:jc w:val="both"/>
        <w:ind w:firstLine="332"/>
        <w:spacing w:after="0" w:line="272" w:lineRule="auto"/>
        <w:rPr>
          <w:sz w:val="20"/>
          <w:szCs w:val="20"/>
          <w:color w:val="auto"/>
        </w:rPr>
      </w:pPr>
      <w:r>
        <w:rPr>
          <w:rFonts w:ascii="Arial" w:cs="Arial" w:eastAsia="Arial" w:hAnsi="Arial"/>
          <w:sz w:val="12"/>
          <w:szCs w:val="12"/>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or significant clinical evidence to support regulatory approval and we may not successfully complete these clinical trials. 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adversely affect our business prospects.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Certificates of Conformity for our new products would have an adverse effect on our ability to expand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fail to obtain or maintain foreign regulatory approvals to market our products in other countries.</w:t>
      </w:r>
    </w:p>
    <w:p>
      <w:pPr>
        <w:spacing w:after="0" w:line="163" w:lineRule="exact"/>
        <w:rPr>
          <w:sz w:val="20"/>
          <w:szCs w:val="20"/>
          <w:color w:val="auto"/>
        </w:rPr>
      </w:pPr>
    </w:p>
    <w:p>
      <w:pPr>
        <w:jc w:val="both"/>
        <w:ind w:firstLine="332"/>
        <w:spacing w:after="0" w:line="254" w:lineRule="auto"/>
        <w:rPr>
          <w:sz w:val="20"/>
          <w:szCs w:val="20"/>
          <w:color w:val="auto"/>
        </w:rPr>
      </w:pPr>
      <w:r>
        <w:rPr>
          <w:rFonts w:ascii="Arial" w:cs="Arial" w:eastAsia="Arial" w:hAnsi="Arial"/>
          <w:sz w:val="13"/>
          <w:szCs w:val="13"/>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32" w:lineRule="exact"/>
        <w:rPr>
          <w:sz w:val="20"/>
          <w:szCs w:val="20"/>
          <w:color w:val="auto"/>
        </w:rPr>
      </w:pPr>
    </w:p>
    <w:p>
      <w:pPr>
        <w:jc w:val="both"/>
        <w:ind w:firstLine="332"/>
        <w:spacing w:after="0" w:line="277" w:lineRule="auto"/>
        <w:rPr>
          <w:sz w:val="20"/>
          <w:szCs w:val="20"/>
          <w:color w:val="auto"/>
        </w:rPr>
      </w:pPr>
      <w:r>
        <w:rPr>
          <w:rFonts w:ascii="Arial" w:cs="Arial" w:eastAsia="Arial" w:hAnsi="Arial"/>
          <w:sz w:val="13"/>
          <w:szCs w:val="13"/>
          <w:color w:val="auto"/>
        </w:rPr>
        <w:t>Clearance or approval by the FDA or obtaining a CE Certificate of Conformity does not ensure approval or certification by regulatory authorities in other countries or jurisdictions, and approval or certification by one foreign regulatory authority does not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59" w:name="page60"/>
    <w:bookmarkEnd w:id="59"/>
    <w:p>
      <w:pPr>
        <w:jc w:val="both"/>
        <w:spacing w:after="0" w:line="251" w:lineRule="auto"/>
        <w:rPr>
          <w:sz w:val="20"/>
          <w:szCs w:val="20"/>
          <w:color w:val="auto"/>
        </w:rPr>
      </w:pPr>
      <w:r>
        <w:rPr>
          <w:rFonts w:ascii="Arial" w:cs="Arial" w:eastAsia="Arial" w:hAnsi="Arial"/>
          <w:sz w:val="13"/>
          <w:szCs w:val="13"/>
          <w:color w:val="auto"/>
        </w:rPr>
        <w:t>ensure approval or certification by regulatory authorities in other foreign countries or by the FDA.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3"/>
          <w:szCs w:val="13"/>
          <w:b w:val="1"/>
          <w:bCs w:val="1"/>
          <w:i w:val="1"/>
          <w:iCs w:val="1"/>
          <w:color w:val="auto"/>
        </w:rPr>
        <w:t>Clinical trials necessary to support a De Novo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or new indications for use for existing products, and will adversely affect our business, operating results and prospects.</w:t>
      </w:r>
    </w:p>
    <w:p>
      <w:pPr>
        <w:spacing w:after="0" w:line="128" w:lineRule="exact"/>
        <w:rPr>
          <w:sz w:val="20"/>
          <w:szCs w:val="20"/>
          <w:color w:val="auto"/>
        </w:rPr>
      </w:pPr>
    </w:p>
    <w:p>
      <w:pPr>
        <w:jc w:val="both"/>
        <w:ind w:firstLine="332"/>
        <w:spacing w:after="0" w:line="260" w:lineRule="auto"/>
        <w:rPr>
          <w:sz w:val="20"/>
          <w:szCs w:val="20"/>
          <w:color w:val="auto"/>
        </w:rPr>
      </w:pPr>
      <w:r>
        <w:rPr>
          <w:rFonts w:ascii="Arial" w:cs="Arial" w:eastAsia="Arial" w:hAnsi="Arial"/>
          <w:sz w:val="13"/>
          <w:szCs w:val="13"/>
          <w:color w:val="auto"/>
        </w:rPr>
        <w:t>Initiating and completing clinical trials necessary to support a De Novo 510(k) or PMA application for our possible future products or to support a conformity assessment procedure for a new CE Certificate of Conformity would be time consuming and expensive and the outcome uncertain. Moreover, the results of early clinical trials are not necessarily predictive of future results, and any product, or new indication for use, we advance into clinical trials may not have favorable results in later clinical trials.</w:t>
      </w:r>
    </w:p>
    <w:p>
      <w:pPr>
        <w:spacing w:after="0" w:line="128" w:lineRule="exact"/>
        <w:rPr>
          <w:sz w:val="20"/>
          <w:szCs w:val="20"/>
          <w:color w:val="auto"/>
        </w:rPr>
      </w:pPr>
    </w:p>
    <w:p>
      <w:pPr>
        <w:jc w:val="both"/>
        <w:ind w:firstLine="332"/>
        <w:spacing w:after="0" w:line="246" w:lineRule="auto"/>
        <w:rPr>
          <w:sz w:val="20"/>
          <w:szCs w:val="20"/>
          <w:color w:val="auto"/>
        </w:rPr>
      </w:pPr>
      <w:r>
        <w:rPr>
          <w:rFonts w:ascii="Arial" w:cs="Arial" w:eastAsia="Arial" w:hAnsi="Arial"/>
          <w:sz w:val="13"/>
          <w:szCs w:val="13"/>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and support staff, the proximity of patients to clinical sites, and the ability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For example, the COVID-19 pandemic has caused substantial delays in site initiation and patient enrollment in our SILVIA trial designed to assess the safety and efficacy of our Bedrock technique.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39" w:lineRule="exact"/>
        <w:rPr>
          <w:sz w:val="20"/>
          <w:szCs w:val="20"/>
          <w:color w:val="auto"/>
        </w:rPr>
      </w:pPr>
    </w:p>
    <w:p>
      <w:pPr>
        <w:jc w:val="both"/>
        <w:ind w:firstLine="332"/>
        <w:spacing w:after="0" w:line="254" w:lineRule="auto"/>
        <w:rPr>
          <w:sz w:val="20"/>
          <w:szCs w:val="20"/>
          <w:color w:val="auto"/>
        </w:rPr>
      </w:pPr>
      <w:r>
        <w:rPr>
          <w:rFonts w:ascii="Arial" w:cs="Arial" w:eastAsia="Arial" w:hAnsi="Arial"/>
          <w:sz w:val="13"/>
          <w:szCs w:val="13"/>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results of our clinical trials may not support our product candidate claims or may result in the occurrence of adverse events.</w:t>
      </w:r>
    </w:p>
    <w:p>
      <w:pPr>
        <w:spacing w:after="0" w:line="163" w:lineRule="exact"/>
        <w:rPr>
          <w:sz w:val="20"/>
          <w:szCs w:val="20"/>
          <w:color w:val="auto"/>
        </w:rPr>
      </w:pPr>
    </w:p>
    <w:p>
      <w:pPr>
        <w:jc w:val="both"/>
        <w:ind w:firstLine="332"/>
        <w:spacing w:after="0" w:line="249" w:lineRule="auto"/>
        <w:rPr>
          <w:sz w:val="20"/>
          <w:szCs w:val="20"/>
          <w:color w:val="auto"/>
        </w:rPr>
      </w:pPr>
      <w:r>
        <w:rPr>
          <w:rFonts w:ascii="Arial" w:cs="Arial" w:eastAsia="Arial" w:hAnsi="Arial"/>
          <w:sz w:val="13"/>
          <w:szCs w:val="13"/>
          <w:color w:val="auto"/>
        </w:rPr>
        <w:t>Even if our clinical trials are completed as planned, or on a delayed basis,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events that are not currently part of the product candidate’s profile.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3"/>
          <w:szCs w:val="13"/>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38" w:lineRule="exact"/>
        <w:rPr>
          <w:sz w:val="20"/>
          <w:szCs w:val="20"/>
          <w:color w:val="auto"/>
        </w:rPr>
      </w:pPr>
    </w:p>
    <w:p>
      <w:pPr>
        <w:jc w:val="both"/>
        <w:ind w:firstLine="332"/>
        <w:spacing w:after="0" w:line="282" w:lineRule="auto"/>
        <w:rPr>
          <w:sz w:val="20"/>
          <w:szCs w:val="20"/>
          <w:color w:val="auto"/>
        </w:rPr>
      </w:pPr>
      <w:r>
        <w:rPr>
          <w:rFonts w:ascii="Arial" w:cs="Arial" w:eastAsia="Arial" w:hAnsi="Arial"/>
          <w:sz w:val="12"/>
          <w:szCs w:val="12"/>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Moreover, the new Medical Device Regulation entered into application on May 26, 2021.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spacing w:after="0" w:line="137" w:lineRule="exact"/>
        <w:rPr>
          <w:sz w:val="20"/>
          <w:szCs w:val="20"/>
          <w:color w:val="auto"/>
        </w:rPr>
      </w:pPr>
    </w:p>
    <w:p>
      <w:pPr>
        <w:jc w:val="both"/>
        <w:ind w:firstLine="332"/>
        <w:spacing w:after="0" w:line="254" w:lineRule="auto"/>
        <w:rPr>
          <w:sz w:val="20"/>
          <w:szCs w:val="20"/>
          <w:color w:val="auto"/>
        </w:rPr>
      </w:pPr>
      <w:r>
        <w:rPr>
          <w:rFonts w:ascii="Arial" w:cs="Arial" w:eastAsia="Arial" w:hAnsi="Arial"/>
          <w:sz w:val="13"/>
          <w:szCs w:val="13"/>
          <w:color w:val="auto"/>
        </w:rPr>
        <w:t>Leadership, personnel and structural changes within the FDA as well as recent federal election outcomes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52" w:lineRule="exact"/>
        <w:rPr>
          <w:sz w:val="20"/>
          <w:szCs w:val="20"/>
          <w:color w:val="auto"/>
        </w:rPr>
      </w:pPr>
    </w:p>
    <w:p>
      <w:pPr>
        <w:jc w:val="both"/>
        <w:ind w:firstLine="332"/>
        <w:spacing w:after="0" w:line="277" w:lineRule="auto"/>
        <w:rPr>
          <w:sz w:val="20"/>
          <w:szCs w:val="20"/>
          <w:color w:val="auto"/>
        </w:rPr>
      </w:pPr>
      <w:r>
        <w:rPr>
          <w:rFonts w:ascii="Arial" w:cs="Arial" w:eastAsia="Arial" w:hAnsi="Arial"/>
          <w:sz w:val="13"/>
          <w:szCs w:val="13"/>
          <w:color w:val="auto"/>
        </w:rPr>
        <w:t>Another example can be found in the EEA. The Medical Devices Regulation (“MDR”) entered into application on May 26, 2021. MDR introduced substantial changes to the obligations with which medical device manufacturers must comply in the EEA. Examples of the changes which will be introduced by these regulations include the following:</w:t>
      </w:r>
    </w:p>
    <w:p>
      <w:pPr>
        <w:spacing w:after="0" w:line="118" w:lineRule="exact"/>
        <w:rPr>
          <w:sz w:val="20"/>
          <w:szCs w:val="20"/>
          <w:color w:val="auto"/>
        </w:rPr>
      </w:pPr>
    </w:p>
    <w:p>
      <w:pPr>
        <w:ind w:left="540" w:hanging="177"/>
        <w:spacing w:after="0"/>
        <w:tabs>
          <w:tab w:leader="none" w:pos="5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additional scrutiny during the conformity assessment procedure for high risk medical devices;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strengthening of the clinical data requirements related to medical devices;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strengthening of the designation and monitoring processes governing notified bodies;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obligation for manufacturers and authorized representative to have a person responsible for regulatory compliance continuously at their disposal;</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authorized representatives held legally responsible and liable for defective products placed on the EU market;</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increased traceability of medical devices following the introduction of a Unique Device Identification (“UDI”), system;</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new rules governing the reprocessing of medical devices; and</w:t>
      </w:r>
    </w:p>
    <w:p>
      <w:pPr>
        <w:spacing w:after="0" w:line="162" w:lineRule="exact"/>
        <w:rPr>
          <w:rFonts w:ascii="Arial" w:cs="Arial" w:eastAsia="Arial" w:hAnsi="Arial"/>
          <w:sz w:val="13"/>
          <w:szCs w:val="13"/>
          <w:color w:val="auto"/>
        </w:rPr>
      </w:pPr>
    </w:p>
    <w:p>
      <w:pPr>
        <w:ind w:left="660" w:hanging="297"/>
        <w:spacing w:after="0" w:line="277" w:lineRule="auto"/>
        <w:tabs>
          <w:tab w:leader="none" w:pos="557"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increased transparency with the establishment of European database on medical devices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18" w:lineRule="exact"/>
        <w:rPr>
          <w:sz w:val="20"/>
          <w:szCs w:val="20"/>
          <w:color w:val="auto"/>
        </w:rPr>
      </w:pPr>
    </w:p>
    <w:p>
      <w:pPr>
        <w:jc w:val="both"/>
        <w:ind w:firstLine="332"/>
        <w:spacing w:after="0" w:line="282" w:lineRule="auto"/>
        <w:rPr>
          <w:sz w:val="20"/>
          <w:szCs w:val="20"/>
          <w:color w:val="auto"/>
        </w:rPr>
      </w:pPr>
      <w:r>
        <w:rPr>
          <w:rFonts w:ascii="Arial" w:cs="Arial" w:eastAsia="Arial" w:hAnsi="Arial"/>
          <w:sz w:val="12"/>
          <w:szCs w:val="12"/>
          <w:color w:val="auto"/>
        </w:rPr>
        <w:t>The Medical Device Regulation also substantially impacts clinical investigations of medical devices. Among other things, it imposes specific obligations concerning incapacitated subjects, minors, pregnant or breastfeeding women and clinical investigations in emergency situations.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for compensation for any damage suffered by a subject resulting from participation in a clinical investigation conducted on their territory are in place and places on sponsors and investigators the obligation to ensure they make use of these systems.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Transition from the regulation of our products under the Medical Device Directive, and implementing legislation in each EU Member State, to regulation under the Medical Devices Regulation has</w:t>
      </w:r>
    </w:p>
    <w:p>
      <w:pPr>
        <w:spacing w:after="0" w:line="34"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required and will continue to require a substantial transition effort by us. In addition, detail as to how certain aspects of the Medical Devices Regulation will be applied remains unclear. Failure to update our quality system and regulatory documentation could delay our transition to compliance with the Medical Devices Regulation and delay or prevent us from obtaining new CE Certificates of Conformity under the Regulation. Transition from compliance with the Medical Device Directive to the Medical Devices Regulation could result in disruption to our business in the EEA which could adversely affect our business, results of operation and financial condition.</w:t>
      </w:r>
    </w:p>
    <w:p>
      <w:pPr>
        <w:spacing w:after="0" w:line="152" w:lineRule="exact"/>
        <w:rPr>
          <w:sz w:val="20"/>
          <w:szCs w:val="20"/>
          <w:color w:val="auto"/>
        </w:rPr>
      </w:pPr>
    </w:p>
    <w:p>
      <w:pPr>
        <w:jc w:val="both"/>
        <w:ind w:firstLine="332"/>
        <w:spacing w:after="0" w:line="244" w:lineRule="auto"/>
        <w:rPr>
          <w:sz w:val="20"/>
          <w:szCs w:val="20"/>
          <w:color w:val="auto"/>
        </w:rPr>
      </w:pPr>
      <w:r>
        <w:rPr>
          <w:rFonts w:ascii="Arial" w:cs="Arial" w:eastAsia="Arial" w:hAnsi="Arial"/>
          <w:sz w:val="13"/>
          <w:szCs w:val="13"/>
          <w:color w:val="auto"/>
        </w:rPr>
        <w:t>In addition, any changes to the membership of the European Union, such as the departure of the United Kingdom from the EU, may impact the regulatory requirements for the impacted countries and impair our business operations and our ability to market products in such countries. For example, pursuant to guidance issued by the UK Government as a result of the UK formally withdrawing from the European Union, the Medicines and Healthcare products Regulatory Agency (“MHRA”) became the standalone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773" w:right="319" w:bottom="1440" w:gutter="0" w:footer="0" w:header="0"/>
        </w:sectPr>
      </w:pPr>
    </w:p>
    <w:bookmarkStart w:id="61" w:name="page62"/>
    <w:bookmarkEnd w:id="61"/>
    <w:p>
      <w:pPr>
        <w:jc w:val="both"/>
        <w:spacing w:after="0" w:line="274" w:lineRule="auto"/>
        <w:rPr>
          <w:sz w:val="20"/>
          <w:szCs w:val="20"/>
          <w:color w:val="auto"/>
        </w:rPr>
      </w:pPr>
      <w:r>
        <w:rPr>
          <w:rFonts w:ascii="Arial" w:cs="Arial" w:eastAsia="Arial" w:hAnsi="Arial"/>
          <w:sz w:val="12"/>
          <w:szCs w:val="12"/>
          <w:color w:val="auto"/>
        </w:rPr>
        <w:t>medicines and medical devices regulator for the UK as of January 1, 2021. A new mark referred to as “UKCA” (UK Conformity Assessed) has also been introduced and will replace the CE conformity mark. Although CE conformity marketing and certificates issued by Notified Bodies will continue to be recognized in the UK through June 2023, all medical devices must be registered with the MHRA as of January 1, 2021. Complying with this new regulatory framework will require us to invest in additional resources and could be expensive, time-consuming and disruptive to our existing operations in the UK.</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incur product liability losses, and insurance coverage may be inadequate or unavailable to cover these losses.</w:t>
      </w:r>
    </w:p>
    <w:p>
      <w:pPr>
        <w:spacing w:after="0" w:line="163" w:lineRule="exact"/>
        <w:rPr>
          <w:sz w:val="20"/>
          <w:szCs w:val="20"/>
          <w:color w:val="auto"/>
        </w:rPr>
      </w:pPr>
    </w:p>
    <w:p>
      <w:pPr>
        <w:jc w:val="both"/>
        <w:ind w:firstLine="332"/>
        <w:spacing w:after="0" w:line="274" w:lineRule="auto"/>
        <w:rPr>
          <w:sz w:val="20"/>
          <w:szCs w:val="20"/>
          <w:color w:val="auto"/>
        </w:rPr>
      </w:pPr>
      <w:r>
        <w:rPr>
          <w:rFonts w:ascii="Arial" w:cs="Arial" w:eastAsia="Arial" w:hAnsi="Arial"/>
          <w:sz w:val="12"/>
          <w:szCs w:val="12"/>
          <w:color w:val="auto"/>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Surgeons may misuse or ineffectively use our products, which may result in unsatisfactory patient outcomes or patient injury. In addition, if longer-term patient results and experience indicate that our products or any component of a product cause tissue damage, motor impairment, or other adverse effects, we could be subject to significant liability.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122" w:lineRule="exact"/>
        <w:rPr>
          <w:sz w:val="20"/>
          <w:szCs w:val="20"/>
          <w:color w:val="auto"/>
        </w:rPr>
      </w:pPr>
    </w:p>
    <w:p>
      <w:pPr>
        <w:jc w:val="both"/>
        <w:ind w:firstLine="332"/>
        <w:spacing w:after="0" w:line="260" w:lineRule="auto"/>
        <w:rPr>
          <w:sz w:val="20"/>
          <w:szCs w:val="20"/>
          <w:color w:val="auto"/>
        </w:rPr>
      </w:pPr>
      <w:r>
        <w:rPr>
          <w:rFonts w:ascii="Arial" w:cs="Arial" w:eastAsia="Arial" w:hAnsi="Arial"/>
          <w:sz w:val="13"/>
          <w:szCs w:val="13"/>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28" w:lineRule="exact"/>
        <w:rPr>
          <w:sz w:val="20"/>
          <w:szCs w:val="20"/>
          <w:color w:val="auto"/>
        </w:rPr>
      </w:pPr>
    </w:p>
    <w:p>
      <w:pPr>
        <w:jc w:val="both"/>
        <w:ind w:firstLine="332"/>
        <w:spacing w:after="0" w:line="277" w:lineRule="auto"/>
        <w:rPr>
          <w:sz w:val="20"/>
          <w:szCs w:val="20"/>
          <w:color w:val="auto"/>
        </w:rPr>
      </w:pPr>
      <w:r>
        <w:rPr>
          <w:rFonts w:ascii="Arial" w:cs="Arial" w:eastAsia="Arial" w:hAnsi="Arial"/>
          <w:sz w:val="13"/>
          <w:szCs w:val="13"/>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environmental laws and regulations that can impose significant costs and expose us to potential financial liabilities.</w:t>
      </w:r>
    </w:p>
    <w:p>
      <w:pPr>
        <w:spacing w:after="0" w:line="163" w:lineRule="exact"/>
        <w:rPr>
          <w:sz w:val="20"/>
          <w:szCs w:val="20"/>
          <w:color w:val="auto"/>
        </w:rPr>
      </w:pPr>
    </w:p>
    <w:p>
      <w:pPr>
        <w:jc w:val="both"/>
        <w:ind w:firstLine="332"/>
        <w:spacing w:after="0" w:line="274" w:lineRule="auto"/>
        <w:rPr>
          <w:sz w:val="20"/>
          <w:szCs w:val="20"/>
          <w:color w:val="auto"/>
        </w:rPr>
      </w:pPr>
      <w:r>
        <w:rPr>
          <w:rFonts w:ascii="Arial" w:cs="Arial" w:eastAsia="Arial" w:hAnsi="Arial"/>
          <w:sz w:val="12"/>
          <w:szCs w:val="12"/>
          <w:color w:val="auto"/>
        </w:rPr>
        <w:t>The manufacture of certain of our products, including our implants and products, and the handling of materials used in the product testing process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We own and operate certain x-ray equipment at our facilities which</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requires adoption of a radiation safety plan. Our failure to follow such safety plan or otherwise use this equipment properly could be hazardous to our employees and expose us to liability as the employer.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Certain of our products are derived from human tissue and are or could be subject to additional regulations and requirements.</w:t>
      </w:r>
    </w:p>
    <w:p>
      <w:pPr>
        <w:spacing w:after="0" w:line="183" w:lineRule="exact"/>
        <w:rPr>
          <w:sz w:val="20"/>
          <w:szCs w:val="20"/>
          <w:color w:val="auto"/>
        </w:rPr>
      </w:pPr>
    </w:p>
    <w:p>
      <w:pPr>
        <w:jc w:val="both"/>
        <w:ind w:firstLine="302"/>
        <w:spacing w:after="0" w:line="282" w:lineRule="auto"/>
        <w:rPr>
          <w:sz w:val="20"/>
          <w:szCs w:val="20"/>
          <w:color w:val="auto"/>
        </w:rPr>
      </w:pPr>
      <w:r>
        <w:rPr>
          <w:rFonts w:ascii="Arial" w:cs="Arial" w:eastAsia="Arial" w:hAnsi="Arial"/>
          <w:sz w:val="12"/>
          <w:szCs w:val="12"/>
          <w:color w:val="auto"/>
        </w:rPr>
        <w:t>Our iFuse Bone product is derived from human bone tissue, and as a result is subject to FDA and certain state regulations regarding human cells, tissues and cellular or tissue-based products, or HCT/Ps. To date, iFuse Bone is our only HCT/P product, and as a product regulated under Section 361 of the Public Health Service Act, we have not been required to file a 510(k) with respect to iFuse Bone. However, the FDA could require us to obtain a 510(k) clearance for future tissue products not regulated as 361 HCT/Ps. The process of obtaining a 510(k) clearance could take time and consume resources, and failing to receive such a clearance would render us unable to market and sell such products, which could have a material and adverse effect on our business.</w:t>
      </w:r>
    </w:p>
    <w:p>
      <w:pPr>
        <w:spacing w:after="0" w:line="137"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2"/>
          <w:szCs w:val="12"/>
          <w:color w:val="auto"/>
        </w:rPr>
        <w:t>In addition, procurement of certain human organs and tissue for transplantation is subject to the National Organ Transplant Act, or NOTA, which prohibits the transfer of certain human organs, including skin and related tissue, for valuable consideration, but permits the reasonable payment for costs associated with the removal, transportation, implantation, processing, preservation, quality control and storage of human tissue and skin. We reimburse tissue banks for their expenses associated with the recovery, storage and transportation of donated human tissue they provide to us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we can recover in our pricing for our products, thereby reducing our future revenue and profitability. If we were to</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3"/>
          <w:szCs w:val="13"/>
          <w:color w:val="auto"/>
        </w:rPr>
        <w:t>be found to have violated NOTA’s prohibition on the sale or transfer of human tissue for valuable consideration, we would potentially be subject to criminal enforcement sanctions, which could materially and adversely affect our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Intellectual Property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3"/>
          <w:szCs w:val="13"/>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118" w:lineRule="exact"/>
        <w:rPr>
          <w:sz w:val="20"/>
          <w:szCs w:val="20"/>
          <w:color w:val="auto"/>
        </w:rPr>
      </w:pPr>
    </w:p>
    <w:p>
      <w:pPr>
        <w:jc w:val="both"/>
        <w:ind w:firstLine="362"/>
        <w:spacing w:after="0" w:line="251" w:lineRule="auto"/>
        <w:rPr>
          <w:sz w:val="20"/>
          <w:szCs w:val="20"/>
          <w:color w:val="auto"/>
        </w:rPr>
      </w:pPr>
      <w:r>
        <w:rPr>
          <w:rFonts w:ascii="Arial" w:cs="Arial" w:eastAsia="Arial" w:hAnsi="Arial"/>
          <w:sz w:val="13"/>
          <w:szCs w:val="13"/>
          <w:color w:val="auto"/>
        </w:rPr>
        <w:t>We rely primarily on patent, copyright, trademark and trade secret laws, as well as confidentiality and nondisclosure agreements and other methods, to protect our proprietary technologies and know-how. As of June 30, 2021, we owned 41 issued U.S. patents and had 31 pending U.S. patent applications, and we owned 14 issued foreign patents and had 6 pending foreign patent applications. We have focused the majority of our foreign patent efforts in China, Europe, and Japan. Our current U.S. patents on iFuse, including the triangular shape, expire in November 2024. Competitors may market similar triangular shaped devices upon the expiration of the patents in late 2024. Our current U.S. patents on iFuse-3D, including the fenestrated design, expire in September 2035. Our foreign patents will expire between August 2025 and October 2031.</w:t>
      </w:r>
    </w:p>
    <w:p>
      <w:pPr>
        <w:spacing w:after="0" w:line="135" w:lineRule="exact"/>
        <w:rPr>
          <w:sz w:val="20"/>
          <w:szCs w:val="20"/>
          <w:color w:val="auto"/>
        </w:rPr>
      </w:pPr>
    </w:p>
    <w:p>
      <w:pPr>
        <w:ind w:right="340" w:firstLine="362"/>
        <w:spacing w:after="0" w:line="277" w:lineRule="auto"/>
        <w:rPr>
          <w:sz w:val="20"/>
          <w:szCs w:val="20"/>
          <w:color w:val="auto"/>
        </w:rPr>
      </w:pPr>
      <w:r>
        <w:rPr>
          <w:rFonts w:ascii="Arial" w:cs="Arial" w:eastAsia="Arial" w:hAnsi="Arial"/>
          <w:sz w:val="13"/>
          <w:szCs w:val="13"/>
          <w:color w:val="auto"/>
        </w:rPr>
        <w:t>As of June 30, 2021, we have 14 registered trademarks in the U.S. and have filed for 19 more. We have sought protection for at least 2 of these trademarks in 60 countries including the 27 European member countries of the Madrid Protocol.</w:t>
      </w:r>
    </w:p>
    <w:p>
      <w:pPr>
        <w:spacing w:after="0" w:line="118" w:lineRule="exact"/>
        <w:rPr>
          <w:sz w:val="20"/>
          <w:szCs w:val="20"/>
          <w:color w:val="auto"/>
        </w:rPr>
      </w:pPr>
    </w:p>
    <w:p>
      <w:pPr>
        <w:jc w:val="both"/>
        <w:ind w:firstLine="332"/>
        <w:spacing w:after="0" w:line="269" w:lineRule="auto"/>
        <w:rPr>
          <w:sz w:val="20"/>
          <w:szCs w:val="20"/>
          <w:color w:val="auto"/>
        </w:rPr>
      </w:pPr>
      <w:r>
        <w:rPr>
          <w:rFonts w:ascii="Arial" w:cs="Arial" w:eastAsia="Arial" w:hAnsi="Arial"/>
          <w:sz w:val="12"/>
          <w:szCs w:val="12"/>
          <w:color w:val="auto"/>
        </w:rPr>
        <w:t>We have applied for patent protection relating to certain existing and proposed products and processes. While we generally apply for patents in those countries where we intend to make, have made, use, or sell our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U.S. Even if patents are granted outside the U.S., effective enforcement in those countries may not be available. Since most of our issued patents are for the U.S.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49" w:lineRule="exact"/>
        <w:rPr>
          <w:sz w:val="20"/>
          <w:szCs w:val="20"/>
          <w:color w:val="auto"/>
        </w:rPr>
      </w:pPr>
    </w:p>
    <w:p>
      <w:pPr>
        <w:jc w:val="both"/>
        <w:ind w:firstLine="332"/>
        <w:spacing w:after="0" w:line="282" w:lineRule="auto"/>
        <w:rPr>
          <w:sz w:val="20"/>
          <w:szCs w:val="20"/>
          <w:color w:val="auto"/>
        </w:rPr>
      </w:pPr>
      <w:r>
        <w:rPr>
          <w:rFonts w:ascii="Arial" w:cs="Arial" w:eastAsia="Arial" w:hAnsi="Arial"/>
          <w:sz w:val="12"/>
          <w:szCs w:val="12"/>
          <w:color w:val="auto"/>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spacing w:after="0" w:line="137" w:lineRule="exact"/>
        <w:rPr>
          <w:sz w:val="20"/>
          <w:szCs w:val="20"/>
          <w:color w:val="auto"/>
        </w:rPr>
      </w:pPr>
    </w:p>
    <w:p>
      <w:pPr>
        <w:jc w:val="both"/>
        <w:ind w:firstLine="332"/>
        <w:spacing w:after="0" w:line="274" w:lineRule="auto"/>
        <w:rPr>
          <w:sz w:val="20"/>
          <w:szCs w:val="20"/>
          <w:color w:val="auto"/>
        </w:rPr>
      </w:pPr>
      <w:r>
        <w:rPr>
          <w:rFonts w:ascii="Arial" w:cs="Arial" w:eastAsia="Arial" w:hAnsi="Arial"/>
          <w:sz w:val="12"/>
          <w:szCs w:val="12"/>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142" w:lineRule="exact"/>
        <w:rPr>
          <w:sz w:val="20"/>
          <w:szCs w:val="20"/>
          <w:color w:val="auto"/>
        </w:rPr>
      </w:pPr>
    </w:p>
    <w:p>
      <w:pPr>
        <w:jc w:val="both"/>
        <w:ind w:firstLine="332"/>
        <w:spacing w:after="0" w:line="249" w:lineRule="auto"/>
        <w:rPr>
          <w:sz w:val="20"/>
          <w:szCs w:val="20"/>
          <w:color w:val="auto"/>
        </w:rPr>
      </w:pPr>
      <w:r>
        <w:rPr>
          <w:rFonts w:ascii="Arial" w:cs="Arial" w:eastAsia="Arial" w:hAnsi="Arial"/>
          <w:sz w:val="13"/>
          <w:szCs w:val="13"/>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773" w:right="319" w:bottom="1440" w:gutter="0" w:footer="0" w:header="0"/>
        </w:sectPr>
      </w:pPr>
    </w:p>
    <w:bookmarkStart w:id="63" w:name="page64"/>
    <w:bookmarkEnd w:id="63"/>
    <w:p>
      <w:pPr>
        <w:jc w:val="both"/>
        <w:ind w:firstLine="332"/>
        <w:spacing w:after="0" w:line="282" w:lineRule="auto"/>
        <w:rPr>
          <w:sz w:val="20"/>
          <w:szCs w:val="20"/>
          <w:color w:val="auto"/>
        </w:rPr>
      </w:pPr>
      <w:r>
        <w:rPr>
          <w:rFonts w:ascii="Arial" w:cs="Arial" w:eastAsia="Arial" w:hAnsi="Arial"/>
          <w:sz w:val="12"/>
          <w:szCs w:val="12"/>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3"/>
          <w:szCs w:val="13"/>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18" w:lineRule="exact"/>
        <w:rPr>
          <w:sz w:val="20"/>
          <w:szCs w:val="20"/>
          <w:color w:val="auto"/>
        </w:rPr>
      </w:pPr>
    </w:p>
    <w:p>
      <w:pPr>
        <w:jc w:val="both"/>
        <w:ind w:firstLine="332"/>
        <w:spacing w:after="0" w:line="272" w:lineRule="auto"/>
        <w:rPr>
          <w:sz w:val="20"/>
          <w:szCs w:val="20"/>
          <w:color w:val="auto"/>
        </w:rPr>
      </w:pPr>
      <w:r>
        <w:rPr>
          <w:rFonts w:ascii="Arial" w:cs="Arial" w:eastAsia="Arial" w:hAnsi="Arial"/>
          <w:sz w:val="12"/>
          <w:szCs w:val="12"/>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occur,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18" w:lineRule="exact"/>
        <w:rPr>
          <w:sz w:val="20"/>
          <w:szCs w:val="20"/>
          <w:color w:val="auto"/>
        </w:rPr>
      </w:pPr>
    </w:p>
    <w:p>
      <w:pPr>
        <w:jc w:val="both"/>
        <w:ind w:firstLine="332"/>
        <w:spacing w:after="0" w:line="267" w:lineRule="auto"/>
        <w:rPr>
          <w:sz w:val="20"/>
          <w:szCs w:val="20"/>
          <w:color w:val="auto"/>
        </w:rPr>
      </w:pPr>
      <w:r>
        <w:rPr>
          <w:rFonts w:ascii="Arial" w:cs="Arial" w:eastAsia="Arial" w:hAnsi="Arial"/>
          <w:sz w:val="12"/>
          <w:szCs w:val="12"/>
          <w:color w:val="auto"/>
        </w:rPr>
        <w:t>Our commercial success will depend in part on not infringing the patents or violating the other proprietary rights of third parties. Significant litigation regarding patent rights exists in our industry. Our competitors in both the U.S.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w:t>
      </w:r>
    </w:p>
    <w:p>
      <w:pPr>
        <w:spacing w:after="0" w:line="131" w:lineRule="exact"/>
        <w:rPr>
          <w:sz w:val="20"/>
          <w:szCs w:val="20"/>
          <w:color w:val="auto"/>
        </w:rPr>
      </w:pPr>
    </w:p>
    <w:p>
      <w:pPr>
        <w:jc w:val="both"/>
        <w:ind w:firstLine="332"/>
        <w:spacing w:after="0" w:line="282" w:lineRule="auto"/>
        <w:rPr>
          <w:sz w:val="20"/>
          <w:szCs w:val="20"/>
          <w:color w:val="auto"/>
        </w:rPr>
      </w:pPr>
      <w:r>
        <w:rPr>
          <w:rFonts w:ascii="Arial" w:cs="Arial" w:eastAsia="Arial" w:hAnsi="Arial"/>
          <w:sz w:val="12"/>
          <w:szCs w:val="12"/>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54" w:right="319" w:bottom="1440" w:gutter="0" w:footer="0" w:header="0"/>
        </w:sectPr>
      </w:pPr>
    </w:p>
    <w:bookmarkStart w:id="64" w:name="page65"/>
    <w:bookmarkEnd w:id="64"/>
    <w:p>
      <w:pPr>
        <w:spacing w:after="0"/>
        <w:rPr>
          <w:sz w:val="20"/>
          <w:szCs w:val="20"/>
          <w:color w:val="auto"/>
        </w:rPr>
      </w:pPr>
      <w:r>
        <w:rPr>
          <w:rFonts w:ascii="Arial" w:cs="Arial" w:eastAsia="Arial" w:hAnsi="Arial"/>
          <w:sz w:val="13"/>
          <w:szCs w:val="13"/>
          <w:b w:val="1"/>
          <w:bCs w:val="1"/>
          <w:color w:val="auto"/>
        </w:rPr>
        <w:t>Risks Related to Ownership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price of our common stock may be volatile, and the value of an investment in our common stock could decline.</w:t>
      </w:r>
    </w:p>
    <w:p>
      <w:pPr>
        <w:spacing w:after="0" w:line="163" w:lineRule="exact"/>
        <w:rPr>
          <w:sz w:val="20"/>
          <w:szCs w:val="20"/>
          <w:color w:val="auto"/>
        </w:rPr>
      </w:pPr>
    </w:p>
    <w:p>
      <w:pPr>
        <w:ind w:firstLine="332"/>
        <w:spacing w:after="0" w:line="277" w:lineRule="auto"/>
        <w:rPr>
          <w:sz w:val="20"/>
          <w:szCs w:val="20"/>
          <w:color w:val="auto"/>
        </w:rPr>
      </w:pPr>
      <w:r>
        <w:rPr>
          <w:rFonts w:ascii="Arial" w:cs="Arial" w:eastAsia="Arial" w:hAnsi="Arial"/>
          <w:sz w:val="13"/>
          <w:szCs w:val="13"/>
          <w:color w:val="auto"/>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spacing w:after="0" w:line="118" w:lineRule="exact"/>
        <w:rPr>
          <w:sz w:val="20"/>
          <w:szCs w:val="20"/>
          <w:color w:val="auto"/>
        </w:rPr>
      </w:pPr>
    </w:p>
    <w:p>
      <w:pPr>
        <w:ind w:left="540" w:hanging="177"/>
        <w:spacing w:after="0"/>
        <w:tabs>
          <w:tab w:leader="none" w:pos="5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impact that the COVID-19 pandemic has on our business;</w:t>
      </w:r>
    </w:p>
    <w:p>
      <w:pPr>
        <w:spacing w:after="0" w:line="162" w:lineRule="exact"/>
        <w:rPr>
          <w:rFonts w:ascii="Arial" w:cs="Arial" w:eastAsia="Arial" w:hAnsi="Arial"/>
          <w:sz w:val="13"/>
          <w:szCs w:val="13"/>
          <w:color w:val="auto"/>
        </w:rPr>
      </w:pPr>
    </w:p>
    <w:p>
      <w:pPr>
        <w:ind w:left="660" w:hanging="297"/>
        <w:spacing w:after="0"/>
        <w:tabs>
          <w:tab w:leader="none" w:pos="6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actual or anticipated changes or fluctuations in our results of operations;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results of our clinical trials and that of our competitors’ products;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regulatory actions with respect to our products or our competitor’s products;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announcements of new offerings, products, services or technologies, commercial relationships, acquisitions, or other events by us or our competitors;</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price and volume fluctuations in the overall stock market from time to time;</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significant volatility in the market price and trading volume of healthcare companies, in general, and of companies in the medical device industry in particular;</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fluctuations in the trading volume of our shares or the size of our public float;</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negative publicity;</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whether our results of operations meet the expectations of securities analysts or investors or those expectations change;</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litigation involving us, our industry, or both;</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regulatory developments in the U.S., foreign countries, or both;</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lock-up releases and sales of large blocks of our common stock;</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additions or departures of key employees or scientific personnel; and</w:t>
      </w:r>
    </w:p>
    <w:p>
      <w:pPr>
        <w:spacing w:after="0" w:line="162" w:lineRule="exact"/>
        <w:rPr>
          <w:rFonts w:ascii="Arial" w:cs="Arial" w:eastAsia="Arial" w:hAnsi="Arial"/>
          <w:sz w:val="13"/>
          <w:szCs w:val="13"/>
          <w:color w:val="auto"/>
        </w:rPr>
      </w:pPr>
    </w:p>
    <w:p>
      <w:pPr>
        <w:ind w:left="540" w:hanging="177"/>
        <w:spacing w:after="0"/>
        <w:tabs>
          <w:tab w:leader="none" w:pos="5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general economic conditions and trends.</w:t>
      </w:r>
    </w:p>
    <w:p>
      <w:pPr>
        <w:spacing w:after="0" w:line="163" w:lineRule="exact"/>
        <w:rPr>
          <w:sz w:val="20"/>
          <w:szCs w:val="20"/>
          <w:color w:val="auto"/>
        </w:rPr>
      </w:pPr>
    </w:p>
    <w:p>
      <w:pPr>
        <w:jc w:val="both"/>
        <w:ind w:firstLine="332"/>
        <w:spacing w:after="0" w:line="251" w:lineRule="auto"/>
        <w:rPr>
          <w:sz w:val="20"/>
          <w:szCs w:val="20"/>
          <w:color w:val="auto"/>
        </w:rPr>
      </w:pPr>
      <w:r>
        <w:rPr>
          <w:rFonts w:ascii="Arial" w:cs="Arial" w:eastAsia="Arial" w:hAnsi="Arial"/>
          <w:sz w:val="13"/>
          <w:szCs w:val="13"/>
          <w:color w:val="auto"/>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sales volumes and our operating results may fluctuate over the course of the year, which could affect the price of our common stock.</w:t>
      </w:r>
    </w:p>
    <w:p>
      <w:pPr>
        <w:spacing w:after="0" w:line="163" w:lineRule="exact"/>
        <w:rPr>
          <w:sz w:val="20"/>
          <w:szCs w:val="20"/>
          <w:color w:val="auto"/>
        </w:rPr>
      </w:pPr>
    </w:p>
    <w:p>
      <w:pPr>
        <w:jc w:val="both"/>
        <w:ind w:firstLine="336"/>
        <w:spacing w:after="0" w:line="277" w:lineRule="auto"/>
        <w:rPr>
          <w:sz w:val="20"/>
          <w:szCs w:val="20"/>
          <w:color w:val="auto"/>
        </w:rPr>
      </w:pPr>
      <w:r>
        <w:rPr>
          <w:rFonts w:ascii="Arial" w:cs="Arial" w:eastAsia="Arial" w:hAnsi="Arial"/>
          <w:sz w:val="13"/>
          <w:szCs w:val="13"/>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118" w:lineRule="exact"/>
        <w:rPr>
          <w:sz w:val="20"/>
          <w:szCs w:val="20"/>
          <w:color w:val="auto"/>
        </w:rPr>
      </w:pPr>
    </w:p>
    <w:p>
      <w:pPr>
        <w:ind w:left="660" w:hanging="297"/>
        <w:spacing w:after="0"/>
        <w:tabs>
          <w:tab w:leader="none" w:pos="6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impact that the COVID-19 pandemic has on our business;</w:t>
      </w:r>
    </w:p>
    <w:p>
      <w:pPr>
        <w:spacing w:after="0" w:line="162" w:lineRule="exact"/>
        <w:rPr>
          <w:rFonts w:ascii="Arial" w:cs="Arial" w:eastAsia="Arial" w:hAnsi="Arial"/>
          <w:sz w:val="13"/>
          <w:szCs w:val="13"/>
          <w:color w:val="auto"/>
        </w:rPr>
      </w:pPr>
    </w:p>
    <w:p>
      <w:pPr>
        <w:ind w:left="660" w:hanging="297"/>
        <w:spacing w:after="0"/>
        <w:tabs>
          <w:tab w:leader="none" w:pos="6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payor coverage and reimbursement;</w:t>
      </w:r>
    </w:p>
    <w:p>
      <w:pPr>
        <w:spacing w:after="0" w:line="162" w:lineRule="exact"/>
        <w:rPr>
          <w:rFonts w:ascii="Arial" w:cs="Arial" w:eastAsia="Arial" w:hAnsi="Arial"/>
          <w:sz w:val="13"/>
          <w:szCs w:val="13"/>
          <w:color w:val="auto"/>
        </w:rPr>
      </w:pPr>
    </w:p>
    <w:p>
      <w:pPr>
        <w:ind w:left="660" w:hanging="297"/>
        <w:spacing w:after="0"/>
        <w:tabs>
          <w:tab w:leader="none" w:pos="6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number of products sold in the quarter and our ability to drive increased sales of our products;</w:t>
      </w:r>
    </w:p>
    <w:p>
      <w:pPr>
        <w:spacing w:after="0" w:line="162" w:lineRule="exact"/>
        <w:rPr>
          <w:rFonts w:ascii="Arial" w:cs="Arial" w:eastAsia="Arial" w:hAnsi="Arial"/>
          <w:sz w:val="13"/>
          <w:szCs w:val="13"/>
          <w:color w:val="auto"/>
        </w:rPr>
      </w:pPr>
    </w:p>
    <w:p>
      <w:pPr>
        <w:ind w:left="660" w:hanging="297"/>
        <w:spacing w:after="0"/>
        <w:tabs>
          <w:tab w:leader="none" w:pos="6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our ability to establish and maintain an effective and dedicated sales force;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2" w:right="319" w:bottom="1440" w:gutter="0" w:footer="0" w:header="0"/>
        </w:sectPr>
      </w:pPr>
    </w:p>
    <w:bookmarkStart w:id="65" w:name="page66"/>
    <w:bookmarkEnd w:id="65"/>
    <w:p>
      <w:pPr>
        <w:ind w:left="660" w:hanging="297"/>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pricing pressure applicable to our products, including adverse third-party coverage and reimbursement outcomes;</w:t>
      </w:r>
    </w:p>
    <w:p>
      <w:pPr>
        <w:spacing w:after="0" w:line="162" w:lineRule="exact"/>
        <w:rPr>
          <w:rFonts w:ascii="Arial" w:cs="Arial" w:eastAsia="Arial" w:hAnsi="Arial"/>
          <w:sz w:val="13"/>
          <w:szCs w:val="13"/>
          <w:color w:val="auto"/>
        </w:rPr>
      </w:pPr>
    </w:p>
    <w:p>
      <w:pPr>
        <w:ind w:left="660" w:hanging="297"/>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results of clinical research and trials on our existing products and products in development;</w:t>
      </w:r>
    </w:p>
    <w:p>
      <w:pPr>
        <w:spacing w:after="0" w:line="162" w:lineRule="exact"/>
        <w:rPr>
          <w:rFonts w:ascii="Arial" w:cs="Arial" w:eastAsia="Arial" w:hAnsi="Arial"/>
          <w:sz w:val="13"/>
          <w:szCs w:val="13"/>
          <w:color w:val="auto"/>
        </w:rPr>
      </w:pPr>
    </w:p>
    <w:p>
      <w:pPr>
        <w:ind w:left="660" w:hanging="297"/>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mix of our products sold because profit margins differ amongst our products;</w:t>
      </w:r>
    </w:p>
    <w:p>
      <w:pPr>
        <w:spacing w:after="0" w:line="162" w:lineRule="exact"/>
        <w:rPr>
          <w:rFonts w:ascii="Arial" w:cs="Arial" w:eastAsia="Arial" w:hAnsi="Arial"/>
          <w:sz w:val="13"/>
          <w:szCs w:val="13"/>
          <w:color w:val="auto"/>
        </w:rPr>
      </w:pPr>
    </w:p>
    <w:p>
      <w:pPr>
        <w:ind w:left="660" w:hanging="297"/>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timing of new product offerings, acquisitions, licenses or other significant events by us or our competitors;</w:t>
      </w:r>
    </w:p>
    <w:p>
      <w:pPr>
        <w:spacing w:after="0" w:line="162" w:lineRule="exact"/>
        <w:rPr>
          <w:rFonts w:ascii="Arial" w:cs="Arial" w:eastAsia="Arial" w:hAnsi="Arial"/>
          <w:sz w:val="13"/>
          <w:szCs w:val="13"/>
          <w:color w:val="auto"/>
        </w:rPr>
      </w:pPr>
    </w:p>
    <w:p>
      <w:pPr>
        <w:ind w:left="660" w:hanging="297"/>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ability of our suppliers to timely provide us with an adequate supply of materials and components;</w:t>
      </w:r>
    </w:p>
    <w:p>
      <w:pPr>
        <w:spacing w:after="0" w:line="162" w:lineRule="exact"/>
        <w:rPr>
          <w:rFonts w:ascii="Arial" w:cs="Arial" w:eastAsia="Arial" w:hAnsi="Arial"/>
          <w:sz w:val="13"/>
          <w:szCs w:val="13"/>
          <w:color w:val="auto"/>
        </w:rPr>
      </w:pPr>
    </w:p>
    <w:p>
      <w:pPr>
        <w:ind w:left="660" w:hanging="297"/>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evolving product offerings of our competitors;</w:t>
      </w:r>
    </w:p>
    <w:p>
      <w:pPr>
        <w:spacing w:after="0" w:line="162" w:lineRule="exact"/>
        <w:rPr>
          <w:rFonts w:ascii="Arial" w:cs="Arial" w:eastAsia="Arial" w:hAnsi="Arial"/>
          <w:sz w:val="13"/>
          <w:szCs w:val="13"/>
          <w:color w:val="auto"/>
        </w:rPr>
      </w:pPr>
    </w:p>
    <w:p>
      <w:pPr>
        <w:ind w:left="660" w:hanging="297"/>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demand for, and pricing of, our products and the products of our competitors;</w:t>
      </w:r>
    </w:p>
    <w:p>
      <w:pPr>
        <w:spacing w:after="0" w:line="162" w:lineRule="exact"/>
        <w:rPr>
          <w:rFonts w:ascii="Arial" w:cs="Arial" w:eastAsia="Arial" w:hAnsi="Arial"/>
          <w:sz w:val="13"/>
          <w:szCs w:val="13"/>
          <w:color w:val="auto"/>
        </w:rPr>
      </w:pPr>
    </w:p>
    <w:p>
      <w:pPr>
        <w:ind w:left="660" w:hanging="297"/>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factors that may affect the sale of our products, including seasonality and budgets of our customers;</w:t>
      </w:r>
    </w:p>
    <w:p>
      <w:pPr>
        <w:spacing w:after="0" w:line="162" w:lineRule="exact"/>
        <w:rPr>
          <w:rFonts w:ascii="Arial" w:cs="Arial" w:eastAsia="Arial" w:hAnsi="Arial"/>
          <w:sz w:val="13"/>
          <w:szCs w:val="13"/>
          <w:color w:val="auto"/>
        </w:rPr>
      </w:pPr>
    </w:p>
    <w:p>
      <w:pPr>
        <w:ind w:left="660" w:hanging="297"/>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domestic and international regulatory clearances or approvals, or CE Certificates of Conformity, and legislative changes affecting the products we may offer or those of our competitors;</w:t>
      </w:r>
    </w:p>
    <w:p>
      <w:pPr>
        <w:spacing w:after="0" w:line="162" w:lineRule="exact"/>
        <w:rPr>
          <w:rFonts w:ascii="Arial" w:cs="Arial" w:eastAsia="Arial" w:hAnsi="Arial"/>
          <w:sz w:val="13"/>
          <w:szCs w:val="13"/>
          <w:color w:val="auto"/>
        </w:rPr>
      </w:pPr>
    </w:p>
    <w:p>
      <w:pPr>
        <w:ind w:left="660" w:hanging="297"/>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interruption in the manufacturing or distribution of our products;</w:t>
      </w:r>
    </w:p>
    <w:p>
      <w:pPr>
        <w:spacing w:after="0" w:line="162" w:lineRule="exact"/>
        <w:rPr>
          <w:rFonts w:ascii="Arial" w:cs="Arial" w:eastAsia="Arial" w:hAnsi="Arial"/>
          <w:sz w:val="13"/>
          <w:szCs w:val="13"/>
          <w:color w:val="auto"/>
        </w:rPr>
      </w:pPr>
    </w:p>
    <w:p>
      <w:pPr>
        <w:ind w:left="660" w:hanging="297"/>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effect of competing technological, industry and market developments;</w:t>
      </w:r>
    </w:p>
    <w:p>
      <w:pPr>
        <w:spacing w:after="0" w:line="162" w:lineRule="exact"/>
        <w:rPr>
          <w:rFonts w:ascii="Arial" w:cs="Arial" w:eastAsia="Arial" w:hAnsi="Arial"/>
          <w:sz w:val="13"/>
          <w:szCs w:val="13"/>
          <w:color w:val="auto"/>
        </w:rPr>
      </w:pPr>
    </w:p>
    <w:p>
      <w:pPr>
        <w:ind w:left="660" w:hanging="297"/>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ability to expand the geographic reach of our sales and marketing efforts;</w:t>
      </w:r>
    </w:p>
    <w:p>
      <w:pPr>
        <w:spacing w:after="0" w:line="162" w:lineRule="exact"/>
        <w:rPr>
          <w:rFonts w:ascii="Arial" w:cs="Arial" w:eastAsia="Arial" w:hAnsi="Arial"/>
          <w:sz w:val="13"/>
          <w:szCs w:val="13"/>
          <w:color w:val="auto"/>
        </w:rPr>
      </w:pPr>
    </w:p>
    <w:p>
      <w:pPr>
        <w:ind w:left="660" w:hanging="297"/>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costs of maintaining adequate insurance coverage, including product liability insurance;</w:t>
      </w:r>
    </w:p>
    <w:p>
      <w:pPr>
        <w:spacing w:after="0" w:line="162" w:lineRule="exact"/>
        <w:rPr>
          <w:rFonts w:ascii="Arial" w:cs="Arial" w:eastAsia="Arial" w:hAnsi="Arial"/>
          <w:sz w:val="13"/>
          <w:szCs w:val="13"/>
          <w:color w:val="auto"/>
        </w:rPr>
      </w:pPr>
    </w:p>
    <w:p>
      <w:pPr>
        <w:ind w:left="660" w:hanging="297"/>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availability and cost of components and materials;</w:t>
      </w:r>
    </w:p>
    <w:p>
      <w:pPr>
        <w:spacing w:after="0" w:line="162" w:lineRule="exact"/>
        <w:rPr>
          <w:rFonts w:ascii="Arial" w:cs="Arial" w:eastAsia="Arial" w:hAnsi="Arial"/>
          <w:sz w:val="13"/>
          <w:szCs w:val="13"/>
          <w:color w:val="auto"/>
        </w:rPr>
      </w:pPr>
    </w:p>
    <w:p>
      <w:pPr>
        <w:ind w:left="660" w:hanging="297"/>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number of selling days in the quarter;</w:t>
      </w:r>
    </w:p>
    <w:p>
      <w:pPr>
        <w:spacing w:after="0" w:line="162" w:lineRule="exact"/>
        <w:rPr>
          <w:rFonts w:ascii="Arial" w:cs="Arial" w:eastAsia="Arial" w:hAnsi="Arial"/>
          <w:sz w:val="13"/>
          <w:szCs w:val="13"/>
          <w:color w:val="auto"/>
        </w:rPr>
      </w:pPr>
    </w:p>
    <w:p>
      <w:pPr>
        <w:ind w:left="660" w:hanging="297"/>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fluctuation in foreign currency exchange rates; and</w:t>
      </w:r>
    </w:p>
    <w:p>
      <w:pPr>
        <w:spacing w:after="0" w:line="162" w:lineRule="exact"/>
        <w:rPr>
          <w:rFonts w:ascii="Arial" w:cs="Arial" w:eastAsia="Arial" w:hAnsi="Arial"/>
          <w:sz w:val="13"/>
          <w:szCs w:val="13"/>
          <w:color w:val="auto"/>
        </w:rPr>
      </w:pPr>
    </w:p>
    <w:p>
      <w:pPr>
        <w:ind w:left="660" w:hanging="297"/>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impairment and other special charges.</w:t>
      </w:r>
    </w:p>
    <w:p>
      <w:pPr>
        <w:spacing w:after="0" w:line="163" w:lineRule="exact"/>
        <w:rPr>
          <w:sz w:val="20"/>
          <w:szCs w:val="20"/>
          <w:color w:val="auto"/>
        </w:rPr>
      </w:pPr>
    </w:p>
    <w:p>
      <w:pPr>
        <w:jc w:val="both"/>
        <w:ind w:firstLine="336"/>
        <w:spacing w:after="0" w:line="249" w:lineRule="auto"/>
        <w:rPr>
          <w:sz w:val="20"/>
          <w:szCs w:val="20"/>
          <w:color w:val="auto"/>
        </w:rPr>
      </w:pPr>
      <w:r>
        <w:rPr>
          <w:rFonts w:ascii="Arial" w:cs="Arial" w:eastAsia="Arial" w:hAnsi="Arial"/>
          <w:sz w:val="13"/>
          <w:szCs w:val="13"/>
          <w:color w:val="auto"/>
        </w:rPr>
        <w:t>Some of the products we may seek to develop and introduce in the future will require FDA clearance or approval before commercialization in the U.S., and commercialization of such products outside of the U.S.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66" w:name="page67"/>
    <w:bookmarkEnd w:id="66"/>
    <w:p>
      <w:pPr>
        <w:spacing w:after="0"/>
        <w:rPr>
          <w:sz w:val="20"/>
          <w:szCs w:val="20"/>
          <w:color w:val="auto"/>
        </w:rPr>
      </w:pPr>
      <w:r>
        <w:rPr>
          <w:rFonts w:ascii="Arial" w:cs="Arial" w:eastAsia="Arial" w:hAnsi="Arial"/>
          <w:sz w:val="13"/>
          <w:szCs w:val="13"/>
          <w:b w:val="1"/>
          <w:bCs w:val="1"/>
          <w:i w:val="1"/>
          <w:iCs w:val="1"/>
          <w:color w:val="auto"/>
        </w:rPr>
        <w:t>We may be unable to utilize our federal and state net operating loss carryforwards to reduce our income taxes.</w:t>
      </w:r>
    </w:p>
    <w:p>
      <w:pPr>
        <w:spacing w:after="0" w:line="163" w:lineRule="exact"/>
        <w:rPr>
          <w:sz w:val="20"/>
          <w:szCs w:val="20"/>
          <w:color w:val="auto"/>
        </w:rPr>
      </w:pPr>
    </w:p>
    <w:p>
      <w:pPr>
        <w:jc w:val="both"/>
        <w:ind w:firstLine="332"/>
        <w:spacing w:after="0" w:line="286" w:lineRule="auto"/>
        <w:rPr>
          <w:sz w:val="20"/>
          <w:szCs w:val="20"/>
          <w:color w:val="auto"/>
        </w:rPr>
      </w:pPr>
      <w:r>
        <w:rPr>
          <w:rFonts w:ascii="Arial" w:cs="Arial" w:eastAsia="Arial" w:hAnsi="Arial"/>
          <w:sz w:val="12"/>
          <w:szCs w:val="12"/>
          <w:color w:val="auto"/>
        </w:rPr>
        <w:t>As of December 31, 2020, we had net operating loss (“NOL”) carryforwards of $200.5 million and $165.0 million available to reduce future taxable income, if any, for U.S. federal income tax and state income tax purposes, respectively. If not utilized, our federal and state NOL carryforwards begin to expire in 2028 and 2021, respectively, subject to the recent California franchise tax law change affecting California state NOLs mentioned below. Portions of these NOL carryforwards could expire unused and be unavailable to offset future income tax liabilities. Under legislation enacted in 2017, as modified by</w:t>
      </w:r>
    </w:p>
    <w:p>
      <w:pPr>
        <w:jc w:val="both"/>
        <w:spacing w:after="0" w:line="260" w:lineRule="auto"/>
        <w:rPr>
          <w:sz w:val="20"/>
          <w:szCs w:val="20"/>
          <w:color w:val="auto"/>
        </w:rPr>
      </w:pPr>
      <w:r>
        <w:rPr>
          <w:rFonts w:ascii="Arial" w:cs="Arial" w:eastAsia="Arial" w:hAnsi="Arial"/>
          <w:sz w:val="13"/>
          <w:szCs w:val="13"/>
          <w:color w:val="auto"/>
        </w:rPr>
        <w:t>legislation enacted in 2020, unused U.S. federal NOLs generated in tax years beginning after December 31, 2017</w:t>
      </w:r>
      <w:r>
        <w:rPr>
          <w:rFonts w:ascii="Arial" w:cs="Arial" w:eastAsia="Arial" w:hAnsi="Arial"/>
          <w:sz w:val="16"/>
          <w:szCs w:val="16"/>
          <w:color w:val="auto"/>
        </w:rPr>
        <w:t>,</w:t>
      </w:r>
      <w:r>
        <w:rPr>
          <w:rFonts w:ascii="Arial" w:cs="Arial" w:eastAsia="Arial" w:hAnsi="Arial"/>
          <w:sz w:val="13"/>
          <w:szCs w:val="13"/>
          <w:color w:val="auto"/>
        </w:rPr>
        <w:t xml:space="preserve"> will not expire and may be carried forward indefinitely, but the deductibility of such federal NOLs in taxable years beginning after December 31, 2020, is limited to 80% of taxable income. At the state level, there may be periods during which the use of NOLs is suspended or otherwise limited.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updated our Section 382 ownership change analysis through December 31, 2020. The analysis determined that we have experienced Section 382 ownership changes in 2010 and 2020. A total of $1.4 million of our NOLs and tax credit carryforwards are subject to limitation as a result of the ownership change.</w:t>
      </w:r>
    </w:p>
    <w:p>
      <w:pPr>
        <w:spacing w:after="0" w:line="158" w:lineRule="exact"/>
        <w:rPr>
          <w:sz w:val="20"/>
          <w:szCs w:val="20"/>
          <w:color w:val="auto"/>
        </w:rPr>
      </w:pPr>
    </w:p>
    <w:p>
      <w:pPr>
        <w:jc w:val="both"/>
        <w:ind w:firstLine="332"/>
        <w:spacing w:after="0" w:line="270" w:lineRule="auto"/>
        <w:rPr>
          <w:sz w:val="20"/>
          <w:szCs w:val="20"/>
          <w:color w:val="auto"/>
        </w:rPr>
      </w:pPr>
      <w:r>
        <w:rPr>
          <w:rFonts w:ascii="Arial" w:cs="Arial" w:eastAsia="Arial" w:hAnsi="Arial"/>
          <w:sz w:val="13"/>
          <w:szCs w:val="13"/>
          <w:color w:val="auto"/>
        </w:rPr>
        <w:t>The California Assembly Bill 85 (AB 85) was signed into law by Governor Gavin Newsom on June 29, 2020. The legislation suspends the California NOL deductions for 2020, 2021, and 2022 for certain taxpayers and imposes a limitation of certain California Tax Credits for 2020, 2021, and 2022. The legislation disallows the use of California NOL deductions if the taxpayer recognizes business income and its adjusted gross income is greater than $1.0 million. The carryover periods for NOL deductions disallowed by this provision will be extended. Given that we expect to be at a loss position in the current year, the new legislation will not impact our current year provision. We will continue to monitor the possible California NOLs and credit limitation in future periods.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charter documents and Delaware law could discourage takeover attempts and lead to management entrenchment.</w:t>
      </w:r>
    </w:p>
    <w:p>
      <w:pPr>
        <w:spacing w:after="0" w:line="163" w:lineRule="exact"/>
        <w:rPr>
          <w:sz w:val="20"/>
          <w:szCs w:val="20"/>
          <w:color w:val="auto"/>
        </w:rPr>
      </w:pPr>
    </w:p>
    <w:p>
      <w:pPr>
        <w:jc w:val="both"/>
        <w:ind w:firstLine="332"/>
        <w:spacing w:after="0" w:line="260" w:lineRule="auto"/>
        <w:rPr>
          <w:sz w:val="20"/>
          <w:szCs w:val="20"/>
          <w:color w:val="auto"/>
        </w:rPr>
      </w:pPr>
      <w:r>
        <w:rPr>
          <w:rFonts w:ascii="Arial" w:cs="Arial" w:eastAsia="Arial" w:hAnsi="Arial"/>
          <w:sz w:val="13"/>
          <w:szCs w:val="13"/>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28" w:lineRule="exact"/>
        <w:rPr>
          <w:sz w:val="20"/>
          <w:szCs w:val="20"/>
          <w:color w:val="auto"/>
        </w:rPr>
      </w:pPr>
    </w:p>
    <w:p>
      <w:pPr>
        <w:ind w:left="540" w:hanging="177"/>
        <w:spacing w:after="0"/>
        <w:tabs>
          <w:tab w:leader="none" w:pos="5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 classified board of directors with three-year staggered terms, which could delay the ability of stockholders to change the membership of a majority of our board of directors;</w:t>
      </w:r>
    </w:p>
    <w:p>
      <w:pPr>
        <w:spacing w:after="0" w:line="162" w:lineRule="exact"/>
        <w:rPr>
          <w:rFonts w:ascii="Arial" w:cs="Arial" w:eastAsia="Arial" w:hAnsi="Arial"/>
          <w:sz w:val="13"/>
          <w:szCs w:val="13"/>
          <w:color w:val="auto"/>
        </w:rPr>
      </w:pPr>
    </w:p>
    <w:p>
      <w:pPr>
        <w:ind w:left="660" w:hanging="297"/>
        <w:spacing w:after="0" w:line="277" w:lineRule="auto"/>
        <w:tabs>
          <w:tab w:leader="none" w:pos="548"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18" w:lineRule="exact"/>
        <w:rPr>
          <w:rFonts w:ascii="Arial" w:cs="Arial" w:eastAsia="Arial" w:hAnsi="Arial"/>
          <w:sz w:val="13"/>
          <w:szCs w:val="13"/>
          <w:color w:val="auto"/>
        </w:rPr>
      </w:pPr>
    </w:p>
    <w:p>
      <w:pPr>
        <w:ind w:left="660" w:hanging="297"/>
        <w:spacing w:after="0" w:line="277" w:lineRule="auto"/>
        <w:tabs>
          <w:tab w:leader="none" w:pos="571"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18" w:lineRule="exact"/>
        <w:rPr>
          <w:rFonts w:ascii="Arial" w:cs="Arial" w:eastAsia="Arial" w:hAnsi="Arial"/>
          <w:sz w:val="13"/>
          <w:szCs w:val="13"/>
          <w:color w:val="auto"/>
        </w:rPr>
      </w:pPr>
    </w:p>
    <w:p>
      <w:pPr>
        <w:ind w:left="540" w:hanging="177"/>
        <w:spacing w:after="0"/>
        <w:tabs>
          <w:tab w:leader="none" w:pos="5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 prohibition on stockholder action by written consent, which forces stockholder action to be taken at an annual or special meeting of our stockholders;</w:t>
      </w:r>
    </w:p>
    <w:p>
      <w:pPr>
        <w:spacing w:after="0" w:line="162" w:lineRule="exact"/>
        <w:rPr>
          <w:rFonts w:ascii="Arial" w:cs="Arial" w:eastAsia="Arial" w:hAnsi="Arial"/>
          <w:sz w:val="13"/>
          <w:szCs w:val="13"/>
          <w:color w:val="auto"/>
        </w:rPr>
      </w:pPr>
    </w:p>
    <w:p>
      <w:pPr>
        <w:ind w:left="660" w:hanging="297"/>
        <w:spacing w:after="0" w:line="277" w:lineRule="auto"/>
        <w:tabs>
          <w:tab w:leader="none" w:pos="574"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18" w:lineRule="exact"/>
        <w:rPr>
          <w:rFonts w:ascii="Arial" w:cs="Arial" w:eastAsia="Arial" w:hAnsi="Arial"/>
          <w:sz w:val="13"/>
          <w:szCs w:val="13"/>
          <w:color w:val="auto"/>
        </w:rPr>
      </w:pPr>
    </w:p>
    <w:p>
      <w:pPr>
        <w:ind w:left="660" w:hanging="297"/>
        <w:spacing w:after="0" w:line="260" w:lineRule="auto"/>
        <w:tabs>
          <w:tab w:leader="none" w:pos="578"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128" w:lineRule="exact"/>
        <w:rPr>
          <w:rFonts w:ascii="Arial" w:cs="Arial" w:eastAsia="Arial" w:hAnsi="Arial"/>
          <w:sz w:val="13"/>
          <w:szCs w:val="13"/>
          <w:color w:val="auto"/>
        </w:rPr>
      </w:pPr>
    </w:p>
    <w:p>
      <w:pPr>
        <w:ind w:left="660" w:hanging="297"/>
        <w:spacing w:after="0" w:line="277" w:lineRule="auto"/>
        <w:tabs>
          <w:tab w:leader="none" w:pos="593" w:val="left"/>
        </w:tabs>
        <w:numPr>
          <w:ilvl w:val="0"/>
          <w:numId w:val="36"/>
        </w:numPr>
        <w:rPr>
          <w:rFonts w:ascii="Arial" w:cs="Arial" w:eastAsia="Arial" w:hAnsi="Arial"/>
          <w:sz w:val="13"/>
          <w:szCs w:val="13"/>
          <w:color w:val="auto"/>
        </w:rPr>
      </w:pPr>
      <w:r>
        <w:rPr>
          <w:rFonts w:ascii="Arial" w:cs="Arial" w:eastAsia="Arial" w:hAnsi="Arial"/>
          <w:sz w:val="13"/>
          <w:szCs w:val="13"/>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67" w:name="page68"/>
    <w:bookmarkEnd w:id="67"/>
    <w:p>
      <w:pPr>
        <w:jc w:val="both"/>
        <w:ind w:firstLine="332"/>
        <w:spacing w:after="0" w:line="277" w:lineRule="auto"/>
        <w:rPr>
          <w:sz w:val="20"/>
          <w:szCs w:val="20"/>
          <w:color w:val="auto"/>
        </w:rPr>
      </w:pPr>
      <w:r>
        <w:rPr>
          <w:rFonts w:ascii="Arial" w:cs="Arial" w:eastAsia="Arial" w:hAnsi="Arial"/>
          <w:sz w:val="13"/>
          <w:szCs w:val="13"/>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18" w:lineRule="exact"/>
        <w:rPr>
          <w:sz w:val="20"/>
          <w:szCs w:val="20"/>
          <w:color w:val="auto"/>
        </w:rPr>
      </w:pPr>
    </w:p>
    <w:p>
      <w:pPr>
        <w:jc w:val="both"/>
        <w:ind w:firstLine="332"/>
        <w:spacing w:after="0" w:line="277" w:lineRule="auto"/>
        <w:rPr>
          <w:sz w:val="20"/>
          <w:szCs w:val="20"/>
          <w:color w:val="auto"/>
        </w:rPr>
      </w:pPr>
      <w:r>
        <w:rPr>
          <w:rFonts w:ascii="Arial" w:cs="Arial" w:eastAsia="Arial" w:hAnsi="Arial"/>
          <w:sz w:val="13"/>
          <w:szCs w:val="13"/>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18" w:lineRule="exact"/>
        <w:rPr>
          <w:sz w:val="20"/>
          <w:szCs w:val="20"/>
          <w:color w:val="auto"/>
        </w:rPr>
      </w:pPr>
    </w:p>
    <w:p>
      <w:pPr>
        <w:jc w:val="both"/>
        <w:ind w:firstLine="332"/>
        <w:spacing w:after="0" w:line="291" w:lineRule="auto"/>
        <w:rPr>
          <w:sz w:val="20"/>
          <w:szCs w:val="20"/>
          <w:color w:val="auto"/>
        </w:rPr>
      </w:pPr>
      <w:r>
        <w:rPr>
          <w:rFonts w:ascii="Arial" w:cs="Arial" w:eastAsia="Arial" w:hAnsi="Arial"/>
          <w:sz w:val="12"/>
          <w:szCs w:val="12"/>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spacing w:after="0" w:line="112" w:lineRule="exact"/>
        <w:rPr>
          <w:sz w:val="20"/>
          <w:szCs w:val="20"/>
          <w:color w:val="auto"/>
        </w:rPr>
      </w:pPr>
    </w:p>
    <w:p>
      <w:pPr>
        <w:jc w:val="both"/>
        <w:spacing w:after="0" w:line="260" w:lineRule="auto"/>
        <w:rPr>
          <w:sz w:val="20"/>
          <w:szCs w:val="20"/>
          <w:color w:val="auto"/>
        </w:rPr>
      </w:pPr>
      <w:r>
        <w:rPr>
          <w:rFonts w:ascii="Arial" w:cs="Arial" w:eastAsia="Arial" w:hAnsi="Arial"/>
          <w:sz w:val="13"/>
          <w:szCs w:val="13"/>
          <w:b w:val="1"/>
          <w:bCs w:val="1"/>
          <w:i w:val="1"/>
          <w:iCs w:val="1"/>
          <w:color w:val="auto"/>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128" w:lineRule="exact"/>
        <w:rPr>
          <w:sz w:val="20"/>
          <w:szCs w:val="20"/>
          <w:color w:val="auto"/>
        </w:rPr>
      </w:pPr>
    </w:p>
    <w:p>
      <w:pPr>
        <w:jc w:val="both"/>
        <w:ind w:firstLine="332"/>
        <w:spacing w:after="0" w:line="251" w:lineRule="auto"/>
        <w:rPr>
          <w:sz w:val="20"/>
          <w:szCs w:val="20"/>
          <w:color w:val="auto"/>
        </w:rPr>
      </w:pPr>
      <w:r>
        <w:rPr>
          <w:rFonts w:ascii="Arial" w:cs="Arial" w:eastAsia="Arial" w:hAnsi="Arial"/>
          <w:sz w:val="13"/>
          <w:szCs w:val="13"/>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spacing w:after="0" w:line="135" w:lineRule="exact"/>
        <w:rPr>
          <w:sz w:val="20"/>
          <w:szCs w:val="20"/>
          <w:color w:val="auto"/>
        </w:rPr>
      </w:pPr>
    </w:p>
    <w:p>
      <w:pPr>
        <w:jc w:val="both"/>
        <w:ind w:firstLine="332"/>
        <w:spacing w:after="0" w:line="277" w:lineRule="auto"/>
        <w:rPr>
          <w:sz w:val="20"/>
          <w:szCs w:val="20"/>
          <w:color w:val="auto"/>
        </w:rPr>
      </w:pPr>
      <w:r>
        <w:rPr>
          <w:rFonts w:ascii="Arial" w:cs="Arial" w:eastAsia="Arial" w:hAnsi="Arial"/>
          <w:sz w:val="13"/>
          <w:szCs w:val="13"/>
          <w:color w:val="auto"/>
        </w:rPr>
        <w:t>Our amended and restated certificate of incorporation also provides that the U.S. federal district courts are the exclusive forum for resolving any complaint asserting a cause of action arising under the Securities Act.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3"/>
          <w:szCs w:val="13"/>
          <w:b w:val="1"/>
          <w:bCs w:val="1"/>
          <w:i w:val="1"/>
          <w:iCs w:val="1"/>
          <w:color w:val="auto"/>
        </w:rPr>
        <w:t>Recent Sales of Unregistered Securities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There were no sales of unregistered equity securities during the three months ended June 30, 2021.</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Purchases of Equity Securities by the Issuer and Affiliated Purchasers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There were no repurchases of shares or equity securities during the three months ended June 30, 2021.</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Use of Proceeds from our Initial Public Offering of Common Stock</w:t>
      </w:r>
    </w:p>
    <w:p>
      <w:pPr>
        <w:spacing w:after="0" w:line="173" w:lineRule="exact"/>
        <w:rPr>
          <w:sz w:val="20"/>
          <w:szCs w:val="20"/>
          <w:color w:val="auto"/>
        </w:rPr>
      </w:pPr>
    </w:p>
    <w:p>
      <w:pPr>
        <w:jc w:val="both"/>
        <w:ind w:firstLine="332"/>
        <w:spacing w:after="0" w:line="270" w:lineRule="auto"/>
        <w:rPr>
          <w:sz w:val="20"/>
          <w:szCs w:val="20"/>
          <w:color w:val="auto"/>
        </w:rPr>
      </w:pPr>
      <w:r>
        <w:rPr>
          <w:rFonts w:ascii="Arial" w:cs="Arial" w:eastAsia="Arial" w:hAnsi="Arial"/>
          <w:sz w:val="13"/>
          <w:szCs w:val="13"/>
          <w:color w:val="auto"/>
        </w:rPr>
        <w:t>On October 16, 2018, our registration statement on Form S-1 (File No. 333-227445) relating to our Initial Public Offering (“IPO”) of common stock became effective. The IPO closed on October 16, 2018 at which time we issued 8,280,000 shares of our common stock at an initial offering price of $15.00 per share for gross proceeds of $124.2 million. We received net proceeds from the IPO of approximately $113.4 million, after deducting the underwriting discount of $8.7 million and other offering-related expenses of $2.1 million. None of the expenses associated with the IPO were paid to directors, officers, persons owning 10% or more of any class of equity securities, or to their associates, or to our affiliates.</w:t>
      </w:r>
    </w:p>
    <w:p>
      <w:pPr>
        <w:spacing w:after="0" w:line="133" w:lineRule="exact"/>
        <w:rPr>
          <w:sz w:val="20"/>
          <w:szCs w:val="20"/>
          <w:color w:val="auto"/>
        </w:rPr>
      </w:pPr>
    </w:p>
    <w:p>
      <w:pPr>
        <w:ind w:firstLine="332"/>
        <w:spacing w:after="0" w:line="338" w:lineRule="auto"/>
        <w:rPr>
          <w:sz w:val="20"/>
          <w:szCs w:val="20"/>
          <w:color w:val="auto"/>
        </w:rPr>
      </w:pPr>
      <w:r>
        <w:rPr>
          <w:rFonts w:ascii="Arial" w:cs="Arial" w:eastAsia="Arial" w:hAnsi="Arial"/>
          <w:sz w:val="12"/>
          <w:szCs w:val="12"/>
          <w:color w:val="auto"/>
        </w:rPr>
        <w:t>There has been no material change in the planned use of proceeds from the IPO from that described in the prospectus filed with the SEC pursuant to Rule 424(b)(4) under the Securities Act on October 16, 2018. As of June 30, 2021, approximately $94.4 million of the net proceeds had been used for general corporate purposes including cash used in operations and capital expenditures.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Defaults Upon Senior Securities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color w:val="auto"/>
        </w:rPr>
        <w:t>Item 5. Other Information</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305" w:lineRule="exact"/>
        <w:rPr>
          <w:sz w:val="20"/>
          <w:szCs w:val="20"/>
          <w:color w:val="auto"/>
        </w:rPr>
      </w:pPr>
    </w:p>
    <w:p>
      <w:pPr>
        <w:jc w:val="right"/>
        <w:ind w:right="4439"/>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0159"/>
          </w:cols>
          <w:pgMar w:left="300" w:top="932" w:right="1440" w:bottom="1440" w:gutter="0" w:footer="0" w:header="0"/>
        </w:sectPr>
      </w:pPr>
    </w:p>
    <w:bookmarkStart w:id="69" w:name="page70"/>
    <w:bookmarkEnd w:id="69"/>
    <w:p>
      <w:pPr>
        <w:spacing w:after="0"/>
        <w:rPr>
          <w:sz w:val="20"/>
          <w:szCs w:val="20"/>
          <w:color w:val="auto"/>
        </w:rPr>
      </w:pPr>
      <w:r>
        <w:rPr>
          <w:rFonts w:ascii="Arial" w:cs="Arial" w:eastAsia="Arial" w:hAnsi="Arial"/>
          <w:sz w:val="13"/>
          <w:szCs w:val="13"/>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40"/>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ind w:left="120"/>
              <w:spacing w:after="0"/>
              <w:rPr>
                <w:sz w:val="20"/>
                <w:szCs w:val="20"/>
                <w:color w:val="auto"/>
              </w:rPr>
            </w:pPr>
            <w:r>
              <w:rPr>
                <w:rFonts w:ascii="Arial" w:cs="Arial" w:eastAsia="Arial" w:hAnsi="Arial"/>
                <w:sz w:val="11"/>
                <w:szCs w:val="11"/>
                <w:b w:val="1"/>
                <w:bCs w:val="1"/>
                <w:color w:val="auto"/>
                <w:w w:val="90"/>
              </w:rPr>
              <w:t>Incorporation By Reference</w:t>
            </w:r>
          </w:p>
        </w:tc>
        <w:tc>
          <w:tcPr>
            <w:tcW w:w="10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200" w:type="dxa"/>
            <w:vAlign w:val="bottom"/>
            <w:gridSpan w:val="2"/>
          </w:tcPr>
          <w:p>
            <w:pPr>
              <w:ind w:left="360"/>
              <w:spacing w:after="0" w:line="99" w:lineRule="exact"/>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60" w:type="dxa"/>
            <w:vAlign w:val="bottom"/>
            <w:gridSpan w:val="15"/>
            <w:vMerge w:val="restart"/>
          </w:tcPr>
          <w:p>
            <w:pPr>
              <w:ind w:left="160"/>
              <w:spacing w:after="0"/>
              <w:rPr>
                <w:sz w:val="20"/>
                <w:szCs w:val="20"/>
                <w:color w:val="auto"/>
              </w:rPr>
            </w:pPr>
            <w:r>
              <w:rPr>
                <w:rFonts w:ascii="Arial" w:cs="Arial" w:eastAsia="Arial" w:hAnsi="Arial"/>
                <w:sz w:val="11"/>
                <w:szCs w:val="11"/>
                <w:b w:val="1"/>
                <w:bCs w:val="1"/>
                <w:color w:val="auto"/>
              </w:rPr>
              <w:t>Description</w:t>
            </w:r>
          </w:p>
        </w:tc>
        <w:tc>
          <w:tcPr>
            <w:tcW w:w="10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Form</w:t>
            </w:r>
          </w:p>
        </w:tc>
        <w:tc>
          <w:tcPr>
            <w:tcW w:w="120" w:type="dxa"/>
            <w:vAlign w:val="bottom"/>
          </w:tcPr>
          <w:p>
            <w:pPr>
              <w:spacing w:after="0"/>
              <w:rPr>
                <w:sz w:val="8"/>
                <w:szCs w:val="8"/>
                <w:color w:val="auto"/>
              </w:rPr>
            </w:pPr>
          </w:p>
        </w:tc>
        <w:tc>
          <w:tcPr>
            <w:tcW w:w="132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SEC File No.</w:t>
            </w:r>
          </w:p>
        </w:tc>
        <w:tc>
          <w:tcPr>
            <w:tcW w:w="1080" w:type="dxa"/>
            <w:vAlign w:val="bottom"/>
          </w:tcPr>
          <w:p>
            <w:pPr>
              <w:jc w:val="center"/>
              <w:spacing w:after="0" w:line="99" w:lineRule="exact"/>
              <w:rPr>
                <w:sz w:val="20"/>
                <w:szCs w:val="20"/>
                <w:color w:val="auto"/>
              </w:rPr>
            </w:pPr>
            <w:r>
              <w:rPr>
                <w:rFonts w:ascii="Arial" w:cs="Arial" w:eastAsia="Arial" w:hAnsi="Arial"/>
                <w:sz w:val="11"/>
                <w:szCs w:val="11"/>
                <w:b w:val="1"/>
                <w:bCs w:val="1"/>
                <w:color w:val="auto"/>
                <w:w w:val="95"/>
              </w:rPr>
              <w:t>Exhibit/</w:t>
            </w:r>
          </w:p>
        </w:tc>
        <w:tc>
          <w:tcPr>
            <w:tcW w:w="140" w:type="dxa"/>
            <w:vAlign w:val="bottom"/>
          </w:tcPr>
          <w:p>
            <w:pPr>
              <w:spacing w:after="0"/>
              <w:rPr>
                <w:sz w:val="8"/>
                <w:szCs w:val="8"/>
                <w:color w:val="auto"/>
              </w:rPr>
            </w:pPr>
          </w:p>
        </w:tc>
        <w:tc>
          <w:tcPr>
            <w:tcW w:w="122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Filing Date</w:t>
            </w:r>
          </w:p>
        </w:tc>
        <w:tc>
          <w:tcPr>
            <w:tcW w:w="0" w:type="dxa"/>
            <w:vAlign w:val="bottom"/>
          </w:tcPr>
          <w:p>
            <w:pPr>
              <w:spacing w:after="0"/>
              <w:rPr>
                <w:sz w:val="1"/>
                <w:szCs w:val="1"/>
                <w:color w:val="auto"/>
              </w:rPr>
            </w:pPr>
          </w:p>
        </w:tc>
      </w:tr>
      <w:tr>
        <w:trPr>
          <w:trHeight w:val="140"/>
        </w:trPr>
        <w:tc>
          <w:tcPr>
            <w:tcW w:w="1200" w:type="dxa"/>
            <w:vAlign w:val="bottom"/>
            <w:gridSpan w:val="2"/>
          </w:tcPr>
          <w:p>
            <w:pPr>
              <w:ind w:left="34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60" w:type="dxa"/>
            <w:vAlign w:val="bottom"/>
            <w:gridSpan w:val="15"/>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Reference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080" w:type="dxa"/>
            <w:vAlign w:val="bottom"/>
            <w:tcBorders>
              <w:top w:val="single" w:sz="8" w:color="auto"/>
            </w:tcBorders>
          </w:tcPr>
          <w:p>
            <w:pPr>
              <w:spacing w:after="0" w:line="132" w:lineRule="exact"/>
              <w:rPr>
                <w:sz w:val="20"/>
                <w:szCs w:val="20"/>
                <w:color w:val="auto"/>
              </w:rPr>
            </w:pPr>
            <w:r>
              <w:rPr>
                <w:rFonts w:ascii="Arial" w:cs="Arial" w:eastAsia="Arial" w:hAnsi="Arial"/>
                <w:sz w:val="13"/>
                <w:szCs w:val="13"/>
                <w:color w:val="auto"/>
              </w:rPr>
              <w:t>3.1</w:t>
            </w: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980" w:type="dxa"/>
            <w:vAlign w:val="bottom"/>
            <w:tcBorders>
              <w:top w:val="single" w:sz="8" w:color="auto"/>
            </w:tcBorders>
            <w:gridSpan w:val="21"/>
          </w:tcPr>
          <w:p>
            <w:pPr>
              <w:spacing w:after="0" w:line="132" w:lineRule="exact"/>
              <w:rPr>
                <w:rFonts w:ascii="Arial" w:cs="Arial" w:eastAsia="Arial" w:hAnsi="Arial"/>
                <w:sz w:val="13"/>
                <w:szCs w:val="13"/>
                <w:color w:val="0000FF"/>
              </w:rPr>
            </w:pPr>
            <w:hyperlink r:id="rId83">
              <w:r>
                <w:rPr>
                  <w:rFonts w:ascii="Arial" w:cs="Arial" w:eastAsia="Arial" w:hAnsi="Arial"/>
                  <w:sz w:val="13"/>
                  <w:szCs w:val="13"/>
                  <w:color w:val="0000FF"/>
                </w:rPr>
                <w:t>Amended and Restated Certificate of Incorporation.</w:t>
              </w:r>
            </w:hyperlink>
          </w:p>
        </w:tc>
        <w:tc>
          <w:tcPr>
            <w:tcW w:w="14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color w:val="auto"/>
              </w:rPr>
              <w:t>8-K</w:t>
            </w:r>
          </w:p>
        </w:tc>
        <w:tc>
          <w:tcPr>
            <w:tcW w:w="12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color w:val="auto"/>
                <w:w w:val="93"/>
              </w:rPr>
              <w:t>001-38701</w:t>
            </w:r>
          </w:p>
        </w:tc>
        <w:tc>
          <w:tcPr>
            <w:tcW w:w="140" w:type="dxa"/>
            <w:vAlign w:val="bottom"/>
          </w:tcPr>
          <w:p>
            <w:pPr>
              <w:spacing w:after="0"/>
              <w:rPr>
                <w:sz w:val="11"/>
                <w:szCs w:val="11"/>
                <w:color w:val="auto"/>
              </w:rPr>
            </w:pPr>
          </w:p>
        </w:tc>
        <w:tc>
          <w:tcPr>
            <w:tcW w:w="108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color w:val="auto"/>
                <w:w w:val="88"/>
              </w:rPr>
              <w:t>3.1</w:t>
            </w:r>
          </w:p>
        </w:tc>
        <w:tc>
          <w:tcPr>
            <w:tcW w:w="140" w:type="dxa"/>
            <w:vAlign w:val="bottom"/>
          </w:tcPr>
          <w:p>
            <w:pPr>
              <w:spacing w:after="0"/>
              <w:rPr>
                <w:sz w:val="11"/>
                <w:szCs w:val="11"/>
                <w:color w:val="auto"/>
              </w:rPr>
            </w:pPr>
          </w:p>
        </w:tc>
        <w:tc>
          <w:tcPr>
            <w:tcW w:w="122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color w:val="auto"/>
                <w:w w:val="95"/>
              </w:rPr>
              <w:t>10/19/2018</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Borders>
              <w:top w:val="single" w:sz="8" w:color="0000FF"/>
              <w:bottom w:val="single" w:sz="8" w:color="0000FF"/>
            </w:tcBorders>
            <w:gridSpan w:val="5"/>
          </w:tcPr>
          <w:p>
            <w:pPr>
              <w:spacing w:after="0"/>
              <w:rPr>
                <w:rFonts w:ascii="Arial" w:cs="Arial" w:eastAsia="Arial" w:hAnsi="Arial"/>
                <w:sz w:val="13"/>
                <w:szCs w:val="13"/>
                <w:color w:val="0000FF"/>
                <w:w w:val="91"/>
              </w:rPr>
            </w:pPr>
            <w:hyperlink r:id="rId84">
              <w:r>
                <w:rPr>
                  <w:rFonts w:ascii="Arial" w:cs="Arial" w:eastAsia="Arial" w:hAnsi="Arial"/>
                  <w:sz w:val="13"/>
                  <w:szCs w:val="13"/>
                  <w:color w:val="0000FF"/>
                  <w:w w:val="91"/>
                </w:rPr>
                <w:t>Amended and Restated Bylaws.</w:t>
              </w:r>
            </w:hyperlink>
          </w:p>
        </w:tc>
        <w:tc>
          <w:tcPr>
            <w:tcW w:w="1060" w:type="dxa"/>
            <w:vAlign w:val="bottom"/>
            <w:tcBorders>
              <w:top w:val="single" w:sz="8" w:color="0000FF"/>
            </w:tcBorders>
            <w:gridSpan w:val="5"/>
          </w:tcPr>
          <w:p>
            <w:pPr>
              <w:spacing w:after="0"/>
              <w:rPr>
                <w:sz w:val="16"/>
                <w:szCs w:val="16"/>
                <w:color w:val="auto"/>
              </w:rPr>
            </w:pPr>
          </w:p>
        </w:tc>
        <w:tc>
          <w:tcPr>
            <w:tcW w:w="2340" w:type="dxa"/>
            <w:vAlign w:val="bottom"/>
            <w:gridSpan w:val="12"/>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8"/>
              </w:rPr>
              <w:t>S-1/A</w:t>
            </w:r>
          </w:p>
        </w:tc>
        <w:tc>
          <w:tcPr>
            <w:tcW w:w="1300" w:type="dxa"/>
            <w:vAlign w:val="bottom"/>
            <w:gridSpan w:val="2"/>
          </w:tcPr>
          <w:p>
            <w:pPr>
              <w:jc w:val="center"/>
              <w:ind w:left="55"/>
              <w:spacing w:after="0"/>
              <w:rPr>
                <w:sz w:val="20"/>
                <w:szCs w:val="20"/>
                <w:color w:val="auto"/>
              </w:rPr>
            </w:pPr>
            <w:r>
              <w:rPr>
                <w:rFonts w:ascii="Arial" w:cs="Arial" w:eastAsia="Arial" w:hAnsi="Arial"/>
                <w:sz w:val="13"/>
                <w:szCs w:val="13"/>
                <w:color w:val="auto"/>
                <w:w w:val="95"/>
              </w:rPr>
              <w:t>333-227445</w:t>
            </w: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88"/>
              </w:rPr>
              <w:t>3.4</w:t>
            </w:r>
          </w:p>
        </w:tc>
        <w:tc>
          <w:tcPr>
            <w:tcW w:w="1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3"/>
              </w:rPr>
              <w:t>10/5/2018</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20" w:type="dxa"/>
            <w:vAlign w:val="bottom"/>
            <w:gridSpan w:val="22"/>
          </w:tcPr>
          <w:p>
            <w:pPr>
              <w:spacing w:after="0"/>
              <w:rPr>
                <w:rFonts w:ascii="Arial" w:cs="Arial" w:eastAsia="Arial" w:hAnsi="Arial"/>
                <w:sz w:val="13"/>
                <w:szCs w:val="13"/>
                <w:color w:val="0000FF"/>
              </w:rPr>
            </w:pPr>
            <w:hyperlink r:id="rId85">
              <w:r>
                <w:rPr>
                  <w:rFonts w:ascii="Arial" w:cs="Arial" w:eastAsia="Arial" w:hAnsi="Arial"/>
                  <w:sz w:val="13"/>
                  <w:szCs w:val="13"/>
                  <w:color w:val="0000FF"/>
                </w:rPr>
                <w:t>Form of Common Stock Certificate of the Company.</w:t>
              </w:r>
            </w:hyperlink>
          </w:p>
        </w:tc>
        <w:tc>
          <w:tcPr>
            <w:tcW w:w="1000" w:type="dxa"/>
            <w:vAlign w:val="bottom"/>
          </w:tcPr>
          <w:p>
            <w:pPr>
              <w:jc w:val="center"/>
              <w:spacing w:after="0"/>
              <w:rPr>
                <w:sz w:val="20"/>
                <w:szCs w:val="20"/>
                <w:color w:val="auto"/>
              </w:rPr>
            </w:pPr>
            <w:r>
              <w:rPr>
                <w:rFonts w:ascii="Arial" w:cs="Arial" w:eastAsia="Arial" w:hAnsi="Arial"/>
                <w:sz w:val="13"/>
                <w:szCs w:val="13"/>
                <w:color w:val="auto"/>
                <w:w w:val="98"/>
              </w:rPr>
              <w:t>S-1/A</w:t>
            </w:r>
          </w:p>
        </w:tc>
        <w:tc>
          <w:tcPr>
            <w:tcW w:w="1300" w:type="dxa"/>
            <w:vAlign w:val="bottom"/>
            <w:gridSpan w:val="2"/>
          </w:tcPr>
          <w:p>
            <w:pPr>
              <w:jc w:val="center"/>
              <w:ind w:left="55"/>
              <w:spacing w:after="0"/>
              <w:rPr>
                <w:sz w:val="20"/>
                <w:szCs w:val="20"/>
                <w:color w:val="auto"/>
              </w:rPr>
            </w:pPr>
            <w:r>
              <w:rPr>
                <w:rFonts w:ascii="Arial" w:cs="Arial" w:eastAsia="Arial" w:hAnsi="Arial"/>
                <w:sz w:val="13"/>
                <w:szCs w:val="13"/>
                <w:color w:val="auto"/>
                <w:w w:val="95"/>
              </w:rPr>
              <w:t>333-227445</w:t>
            </w: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88"/>
              </w:rPr>
              <w:t>4.1</w:t>
            </w:r>
          </w:p>
        </w:tc>
        <w:tc>
          <w:tcPr>
            <w:tcW w:w="1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3"/>
              </w:rPr>
              <w:t>10/5/2018</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20" w:type="dxa"/>
            <w:vAlign w:val="bottom"/>
            <w:tcBorders>
              <w:top w:val="single" w:sz="8" w:color="0000FF"/>
            </w:tcBorders>
            <w:gridSpan w:val="11"/>
          </w:tcPr>
          <w:p>
            <w:pPr>
              <w:spacing w:after="0"/>
              <w:rPr>
                <w:rFonts w:ascii="Arial" w:cs="Arial" w:eastAsia="Arial" w:hAnsi="Arial"/>
                <w:sz w:val="13"/>
                <w:szCs w:val="13"/>
                <w:color w:val="auto"/>
              </w:rPr>
            </w:pPr>
            <w:r>
              <w:rPr>
                <w:rFonts w:ascii="Arial" w:cs="Arial" w:eastAsia="Arial" w:hAnsi="Arial"/>
                <w:sz w:val="13"/>
                <w:szCs w:val="13"/>
                <w:color w:val="auto"/>
              </w:rPr>
              <w:t xml:space="preserve">Reference is made to Exhibits </w:t>
            </w:r>
            <w:hyperlink r:id="rId83">
              <w:r>
                <w:rPr>
                  <w:rFonts w:ascii="Arial" w:cs="Arial" w:eastAsia="Arial" w:hAnsi="Arial"/>
                  <w:sz w:val="13"/>
                  <w:szCs w:val="13"/>
                  <w:color w:val="0000FF"/>
                </w:rPr>
                <w:t>3.1</w:t>
              </w:r>
              <w:r>
                <w:rPr>
                  <w:rFonts w:ascii="Arial" w:cs="Arial" w:eastAsia="Arial" w:hAnsi="Arial"/>
                  <w:sz w:val="13"/>
                  <w:szCs w:val="13"/>
                  <w:color w:val="auto"/>
                </w:rPr>
                <w:t xml:space="preserve"> </w:t>
              </w:r>
            </w:hyperlink>
            <w:r>
              <w:rPr>
                <w:rFonts w:ascii="Arial" w:cs="Arial" w:eastAsia="Arial" w:hAnsi="Arial"/>
                <w:sz w:val="13"/>
                <w:szCs w:val="13"/>
                <w:color w:val="auto"/>
              </w:rPr>
              <w:t xml:space="preserve">and </w:t>
            </w:r>
            <w:hyperlink r:id="rId84">
              <w:r>
                <w:rPr>
                  <w:rFonts w:ascii="Arial" w:cs="Arial" w:eastAsia="Arial" w:hAnsi="Arial"/>
                  <w:sz w:val="13"/>
                  <w:szCs w:val="13"/>
                  <w:color w:val="0000FF"/>
                </w:rPr>
                <w:t>3.2</w:t>
              </w:r>
            </w:hyperlink>
            <w:r>
              <w:rPr>
                <w:rFonts w:ascii="Arial" w:cs="Arial" w:eastAsia="Arial" w:hAnsi="Arial"/>
                <w:sz w:val="13"/>
                <w:szCs w:val="13"/>
                <w:color w:val="auto"/>
              </w:rPr>
              <w:t>.</w:t>
            </w:r>
          </w:p>
        </w:tc>
        <w:tc>
          <w:tcPr>
            <w:tcW w:w="2300" w:type="dxa"/>
            <w:vAlign w:val="bottom"/>
            <w:gridSpan w:val="11"/>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80" w:type="dxa"/>
            <w:vAlign w:val="bottom"/>
          </w:tcPr>
          <w:p>
            <w:pPr>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20" w:type="dxa"/>
            <w:vAlign w:val="bottom"/>
            <w:gridSpan w:val="22"/>
          </w:tcPr>
          <w:p>
            <w:pPr>
              <w:spacing w:after="0"/>
              <w:rPr>
                <w:rFonts w:ascii="Arial" w:cs="Arial" w:eastAsia="Arial" w:hAnsi="Arial"/>
                <w:sz w:val="13"/>
                <w:szCs w:val="13"/>
                <w:color w:val="0000FF"/>
              </w:rPr>
            </w:pPr>
            <w:hyperlink r:id="rId86">
              <w:r>
                <w:rPr>
                  <w:rFonts w:ascii="Arial" w:cs="Arial" w:eastAsia="Arial" w:hAnsi="Arial"/>
                  <w:sz w:val="13"/>
                  <w:szCs w:val="13"/>
                  <w:color w:val="0000FF"/>
                </w:rPr>
                <w:t>Offer Letter Agreement, dated April 20, 2021, between the Registrant and Anshul</w:t>
              </w:r>
            </w:hyperlink>
          </w:p>
        </w:tc>
        <w:tc>
          <w:tcPr>
            <w:tcW w:w="1000" w:type="dxa"/>
            <w:vAlign w:val="bottom"/>
          </w:tcPr>
          <w:p>
            <w:pPr>
              <w:jc w:val="center"/>
              <w:spacing w:after="0"/>
              <w:rPr>
                <w:sz w:val="20"/>
                <w:szCs w:val="20"/>
                <w:color w:val="auto"/>
              </w:rPr>
            </w:pPr>
            <w:r>
              <w:rPr>
                <w:rFonts w:ascii="Arial" w:cs="Arial" w:eastAsia="Arial" w:hAnsi="Arial"/>
                <w:sz w:val="13"/>
                <w:szCs w:val="13"/>
                <w:color w:val="auto"/>
              </w:rPr>
              <w:t>8-K</w:t>
            </w:r>
          </w:p>
        </w:tc>
        <w:tc>
          <w:tcPr>
            <w:tcW w:w="1300" w:type="dxa"/>
            <w:vAlign w:val="bottom"/>
            <w:gridSpan w:val="2"/>
          </w:tcPr>
          <w:p>
            <w:pPr>
              <w:jc w:val="center"/>
              <w:ind w:left="55"/>
              <w:spacing w:after="0"/>
              <w:rPr>
                <w:sz w:val="20"/>
                <w:szCs w:val="20"/>
                <w:color w:val="auto"/>
              </w:rPr>
            </w:pPr>
            <w:r>
              <w:rPr>
                <w:rFonts w:ascii="Arial" w:cs="Arial" w:eastAsia="Arial" w:hAnsi="Arial"/>
                <w:sz w:val="13"/>
                <w:szCs w:val="13"/>
                <w:color w:val="auto"/>
                <w:w w:val="93"/>
              </w:rPr>
              <w:t>001-38701</w:t>
            </w:r>
          </w:p>
        </w:tc>
        <w:tc>
          <w:tcPr>
            <w:tcW w:w="1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1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3"/>
              </w:rPr>
              <w:t>4/20/2021</w:t>
            </w:r>
          </w:p>
        </w:tc>
        <w:tc>
          <w:tcPr>
            <w:tcW w:w="0" w:type="dxa"/>
            <w:vAlign w:val="bottom"/>
          </w:tcPr>
          <w:p>
            <w:pPr>
              <w:spacing w:after="0"/>
              <w:rPr>
                <w:sz w:val="1"/>
                <w:szCs w:val="1"/>
                <w:color w:val="auto"/>
              </w:rPr>
            </w:pPr>
          </w:p>
        </w:tc>
      </w:tr>
      <w:tr>
        <w:trPr>
          <w:trHeight w:val="111"/>
        </w:trPr>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0" w:type="dxa"/>
            <w:vAlign w:val="bottom"/>
            <w:tcBorders>
              <w:top w:val="single" w:sz="8" w:color="0000FF"/>
            </w:tcBorders>
            <w:gridSpan w:val="12"/>
          </w:tcPr>
          <w:p>
            <w:pPr>
              <w:spacing w:after="0" w:line="111" w:lineRule="exact"/>
              <w:rPr>
                <w:rFonts w:ascii="Arial" w:cs="Arial" w:eastAsia="Arial" w:hAnsi="Arial"/>
                <w:sz w:val="12"/>
                <w:szCs w:val="12"/>
                <w:color w:val="0000FF"/>
              </w:rPr>
            </w:pPr>
            <w:hyperlink r:id="rId86">
              <w:r>
                <w:rPr>
                  <w:rFonts w:ascii="Arial" w:cs="Arial" w:eastAsia="Arial" w:hAnsi="Arial"/>
                  <w:sz w:val="12"/>
                  <w:szCs w:val="12"/>
                  <w:color w:val="0000FF"/>
                </w:rPr>
                <w:t>Maheshwari</w:t>
              </w:r>
            </w:hyperlink>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80" w:type="dxa"/>
            <w:vAlign w:val="bottom"/>
            <w:tcBorders>
              <w:bottom w:val="single" w:sz="8" w:color="0000FF"/>
            </w:tcBorders>
            <w:gridSpan w:val="14"/>
          </w:tcPr>
          <w:p>
            <w:pPr>
              <w:spacing w:after="0"/>
              <w:rPr>
                <w:rFonts w:ascii="Arial" w:cs="Arial" w:eastAsia="Arial" w:hAnsi="Arial"/>
                <w:sz w:val="13"/>
                <w:szCs w:val="13"/>
                <w:color w:val="0000FF"/>
                <w:w w:val="93"/>
              </w:rPr>
            </w:pPr>
            <w:hyperlink r:id="rId87">
              <w:r>
                <w:rPr>
                  <w:rFonts w:ascii="Arial" w:cs="Arial" w:eastAsia="Arial" w:hAnsi="Arial"/>
                  <w:sz w:val="13"/>
                  <w:szCs w:val="13"/>
                  <w:color w:val="0000FF"/>
                  <w:w w:val="93"/>
                </w:rPr>
                <w:t>Offer Letter Agreement, dated April 19, 2021, between the Registrant and Helen Loh</w:t>
              </w:r>
            </w:hyperlink>
          </w:p>
        </w:tc>
        <w:tc>
          <w:tcPr>
            <w:tcW w:w="540" w:type="dxa"/>
            <w:vAlign w:val="bottom"/>
            <w:gridSpan w:val="8"/>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10-Q</w:t>
            </w:r>
          </w:p>
        </w:tc>
        <w:tc>
          <w:tcPr>
            <w:tcW w:w="1300" w:type="dxa"/>
            <w:vAlign w:val="bottom"/>
            <w:gridSpan w:val="2"/>
          </w:tcPr>
          <w:p>
            <w:pPr>
              <w:jc w:val="center"/>
              <w:ind w:left="55"/>
              <w:spacing w:after="0"/>
              <w:rPr>
                <w:sz w:val="20"/>
                <w:szCs w:val="20"/>
                <w:color w:val="auto"/>
              </w:rPr>
            </w:pPr>
            <w:r>
              <w:rPr>
                <w:rFonts w:ascii="Arial" w:cs="Arial" w:eastAsia="Arial" w:hAnsi="Arial"/>
                <w:sz w:val="13"/>
                <w:szCs w:val="13"/>
                <w:color w:val="auto"/>
                <w:w w:val="93"/>
              </w:rPr>
              <w:t>001-38701</w:t>
            </w:r>
          </w:p>
        </w:tc>
        <w:tc>
          <w:tcPr>
            <w:tcW w:w="1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4"/>
              </w:rPr>
              <w:t>10.2</w:t>
            </w: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4"/>
              </w:rPr>
              <w:t>5/4/2021</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20" w:type="dxa"/>
            <w:vAlign w:val="bottom"/>
            <w:gridSpan w:val="22"/>
          </w:tcPr>
          <w:p>
            <w:pPr>
              <w:spacing w:after="0"/>
              <w:rPr>
                <w:rFonts w:ascii="Arial" w:cs="Arial" w:eastAsia="Arial" w:hAnsi="Arial"/>
                <w:sz w:val="13"/>
                <w:szCs w:val="13"/>
                <w:color w:val="0000FF"/>
              </w:rPr>
            </w:pPr>
            <w:hyperlink r:id="rId88">
              <w:r>
                <w:rPr>
                  <w:rFonts w:ascii="Arial" w:cs="Arial" w:eastAsia="Arial" w:hAnsi="Arial"/>
                  <w:sz w:val="13"/>
                  <w:szCs w:val="13"/>
                  <w:color w:val="0000FF"/>
                </w:rPr>
                <w:t>Amended and Restated Participation Agreement dated April 20, 2021, between the</w:t>
              </w:r>
            </w:hyperlink>
          </w:p>
        </w:tc>
        <w:tc>
          <w:tcPr>
            <w:tcW w:w="1000" w:type="dxa"/>
            <w:vAlign w:val="bottom"/>
          </w:tcPr>
          <w:p>
            <w:pPr>
              <w:jc w:val="center"/>
              <w:spacing w:after="0"/>
              <w:rPr>
                <w:sz w:val="20"/>
                <w:szCs w:val="20"/>
                <w:color w:val="auto"/>
              </w:rPr>
            </w:pPr>
            <w:r>
              <w:rPr>
                <w:rFonts w:ascii="Arial" w:cs="Arial" w:eastAsia="Arial" w:hAnsi="Arial"/>
                <w:sz w:val="13"/>
                <w:szCs w:val="13"/>
                <w:color w:val="auto"/>
              </w:rPr>
              <w:t>8-K</w:t>
            </w:r>
          </w:p>
        </w:tc>
        <w:tc>
          <w:tcPr>
            <w:tcW w:w="1300" w:type="dxa"/>
            <w:vAlign w:val="bottom"/>
            <w:gridSpan w:val="2"/>
          </w:tcPr>
          <w:p>
            <w:pPr>
              <w:jc w:val="center"/>
              <w:ind w:left="55"/>
              <w:spacing w:after="0"/>
              <w:rPr>
                <w:sz w:val="20"/>
                <w:szCs w:val="20"/>
                <w:color w:val="auto"/>
              </w:rPr>
            </w:pPr>
            <w:r>
              <w:rPr>
                <w:rFonts w:ascii="Arial" w:cs="Arial" w:eastAsia="Arial" w:hAnsi="Arial"/>
                <w:sz w:val="13"/>
                <w:szCs w:val="13"/>
                <w:color w:val="auto"/>
                <w:w w:val="93"/>
              </w:rPr>
              <w:t>001-38701</w:t>
            </w: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4"/>
              </w:rPr>
              <w:t>10.2</w:t>
            </w:r>
          </w:p>
        </w:tc>
        <w:tc>
          <w:tcPr>
            <w:tcW w:w="1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3"/>
              </w:rPr>
              <w:t>4/20/2021</w:t>
            </w:r>
          </w:p>
        </w:tc>
        <w:tc>
          <w:tcPr>
            <w:tcW w:w="0" w:type="dxa"/>
            <w:vAlign w:val="bottom"/>
          </w:tcPr>
          <w:p>
            <w:pPr>
              <w:spacing w:after="0"/>
              <w:rPr>
                <w:sz w:val="1"/>
                <w:szCs w:val="1"/>
                <w:color w:val="auto"/>
              </w:rPr>
            </w:pPr>
          </w:p>
        </w:tc>
      </w:tr>
      <w:tr>
        <w:trPr>
          <w:trHeight w:val="111"/>
        </w:trPr>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top w:val="single" w:sz="8" w:color="0000FF"/>
              <w:bottom w:val="single" w:sz="8" w:color="0000FF"/>
            </w:tcBorders>
            <w:gridSpan w:val="3"/>
          </w:tcPr>
          <w:p>
            <w:pPr>
              <w:spacing w:after="0" w:line="111" w:lineRule="exact"/>
              <w:rPr>
                <w:rFonts w:ascii="Arial" w:cs="Arial" w:eastAsia="Arial" w:hAnsi="Arial"/>
                <w:sz w:val="12"/>
                <w:szCs w:val="12"/>
                <w:color w:val="0000FF"/>
                <w:w w:val="99"/>
              </w:rPr>
            </w:pPr>
            <w:hyperlink r:id="rId88">
              <w:r>
                <w:rPr>
                  <w:rFonts w:ascii="Arial" w:cs="Arial" w:eastAsia="Arial" w:hAnsi="Arial"/>
                  <w:sz w:val="12"/>
                  <w:szCs w:val="12"/>
                  <w:color w:val="0000FF"/>
                  <w:w w:val="99"/>
                </w:rPr>
                <w:t>Registrant and Laura Francis</w:t>
              </w:r>
            </w:hyperlink>
          </w:p>
        </w:tc>
        <w:tc>
          <w:tcPr>
            <w:tcW w:w="2880" w:type="dxa"/>
            <w:vAlign w:val="bottom"/>
            <w:tcBorders>
              <w:top w:val="single" w:sz="8" w:color="0000FF"/>
            </w:tcBorders>
            <w:gridSpan w:val="10"/>
          </w:tcPr>
          <w:p>
            <w:pPr>
              <w:spacing w:after="0"/>
              <w:rPr>
                <w:sz w:val="9"/>
                <w:szCs w:val="9"/>
                <w:color w:val="auto"/>
              </w:rPr>
            </w:pPr>
          </w:p>
        </w:tc>
        <w:tc>
          <w:tcPr>
            <w:tcW w:w="1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gridSpan w:val="22"/>
          </w:tcPr>
          <w:p>
            <w:pPr>
              <w:spacing w:after="0"/>
              <w:rPr>
                <w:rFonts w:ascii="Arial" w:cs="Arial" w:eastAsia="Arial" w:hAnsi="Arial"/>
                <w:sz w:val="13"/>
                <w:szCs w:val="13"/>
                <w:color w:val="0000FF"/>
              </w:rPr>
            </w:pPr>
            <w:hyperlink w:anchor="page73">
              <w:r>
                <w:rPr>
                  <w:rFonts w:ascii="Arial" w:cs="Arial" w:eastAsia="Arial" w:hAnsi="Arial"/>
                  <w:sz w:val="13"/>
                  <w:szCs w:val="13"/>
                  <w:color w:val="0000FF"/>
                </w:rPr>
                <w:t>Amended and Restated Manufacturing, Quality and Supply Agreement, dated June 11,</w:t>
              </w:r>
            </w:hyperlink>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60" w:type="dxa"/>
            <w:vAlign w:val="bottom"/>
            <w:tcBorders>
              <w:top w:val="single" w:sz="8" w:color="0000FF"/>
            </w:tcBorders>
            <w:gridSpan w:val="17"/>
          </w:tcPr>
          <w:p>
            <w:pPr>
              <w:spacing w:after="0" w:line="111" w:lineRule="exact"/>
              <w:rPr>
                <w:rFonts w:ascii="Arial" w:cs="Arial" w:eastAsia="Arial" w:hAnsi="Arial"/>
                <w:sz w:val="12"/>
                <w:szCs w:val="12"/>
                <w:color w:val="0000FF"/>
              </w:rPr>
            </w:pPr>
            <w:hyperlink w:anchor="page73">
              <w:r>
                <w:rPr>
                  <w:rFonts w:ascii="Arial" w:cs="Arial" w:eastAsia="Arial" w:hAnsi="Arial"/>
                  <w:sz w:val="12"/>
                  <w:szCs w:val="12"/>
                  <w:color w:val="0000FF"/>
                </w:rPr>
                <w:t>2021, between the Registrant and rms Company</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80" w:type="dxa"/>
            <w:vAlign w:val="bottom"/>
          </w:tcPr>
          <w:p>
            <w:pPr>
              <w:spacing w:after="0"/>
              <w:rPr>
                <w:sz w:val="20"/>
                <w:szCs w:val="20"/>
                <w:color w:val="auto"/>
              </w:rPr>
            </w:pPr>
            <w:r>
              <w:rPr>
                <w:rFonts w:ascii="Arial" w:cs="Arial" w:eastAsia="Arial" w:hAnsi="Arial"/>
                <w:sz w:val="13"/>
                <w:szCs w:val="13"/>
                <w:color w:val="auto"/>
              </w:rPr>
              <w:t>31.1*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gridSpan w:val="22"/>
          </w:tcPr>
          <w:p>
            <w:pPr>
              <w:spacing w:after="0"/>
              <w:rPr>
                <w:rFonts w:ascii="Arial" w:cs="Arial" w:eastAsia="Arial" w:hAnsi="Arial"/>
                <w:sz w:val="13"/>
                <w:szCs w:val="13"/>
                <w:color w:val="0000FF"/>
              </w:rPr>
            </w:pPr>
            <w:hyperlink w:anchor="page97">
              <w:r>
                <w:rPr>
                  <w:rFonts w:ascii="Arial" w:cs="Arial" w:eastAsia="Arial" w:hAnsi="Arial"/>
                  <w:sz w:val="13"/>
                  <w:szCs w:val="13"/>
                  <w:color w:val="0000FF"/>
                </w:rPr>
                <w:t>Certification of Principal Executive Officer Pursuant to Rules 13a-14(a) and 15d-14(a)</w:t>
              </w:r>
            </w:hyperlink>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80" w:type="dxa"/>
            <w:vAlign w:val="bottom"/>
            <w:tcBorders>
              <w:top w:val="single" w:sz="8" w:color="0000FF"/>
            </w:tcBorders>
            <w:gridSpan w:val="18"/>
          </w:tcPr>
          <w:p>
            <w:pPr>
              <w:spacing w:after="0" w:line="111" w:lineRule="exact"/>
              <w:rPr>
                <w:rFonts w:ascii="Arial" w:cs="Arial" w:eastAsia="Arial" w:hAnsi="Arial"/>
                <w:sz w:val="12"/>
                <w:szCs w:val="12"/>
                <w:color w:val="0000FF"/>
              </w:rPr>
            </w:pPr>
            <w:hyperlink w:anchor="page97">
              <w:r>
                <w:rPr>
                  <w:rFonts w:ascii="Arial" w:cs="Arial" w:eastAsia="Arial" w:hAnsi="Arial"/>
                  <w:sz w:val="12"/>
                  <w:szCs w:val="12"/>
                  <w:color w:val="0000FF"/>
                </w:rPr>
                <w:t>under the Securities Exchange Act of 1934, as Adopted Pursuant to Section 302 of the</w:t>
              </w:r>
            </w:hyperlink>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40" w:type="dxa"/>
            <w:vAlign w:val="bottom"/>
            <w:tcBorders>
              <w:top w:val="single" w:sz="8" w:color="0000FF"/>
            </w:tcBorders>
            <w:gridSpan w:val="16"/>
          </w:tcPr>
          <w:p>
            <w:pPr>
              <w:spacing w:after="0" w:line="111" w:lineRule="exact"/>
              <w:rPr>
                <w:rFonts w:ascii="Arial" w:cs="Arial" w:eastAsia="Arial" w:hAnsi="Arial"/>
                <w:sz w:val="12"/>
                <w:szCs w:val="12"/>
                <w:color w:val="0000FF"/>
              </w:rPr>
            </w:pPr>
            <w:hyperlink w:anchor="page97">
              <w:r>
                <w:rPr>
                  <w:rFonts w:ascii="Arial" w:cs="Arial" w:eastAsia="Arial" w:hAnsi="Arial"/>
                  <w:sz w:val="12"/>
                  <w:szCs w:val="12"/>
                  <w:color w:val="0000FF"/>
                </w:rPr>
                <w:t>Sarbanes-Oxley Act of 2002.</w:t>
              </w:r>
            </w:hyperlink>
          </w:p>
        </w:tc>
        <w:tc>
          <w:tcPr>
            <w:tcW w:w="60" w:type="dxa"/>
            <w:vAlign w:val="bottom"/>
            <w:gridSpan w:val="3"/>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06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80" w:type="dxa"/>
            <w:vAlign w:val="bottom"/>
          </w:tcPr>
          <w:p>
            <w:pPr>
              <w:spacing w:after="0"/>
              <w:rPr>
                <w:sz w:val="20"/>
                <w:szCs w:val="20"/>
                <w:color w:val="auto"/>
              </w:rPr>
            </w:pPr>
            <w:r>
              <w:rPr>
                <w:rFonts w:ascii="Arial" w:cs="Arial" w:eastAsia="Arial" w:hAnsi="Arial"/>
                <w:sz w:val="13"/>
                <w:szCs w:val="13"/>
                <w:color w:val="auto"/>
              </w:rPr>
              <w:t>31.2*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20" w:type="dxa"/>
            <w:vAlign w:val="bottom"/>
            <w:gridSpan w:val="22"/>
          </w:tcPr>
          <w:p>
            <w:pPr>
              <w:spacing w:after="0"/>
              <w:rPr>
                <w:rFonts w:ascii="Arial" w:cs="Arial" w:eastAsia="Arial" w:hAnsi="Arial"/>
                <w:sz w:val="13"/>
                <w:szCs w:val="13"/>
                <w:color w:val="0000FF"/>
              </w:rPr>
            </w:pPr>
            <w:hyperlink w:anchor="page98">
              <w:r>
                <w:rPr>
                  <w:rFonts w:ascii="Arial" w:cs="Arial" w:eastAsia="Arial" w:hAnsi="Arial"/>
                  <w:sz w:val="13"/>
                  <w:szCs w:val="13"/>
                  <w:color w:val="0000FF"/>
                </w:rPr>
                <w:t>Certification of Principal Financial Officer Pursuant to Rules 13a-14(a) and 15d-14(a)</w:t>
              </w:r>
            </w:hyperlink>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20" w:type="dxa"/>
            <w:vAlign w:val="bottom"/>
            <w:tcBorders>
              <w:top w:val="single" w:sz="8" w:color="0000FF"/>
            </w:tcBorders>
            <w:gridSpan w:val="15"/>
          </w:tcPr>
          <w:p>
            <w:pPr>
              <w:spacing w:after="0" w:line="111" w:lineRule="exact"/>
              <w:rPr>
                <w:rFonts w:ascii="Arial" w:cs="Arial" w:eastAsia="Arial" w:hAnsi="Arial"/>
                <w:sz w:val="12"/>
                <w:szCs w:val="12"/>
                <w:color w:val="0000FF"/>
              </w:rPr>
            </w:pPr>
            <w:hyperlink w:anchor="page98">
              <w:r>
                <w:rPr>
                  <w:rFonts w:ascii="Arial" w:cs="Arial" w:eastAsia="Arial" w:hAnsi="Arial"/>
                  <w:sz w:val="12"/>
                  <w:szCs w:val="12"/>
                  <w:color w:val="0000FF"/>
                </w:rPr>
                <w:t>under the Securities Exchange Act of 1934, as Adopted Pursuant to Section 302 of the</w:t>
              </w:r>
            </w:hyperlink>
          </w:p>
        </w:tc>
        <w:tc>
          <w:tcPr>
            <w:tcW w:w="80" w:type="dxa"/>
            <w:vAlign w:val="bottom"/>
            <w:gridSpan w:val="4"/>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40" w:type="dxa"/>
            <w:vAlign w:val="bottom"/>
            <w:tcBorders>
              <w:top w:val="single" w:sz="8" w:color="0000FF"/>
            </w:tcBorders>
            <w:gridSpan w:val="16"/>
          </w:tcPr>
          <w:p>
            <w:pPr>
              <w:spacing w:after="0" w:line="111" w:lineRule="exact"/>
              <w:rPr>
                <w:rFonts w:ascii="Arial" w:cs="Arial" w:eastAsia="Arial" w:hAnsi="Arial"/>
                <w:sz w:val="12"/>
                <w:szCs w:val="12"/>
                <w:color w:val="0000FF"/>
              </w:rPr>
            </w:pPr>
            <w:hyperlink w:anchor="page98">
              <w:r>
                <w:rPr>
                  <w:rFonts w:ascii="Arial" w:cs="Arial" w:eastAsia="Arial" w:hAnsi="Arial"/>
                  <w:sz w:val="12"/>
                  <w:szCs w:val="12"/>
                  <w:color w:val="0000FF"/>
                </w:rPr>
                <w:t>Sarbanes-Oxley Act of 2002.</w:t>
              </w:r>
            </w:hyperlink>
          </w:p>
        </w:tc>
        <w:tc>
          <w:tcPr>
            <w:tcW w:w="60" w:type="dxa"/>
            <w:vAlign w:val="bottom"/>
            <w:gridSpan w:val="3"/>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140" w:type="dxa"/>
            <w:vAlign w:val="bottom"/>
            <w:gridSpan w:val="1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80" w:type="dxa"/>
            <w:vAlign w:val="bottom"/>
          </w:tcPr>
          <w:p>
            <w:pPr>
              <w:spacing w:after="0"/>
              <w:rPr>
                <w:sz w:val="20"/>
                <w:szCs w:val="20"/>
                <w:color w:val="auto"/>
              </w:rPr>
            </w:pPr>
            <w:r>
              <w:rPr>
                <w:rFonts w:ascii="Arial" w:cs="Arial" w:eastAsia="Arial" w:hAnsi="Arial"/>
                <w:sz w:val="13"/>
                <w:szCs w:val="13"/>
                <w:color w:val="auto"/>
              </w:rPr>
              <w:t>32.1**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20" w:type="dxa"/>
            <w:vAlign w:val="bottom"/>
            <w:gridSpan w:val="22"/>
          </w:tcPr>
          <w:p>
            <w:pPr>
              <w:spacing w:after="0"/>
              <w:rPr>
                <w:rFonts w:ascii="Arial" w:cs="Arial" w:eastAsia="Arial" w:hAnsi="Arial"/>
                <w:sz w:val="13"/>
                <w:szCs w:val="13"/>
                <w:color w:val="0000FF"/>
              </w:rPr>
            </w:pPr>
            <w:hyperlink w:anchor="page99">
              <w:r>
                <w:rPr>
                  <w:rFonts w:ascii="Arial" w:cs="Arial" w:eastAsia="Arial" w:hAnsi="Arial"/>
                  <w:sz w:val="13"/>
                  <w:szCs w:val="13"/>
                  <w:color w:val="0000FF"/>
                </w:rPr>
                <w:t>Certification of Principal Executive Officer and Principal Financial Officer Pursuant to 18</w:t>
              </w:r>
            </w:hyperlink>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40" w:type="dxa"/>
            <w:vAlign w:val="bottom"/>
            <w:tcBorders>
              <w:top w:val="single" w:sz="8" w:color="0000FF"/>
            </w:tcBorders>
            <w:gridSpan w:val="20"/>
          </w:tcPr>
          <w:p>
            <w:pPr>
              <w:spacing w:after="0" w:line="111" w:lineRule="exact"/>
              <w:rPr>
                <w:rFonts w:ascii="Arial" w:cs="Arial" w:eastAsia="Arial" w:hAnsi="Arial"/>
                <w:sz w:val="12"/>
                <w:szCs w:val="12"/>
                <w:color w:val="0000FF"/>
              </w:rPr>
            </w:pPr>
            <w:hyperlink w:anchor="page99">
              <w:r>
                <w:rPr>
                  <w:rFonts w:ascii="Arial" w:cs="Arial" w:eastAsia="Arial" w:hAnsi="Arial"/>
                  <w:sz w:val="12"/>
                  <w:szCs w:val="12"/>
                  <w:color w:val="0000FF"/>
                </w:rPr>
                <w:t>U.S.C. Section 1350, as Adopted Pursuant to Section 906 of the Sarbanes-Oxley Act of</w:t>
              </w:r>
            </w:hyperlink>
          </w:p>
        </w:tc>
        <w:tc>
          <w:tcPr>
            <w:tcW w:w="28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11" w:lineRule="exact"/>
              <w:rPr>
                <w:rFonts w:ascii="Arial" w:cs="Arial" w:eastAsia="Arial" w:hAnsi="Arial"/>
                <w:sz w:val="12"/>
                <w:szCs w:val="12"/>
                <w:color w:val="0000FF"/>
                <w:w w:val="93"/>
              </w:rPr>
            </w:pPr>
            <w:hyperlink w:anchor="page99">
              <w:r>
                <w:rPr>
                  <w:rFonts w:ascii="Arial" w:cs="Arial" w:eastAsia="Arial" w:hAnsi="Arial"/>
                  <w:sz w:val="12"/>
                  <w:szCs w:val="12"/>
                  <w:color w:val="0000FF"/>
                  <w:w w:val="93"/>
                </w:rPr>
                <w:t>2002.</w:t>
              </w:r>
            </w:hyperlink>
          </w:p>
        </w:tc>
        <w:tc>
          <w:tcPr>
            <w:tcW w:w="360" w:type="dxa"/>
            <w:vAlign w:val="bottom"/>
            <w:tcBorders>
              <w:top w:val="single" w:sz="8" w:color="0000FF"/>
            </w:tcBorders>
          </w:tcPr>
          <w:p>
            <w:pPr>
              <w:spacing w:after="0"/>
              <w:rPr>
                <w:sz w:val="9"/>
                <w:szCs w:val="9"/>
                <w:color w:val="auto"/>
              </w:rPr>
            </w:pPr>
          </w:p>
        </w:tc>
        <w:tc>
          <w:tcPr>
            <w:tcW w:w="90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34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5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200" w:type="dxa"/>
            <w:vAlign w:val="bottom"/>
            <w:gridSpan w:val="2"/>
          </w:tcPr>
          <w:p>
            <w:pPr>
              <w:spacing w:after="0"/>
              <w:rPr>
                <w:sz w:val="20"/>
                <w:szCs w:val="20"/>
                <w:color w:val="auto"/>
              </w:rPr>
            </w:pPr>
            <w:r>
              <w:rPr>
                <w:rFonts w:ascii="Arial" w:cs="Arial" w:eastAsia="Arial" w:hAnsi="Arial"/>
                <w:sz w:val="13"/>
                <w:szCs w:val="13"/>
                <w:color w:val="auto"/>
              </w:rPr>
              <w:t>101.INS*</w:t>
            </w:r>
          </w:p>
        </w:tc>
        <w:tc>
          <w:tcPr>
            <w:tcW w:w="20" w:type="dxa"/>
            <w:vAlign w:val="bottom"/>
          </w:tcPr>
          <w:p>
            <w:pPr>
              <w:spacing w:after="0"/>
              <w:rPr>
                <w:sz w:val="18"/>
                <w:szCs w:val="18"/>
                <w:color w:val="auto"/>
              </w:rPr>
            </w:pPr>
          </w:p>
        </w:tc>
        <w:tc>
          <w:tcPr>
            <w:tcW w:w="5120" w:type="dxa"/>
            <w:vAlign w:val="bottom"/>
            <w:gridSpan w:val="22"/>
          </w:tcPr>
          <w:p>
            <w:pPr>
              <w:spacing w:after="0"/>
              <w:rPr>
                <w:sz w:val="20"/>
                <w:szCs w:val="20"/>
                <w:color w:val="auto"/>
              </w:rPr>
            </w:pPr>
            <w:r>
              <w:rPr>
                <w:rFonts w:ascii="Arial" w:cs="Arial" w:eastAsia="Arial" w:hAnsi="Arial"/>
                <w:sz w:val="13"/>
                <w:szCs w:val="13"/>
                <w:color w:val="auto"/>
                <w:w w:val="97"/>
              </w:rPr>
              <w:t>Inline XBRL Instance Document - the instance document does not appear in the Interactive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gridSpan w:val="22"/>
          </w:tcPr>
          <w:p>
            <w:pPr>
              <w:spacing w:after="0"/>
              <w:rPr>
                <w:sz w:val="20"/>
                <w:szCs w:val="20"/>
                <w:color w:val="auto"/>
              </w:rPr>
            </w:pPr>
            <w:r>
              <w:rPr>
                <w:rFonts w:ascii="Arial" w:cs="Arial" w:eastAsia="Arial" w:hAnsi="Arial"/>
                <w:sz w:val="13"/>
                <w:szCs w:val="13"/>
                <w:color w:val="auto"/>
              </w:rPr>
              <w:t>Data File because its XBRL tags are embedded within the Inline XBRL document.</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200" w:type="dxa"/>
            <w:vAlign w:val="bottom"/>
            <w:gridSpan w:val="2"/>
          </w:tcPr>
          <w:p>
            <w:pPr>
              <w:spacing w:after="0"/>
              <w:rPr>
                <w:sz w:val="20"/>
                <w:szCs w:val="20"/>
                <w:color w:val="auto"/>
              </w:rPr>
            </w:pPr>
            <w:r>
              <w:rPr>
                <w:rFonts w:ascii="Arial" w:cs="Arial" w:eastAsia="Arial" w:hAnsi="Arial"/>
                <w:sz w:val="13"/>
                <w:szCs w:val="13"/>
                <w:color w:val="auto"/>
              </w:rPr>
              <w:t>101.SCH*</w:t>
            </w:r>
          </w:p>
        </w:tc>
        <w:tc>
          <w:tcPr>
            <w:tcW w:w="20" w:type="dxa"/>
            <w:vAlign w:val="bottom"/>
          </w:tcPr>
          <w:p>
            <w:pPr>
              <w:spacing w:after="0"/>
              <w:rPr>
                <w:sz w:val="18"/>
                <w:szCs w:val="18"/>
                <w:color w:val="auto"/>
              </w:rPr>
            </w:pPr>
          </w:p>
        </w:tc>
        <w:tc>
          <w:tcPr>
            <w:tcW w:w="5120" w:type="dxa"/>
            <w:vAlign w:val="bottom"/>
            <w:gridSpan w:val="22"/>
          </w:tcPr>
          <w:p>
            <w:pPr>
              <w:spacing w:after="0"/>
              <w:rPr>
                <w:sz w:val="20"/>
                <w:szCs w:val="20"/>
                <w:color w:val="auto"/>
              </w:rPr>
            </w:pPr>
            <w:r>
              <w:rPr>
                <w:rFonts w:ascii="Arial" w:cs="Arial" w:eastAsia="Arial" w:hAnsi="Arial"/>
                <w:sz w:val="13"/>
                <w:szCs w:val="13"/>
                <w:color w:val="auto"/>
              </w:rPr>
              <w:t>Inline XBRL Taxonomy Extension Schema Document.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0" w:type="dxa"/>
            <w:vAlign w:val="bottom"/>
            <w:gridSpan w:val="2"/>
          </w:tcPr>
          <w:p>
            <w:pPr>
              <w:spacing w:after="0"/>
              <w:rPr>
                <w:sz w:val="20"/>
                <w:szCs w:val="20"/>
                <w:color w:val="auto"/>
              </w:rPr>
            </w:pPr>
            <w:r>
              <w:rPr>
                <w:rFonts w:ascii="Arial" w:cs="Arial" w:eastAsia="Arial" w:hAnsi="Arial"/>
                <w:sz w:val="13"/>
                <w:szCs w:val="13"/>
                <w:color w:val="auto"/>
              </w:rPr>
              <w:t>101.CAL*</w:t>
            </w:r>
          </w:p>
        </w:tc>
        <w:tc>
          <w:tcPr>
            <w:tcW w:w="20" w:type="dxa"/>
            <w:vAlign w:val="bottom"/>
          </w:tcPr>
          <w:p>
            <w:pPr>
              <w:spacing w:after="0"/>
              <w:rPr>
                <w:sz w:val="18"/>
                <w:szCs w:val="18"/>
                <w:color w:val="auto"/>
              </w:rPr>
            </w:pPr>
          </w:p>
        </w:tc>
        <w:tc>
          <w:tcPr>
            <w:tcW w:w="5120" w:type="dxa"/>
            <w:vAlign w:val="bottom"/>
            <w:gridSpan w:val="22"/>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0" w:type="dxa"/>
            <w:vAlign w:val="bottom"/>
            <w:gridSpan w:val="2"/>
          </w:tcPr>
          <w:p>
            <w:pPr>
              <w:spacing w:after="0"/>
              <w:rPr>
                <w:sz w:val="20"/>
                <w:szCs w:val="20"/>
                <w:color w:val="auto"/>
              </w:rPr>
            </w:pPr>
            <w:r>
              <w:rPr>
                <w:rFonts w:ascii="Arial" w:cs="Arial" w:eastAsia="Arial" w:hAnsi="Arial"/>
                <w:sz w:val="13"/>
                <w:szCs w:val="13"/>
                <w:color w:val="auto"/>
              </w:rPr>
              <w:t>101.DEF*</w:t>
            </w:r>
          </w:p>
        </w:tc>
        <w:tc>
          <w:tcPr>
            <w:tcW w:w="20" w:type="dxa"/>
            <w:vAlign w:val="bottom"/>
          </w:tcPr>
          <w:p>
            <w:pPr>
              <w:spacing w:after="0"/>
              <w:rPr>
                <w:sz w:val="18"/>
                <w:szCs w:val="18"/>
                <w:color w:val="auto"/>
              </w:rPr>
            </w:pPr>
          </w:p>
        </w:tc>
        <w:tc>
          <w:tcPr>
            <w:tcW w:w="5120" w:type="dxa"/>
            <w:vAlign w:val="bottom"/>
            <w:gridSpan w:val="22"/>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0" w:type="dxa"/>
            <w:vAlign w:val="bottom"/>
            <w:gridSpan w:val="2"/>
          </w:tcPr>
          <w:p>
            <w:pPr>
              <w:spacing w:after="0"/>
              <w:rPr>
                <w:sz w:val="20"/>
                <w:szCs w:val="20"/>
                <w:color w:val="auto"/>
              </w:rPr>
            </w:pPr>
            <w:r>
              <w:rPr>
                <w:rFonts w:ascii="Arial" w:cs="Arial" w:eastAsia="Arial" w:hAnsi="Arial"/>
                <w:sz w:val="13"/>
                <w:szCs w:val="13"/>
                <w:color w:val="auto"/>
              </w:rPr>
              <w:t>101.LAB*</w:t>
            </w:r>
          </w:p>
        </w:tc>
        <w:tc>
          <w:tcPr>
            <w:tcW w:w="20" w:type="dxa"/>
            <w:vAlign w:val="bottom"/>
          </w:tcPr>
          <w:p>
            <w:pPr>
              <w:spacing w:after="0"/>
              <w:rPr>
                <w:sz w:val="18"/>
                <w:szCs w:val="18"/>
                <w:color w:val="auto"/>
              </w:rPr>
            </w:pPr>
          </w:p>
        </w:tc>
        <w:tc>
          <w:tcPr>
            <w:tcW w:w="5120" w:type="dxa"/>
            <w:vAlign w:val="bottom"/>
            <w:gridSpan w:val="22"/>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0" w:type="dxa"/>
            <w:vAlign w:val="bottom"/>
            <w:gridSpan w:val="2"/>
          </w:tcPr>
          <w:p>
            <w:pPr>
              <w:spacing w:after="0"/>
              <w:rPr>
                <w:sz w:val="20"/>
                <w:szCs w:val="20"/>
                <w:color w:val="auto"/>
              </w:rPr>
            </w:pPr>
            <w:r>
              <w:rPr>
                <w:rFonts w:ascii="Arial" w:cs="Arial" w:eastAsia="Arial" w:hAnsi="Arial"/>
                <w:sz w:val="13"/>
                <w:szCs w:val="13"/>
                <w:color w:val="auto"/>
              </w:rPr>
              <w:t>101.PRE*</w:t>
            </w:r>
          </w:p>
        </w:tc>
        <w:tc>
          <w:tcPr>
            <w:tcW w:w="20" w:type="dxa"/>
            <w:vAlign w:val="bottom"/>
          </w:tcPr>
          <w:p>
            <w:pPr>
              <w:spacing w:after="0"/>
              <w:rPr>
                <w:sz w:val="18"/>
                <w:szCs w:val="18"/>
                <w:color w:val="auto"/>
              </w:rPr>
            </w:pPr>
          </w:p>
        </w:tc>
        <w:tc>
          <w:tcPr>
            <w:tcW w:w="5120" w:type="dxa"/>
            <w:vAlign w:val="bottom"/>
            <w:gridSpan w:val="22"/>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60" w:hanging="1221"/>
        <w:spacing w:after="0"/>
        <w:tabs>
          <w:tab w:leader="none" w:pos="1260" w:val="left"/>
        </w:tabs>
        <w:numPr>
          <w:ilvl w:val="1"/>
          <w:numId w:val="37"/>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w:t>
      </w:r>
    </w:p>
    <w:p>
      <w:pPr>
        <w:spacing w:after="0" w:line="263"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   Filed herewith.</w:t>
      </w:r>
    </w:p>
    <w:p>
      <w:pPr>
        <w:spacing w:after="0" w:line="22" w:lineRule="exact"/>
        <w:rPr>
          <w:rFonts w:ascii="Arial" w:cs="Arial" w:eastAsia="Arial" w:hAnsi="Arial"/>
          <w:sz w:val="13"/>
          <w:szCs w:val="13"/>
          <w:color w:val="auto"/>
        </w:rPr>
      </w:pPr>
    </w:p>
    <w:p>
      <w:pPr>
        <w:jc w:val="both"/>
        <w:ind w:left="240" w:right="20" w:hanging="239"/>
        <w:spacing w:after="0" w:line="267" w:lineRule="auto"/>
        <w:tabs>
          <w:tab w:leader="none" w:pos="233" w:val="left"/>
        </w:tabs>
        <w:numPr>
          <w:ilvl w:val="0"/>
          <w:numId w:val="38"/>
        </w:numPr>
        <w:rPr>
          <w:rFonts w:ascii="Arial" w:cs="Arial" w:eastAsia="Arial" w:hAnsi="Arial"/>
          <w:sz w:val="13"/>
          <w:szCs w:val="13"/>
          <w:color w:val="auto"/>
        </w:rPr>
      </w:pPr>
      <w:r>
        <w:rPr>
          <w:rFonts w:ascii="Arial" w:cs="Arial" w:eastAsia="Arial" w:hAnsi="Arial"/>
          <w:sz w:val="13"/>
          <w:szCs w:val="13"/>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52705</wp:posOffset>
            </wp:positionV>
            <wp:extent cx="719264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60"/>
          </w:cols>
          <w:pgMar w:left="300" w:top="771" w:right="339" w:bottom="1440" w:gutter="0" w:footer="0" w:header="0"/>
        </w:sectPr>
      </w:pPr>
    </w:p>
    <w:bookmarkStart w:id="70" w:name="page71"/>
    <w:bookmarkEnd w:id="70"/>
    <w:p>
      <w:pPr>
        <w:spacing w:after="0"/>
        <w:rPr>
          <w:sz w:val="20"/>
          <w:szCs w:val="20"/>
          <w:color w:val="auto"/>
        </w:rPr>
      </w:pPr>
      <w:r>
        <w:rPr>
          <w:rFonts w:ascii="Arial" w:cs="Arial" w:eastAsia="Arial" w:hAnsi="Arial"/>
          <w:sz w:val="12"/>
          <w:szCs w:val="12"/>
          <w:color w:val="auto"/>
        </w:rPr>
        <w:t>+ Certain information in this document is omitted because it is both (i) not material and (ii) is the type of information that SI-BONE, Inc. treats as private or confidential.</w:t>
      </w:r>
    </w:p>
    <w:p>
      <w:pPr>
        <w:sectPr>
          <w:pgSz w:w="11900" w:h="16838" w:orient="portrait"/>
          <w:cols w:equalWidth="0" w:num="1">
            <w:col w:w="10159"/>
          </w:cols>
          <w:pgMar w:left="300" w:top="763"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59690</wp:posOffset>
            </wp:positionV>
            <wp:extent cx="719264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0159"/>
          </w:cols>
          <w:pgMar w:left="300" w:top="763" w:right="1440"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3"/>
          <w:szCs w:val="13"/>
          <w:b w:val="1"/>
          <w:bCs w:val="1"/>
          <w:color w:val="auto"/>
        </w:rPr>
        <w:t>SIGNATURES</w:t>
      </w:r>
    </w:p>
    <w:p>
      <w:pPr>
        <w:spacing w:after="0" w:line="175" w:lineRule="exact"/>
        <w:rPr>
          <w:sz w:val="20"/>
          <w:szCs w:val="20"/>
          <w:color w:val="auto"/>
        </w:rPr>
      </w:pPr>
    </w:p>
    <w:p>
      <w:pPr>
        <w:ind w:firstLine="332"/>
        <w:spacing w:after="0" w:line="294" w:lineRule="auto"/>
        <w:rPr>
          <w:sz w:val="20"/>
          <w:szCs w:val="20"/>
          <w:color w:val="auto"/>
        </w:rPr>
      </w:pPr>
      <w:r>
        <w:rPr>
          <w:rFonts w:ascii="Arial" w:cs="Arial" w:eastAsia="Arial" w:hAnsi="Arial"/>
          <w:sz w:val="13"/>
          <w:szCs w:val="13"/>
          <w:color w:val="auto"/>
        </w:rPr>
        <w:t>Pursuant to the requirements of Section 13 or 15(d) of the Securities Exchange Act of 1934, as amended, the Registrant has duly caused this Report to be signed on its behalf by the undersigned, thereunto duly authorized, in Santa Clara, California, on August 4, 2021.</w:t>
      </w:r>
    </w:p>
    <w:p>
      <w:pPr>
        <w:spacing w:after="0" w:line="200" w:lineRule="exact"/>
        <w:rPr>
          <w:sz w:val="20"/>
          <w:szCs w:val="20"/>
          <w:color w:val="auto"/>
        </w:rPr>
      </w:pPr>
    </w:p>
    <w:p>
      <w:pPr>
        <w:spacing w:after="0" w:line="29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SI-BONE, Inc.</w:t>
      </w:r>
    </w:p>
    <w:p>
      <w:pPr>
        <w:spacing w:after="0" w:line="213" w:lineRule="exact"/>
        <w:rPr>
          <w:sz w:val="20"/>
          <w:szCs w:val="20"/>
          <w:color w:val="auto"/>
        </w:rPr>
      </w:pPr>
    </w:p>
    <w:p>
      <w:pPr>
        <w:ind w:left="920"/>
        <w:spacing w:after="0"/>
        <w:tabs>
          <w:tab w:leader="none" w:pos="1540" w:val="left"/>
          <w:tab w:leader="none" w:pos="548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August 4, 2021</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13970</wp:posOffset>
            </wp:positionV>
            <wp:extent cx="266636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2666365" cy="6350"/>
                    </a:xfrm>
                    <a:prstGeom prst="rect">
                      <a:avLst/>
                    </a:prstGeom>
                    <a:noFill/>
                  </pic:spPr>
                </pic:pic>
              </a:graphicData>
            </a:graphic>
          </wp:anchor>
        </w:drawing>
      </w:r>
    </w:p>
    <w:p>
      <w:pPr>
        <w:spacing w:after="0" w:line="2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Laura A. Francis</w:t>
      </w:r>
    </w:p>
    <w:p>
      <w:pPr>
        <w:spacing w:after="0" w:line="4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Executive Officer</w:t>
      </w:r>
    </w:p>
    <w:p>
      <w:pPr>
        <w:spacing w:after="0" w:line="2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(Duly Authorized Officer and Principal Executive Officer</w:t>
      </w:r>
      <w:r>
        <w:rPr>
          <w:rFonts w:ascii="Arial" w:cs="Arial" w:eastAsia="Arial" w:hAnsi="Arial"/>
          <w:sz w:val="10"/>
          <w:szCs w:val="10"/>
          <w:color w:val="auto"/>
        </w:rPr>
        <w:t>)</w:t>
      </w:r>
    </w:p>
    <w:p>
      <w:pPr>
        <w:spacing w:after="0" w:line="36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SI-BONE, Inc.</w:t>
      </w:r>
    </w:p>
    <w:p>
      <w:pPr>
        <w:spacing w:after="0" w:line="213" w:lineRule="exact"/>
        <w:rPr>
          <w:sz w:val="20"/>
          <w:szCs w:val="20"/>
          <w:color w:val="auto"/>
        </w:rPr>
      </w:pPr>
    </w:p>
    <w:p>
      <w:pPr>
        <w:ind w:left="920"/>
        <w:spacing w:after="0"/>
        <w:tabs>
          <w:tab w:leader="none" w:pos="1540" w:val="left"/>
          <w:tab w:leader="none" w:pos="548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August 4, 2021</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13970</wp:posOffset>
            </wp:positionV>
            <wp:extent cx="266636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2666365" cy="6350"/>
                    </a:xfrm>
                    <a:prstGeom prst="rect">
                      <a:avLst/>
                    </a:prstGeom>
                    <a:noFill/>
                  </pic:spPr>
                </pic:pic>
              </a:graphicData>
            </a:graphic>
          </wp:anchor>
        </w:drawing>
      </w:r>
    </w:p>
    <w:p>
      <w:pPr>
        <w:spacing w:after="0" w:line="2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Anshul Maheshwari</w:t>
      </w:r>
    </w:p>
    <w:p>
      <w:pPr>
        <w:spacing w:after="0" w:line="5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Financial Officer</w:t>
      </w:r>
    </w:p>
    <w:p>
      <w:pPr>
        <w:spacing w:after="0" w:line="4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(Duly Authorized Officer and Principal Financial and Accounting Officer)</w:t>
      </w:r>
    </w:p>
    <w:p>
      <w:pPr>
        <w:sectPr>
          <w:pgSz w:w="11900" w:h="16838" w:orient="portrait"/>
          <w:cols w:equalWidth="0" w:num="1">
            <w:col w:w="11280"/>
          </w:cols>
          <w:pgMar w:left="300" w:top="610" w:right="319" w:bottom="1440" w:gutter="0" w:footer="0" w:header="0"/>
        </w:sectPr>
      </w:pPr>
    </w:p>
    <w:bookmarkStart w:id="72" w:name="page73"/>
    <w:bookmarkEnd w:id="72"/>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MANUFACTURING, QUALITY AND SUPPLY AGREEMENT</w:t>
      </w:r>
    </w:p>
    <w:p>
      <w:pPr>
        <w:spacing w:after="0" w:line="177" w:lineRule="exact"/>
        <w:rPr>
          <w:sz w:val="20"/>
          <w:szCs w:val="20"/>
          <w:color w:val="auto"/>
        </w:rPr>
      </w:pPr>
    </w:p>
    <w:p>
      <w:pPr>
        <w:jc w:val="both"/>
        <w:ind w:firstLine="483"/>
        <w:spacing w:after="0" w:line="281" w:lineRule="auto"/>
        <w:rPr>
          <w:sz w:val="20"/>
          <w:szCs w:val="20"/>
          <w:color w:val="auto"/>
        </w:rPr>
      </w:pPr>
      <w:r>
        <w:rPr>
          <w:rFonts w:ascii="Arial" w:cs="Arial" w:eastAsia="Arial" w:hAnsi="Arial"/>
          <w:sz w:val="13"/>
          <w:szCs w:val="13"/>
          <w:b w:val="1"/>
          <w:bCs w:val="1"/>
          <w:color w:val="auto"/>
        </w:rPr>
        <w:t xml:space="preserve">THIS AMENDED AND RESTATED MANUFACTURING, QUALITY AND SUPPLY AGREEMENT </w:t>
      </w:r>
      <w:r>
        <w:rPr>
          <w:rFonts w:ascii="Arial" w:cs="Arial" w:eastAsia="Arial" w:hAnsi="Arial"/>
          <w:sz w:val="13"/>
          <w:szCs w:val="13"/>
          <w:color w:val="auto"/>
        </w:rPr>
        <w:t>(“</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is entered into as of June 11, 2021 (the “</w:t>
      </w:r>
      <w:r>
        <w:rPr>
          <w:rFonts w:ascii="Arial" w:cs="Arial" w:eastAsia="Arial" w:hAnsi="Arial"/>
          <w:sz w:val="13"/>
          <w:szCs w:val="13"/>
          <w:b w:val="1"/>
          <w:bCs w:val="1"/>
          <w:i w:val="1"/>
          <w:iCs w:val="1"/>
          <w:color w:val="auto"/>
        </w:rPr>
        <w:t>Effective Date</w:t>
      </w:r>
      <w:r>
        <w:rPr>
          <w:rFonts w:ascii="Arial" w:cs="Arial" w:eastAsia="Arial" w:hAnsi="Arial"/>
          <w:sz w:val="13"/>
          <w:szCs w:val="13"/>
          <w:color w:val="auto"/>
        </w:rPr>
        <w:t>”), between</w:t>
      </w:r>
      <w:r>
        <w:rPr>
          <w:rFonts w:ascii="Arial" w:cs="Arial" w:eastAsia="Arial" w:hAnsi="Arial"/>
          <w:sz w:val="13"/>
          <w:szCs w:val="13"/>
          <w:b w:val="1"/>
          <w:bCs w:val="1"/>
          <w:color w:val="auto"/>
        </w:rPr>
        <w:t xml:space="preserve"> SI-BONE, Inc.</w:t>
      </w:r>
      <w:r>
        <w:rPr>
          <w:rFonts w:ascii="Arial" w:cs="Arial" w:eastAsia="Arial" w:hAnsi="Arial"/>
          <w:sz w:val="13"/>
          <w:szCs w:val="13"/>
          <w:color w:val="auto"/>
        </w:rPr>
        <w:t>, a Delaware corporation having an address of 471 El Camino Real, Suite 101, Santa Clara, CA 95050 (including its Affiliates, “</w:t>
      </w:r>
      <w:r>
        <w:rPr>
          <w:rFonts w:ascii="Arial" w:cs="Arial" w:eastAsia="Arial" w:hAnsi="Arial"/>
          <w:sz w:val="13"/>
          <w:szCs w:val="13"/>
          <w:b w:val="1"/>
          <w:bCs w:val="1"/>
          <w:i w:val="1"/>
          <w:iCs w:val="1"/>
          <w:color w:val="auto"/>
        </w:rPr>
        <w:t>SI-BONE</w:t>
      </w:r>
      <w:r>
        <w:rPr>
          <w:rFonts w:ascii="Arial" w:cs="Arial" w:eastAsia="Arial" w:hAnsi="Arial"/>
          <w:sz w:val="13"/>
          <w:szCs w:val="13"/>
          <w:color w:val="auto"/>
        </w:rPr>
        <w:t>”) and</w:t>
      </w:r>
      <w:r>
        <w:rPr>
          <w:rFonts w:ascii="Arial" w:cs="Arial" w:eastAsia="Arial" w:hAnsi="Arial"/>
          <w:sz w:val="13"/>
          <w:szCs w:val="13"/>
          <w:b w:val="1"/>
          <w:bCs w:val="1"/>
          <w:color w:val="auto"/>
        </w:rPr>
        <w:t xml:space="preserve"> rms COMPANY</w:t>
      </w:r>
      <w:r>
        <w:rPr>
          <w:rFonts w:ascii="Arial" w:cs="Arial" w:eastAsia="Arial" w:hAnsi="Arial"/>
          <w:sz w:val="13"/>
          <w:szCs w:val="13"/>
          <w:color w:val="auto"/>
        </w:rPr>
        <w:t>, a Minnesota</w:t>
      </w:r>
      <w:r>
        <w:rPr>
          <w:rFonts w:ascii="Arial" w:cs="Arial" w:eastAsia="Arial" w:hAnsi="Arial"/>
          <w:sz w:val="13"/>
          <w:szCs w:val="13"/>
          <w:b w:val="1"/>
          <w:bCs w:val="1"/>
          <w:color w:val="auto"/>
        </w:rPr>
        <w:t xml:space="preserve"> </w:t>
      </w:r>
      <w:r>
        <w:rPr>
          <w:rFonts w:ascii="Arial" w:cs="Arial" w:eastAsia="Arial" w:hAnsi="Arial"/>
          <w:sz w:val="13"/>
          <w:szCs w:val="13"/>
          <w:color w:val="auto"/>
        </w:rPr>
        <w:t>corporation having an address of 8600 Evergreen Blvd., Coon Rapids, MN 55433 (“</w:t>
      </w:r>
      <w:r>
        <w:rPr>
          <w:rFonts w:ascii="Arial" w:cs="Arial" w:eastAsia="Arial" w:hAnsi="Arial"/>
          <w:sz w:val="13"/>
          <w:szCs w:val="13"/>
          <w:b w:val="1"/>
          <w:bCs w:val="1"/>
          <w:i w:val="1"/>
          <w:iCs w:val="1"/>
          <w:color w:val="auto"/>
        </w:rPr>
        <w:t>Supplier</w:t>
      </w:r>
      <w:r>
        <w:rPr>
          <w:rFonts w:ascii="Arial" w:cs="Arial" w:eastAsia="Arial" w:hAnsi="Arial"/>
          <w:sz w:val="13"/>
          <w:szCs w:val="13"/>
          <w:color w:val="auto"/>
        </w:rPr>
        <w:t>”).</w:t>
      </w:r>
    </w:p>
    <w:p>
      <w:pPr>
        <w:spacing w:after="0" w:line="105" w:lineRule="exact"/>
        <w:rPr>
          <w:sz w:val="20"/>
          <w:szCs w:val="20"/>
          <w:color w:val="auto"/>
        </w:rPr>
      </w:pPr>
    </w:p>
    <w:p>
      <w:pPr>
        <w:jc w:val="both"/>
        <w:ind w:firstLine="483"/>
        <w:spacing w:after="0" w:line="277" w:lineRule="auto"/>
        <w:rPr>
          <w:sz w:val="20"/>
          <w:szCs w:val="20"/>
          <w:color w:val="auto"/>
        </w:rPr>
      </w:pPr>
      <w:r>
        <w:rPr>
          <w:rFonts w:ascii="Arial" w:cs="Arial" w:eastAsia="Arial" w:hAnsi="Arial"/>
          <w:sz w:val="13"/>
          <w:szCs w:val="13"/>
          <w:color w:val="auto"/>
        </w:rPr>
        <w:t>This Agreement amends and restates in its entirety that certain Manufacturing, Quality and Supply Agreement by and between the parties dated January 31, 2017, as addended on January 31, 2017 and July 1, 2020 (the “</w:t>
      </w:r>
      <w:r>
        <w:rPr>
          <w:rFonts w:ascii="Arial" w:cs="Arial" w:eastAsia="Arial" w:hAnsi="Arial"/>
          <w:sz w:val="13"/>
          <w:szCs w:val="13"/>
          <w:b w:val="1"/>
          <w:bCs w:val="1"/>
          <w:i w:val="1"/>
          <w:iCs w:val="1"/>
          <w:color w:val="auto"/>
        </w:rPr>
        <w:t>Original Agreement</w:t>
      </w:r>
      <w:r>
        <w:rPr>
          <w:rFonts w:ascii="Arial" w:cs="Arial" w:eastAsia="Arial" w:hAnsi="Arial"/>
          <w:sz w:val="13"/>
          <w:szCs w:val="13"/>
          <w:color w:val="auto"/>
        </w:rPr>
        <w:t>”).</w:t>
      </w:r>
    </w:p>
    <w:p>
      <w:pPr>
        <w:spacing w:after="0" w:line="92"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RECITALS</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the Parties entered into the Original Agreement and now desire to amend and restate the Original Agreement as well as add or alter certain provisions, and</w:t>
      </w:r>
    </w:p>
    <w:p>
      <w:pPr>
        <w:spacing w:after="0" w:line="142" w:lineRule="exact"/>
        <w:rPr>
          <w:sz w:val="20"/>
          <w:szCs w:val="20"/>
          <w:color w:val="auto"/>
        </w:rPr>
      </w:pPr>
    </w:p>
    <w:p>
      <w:pPr>
        <w:jc w:val="both"/>
        <w:ind w:firstLine="242"/>
        <w:spacing w:after="0" w:line="303" w:lineRule="auto"/>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SI-BONE desires to engage the services of Supplier to perform the manufacture and/or other services in connection with the Products (as defined below) for use and sale by</w:t>
      </w:r>
      <w:r>
        <w:rPr>
          <w:rFonts w:ascii="Arial" w:cs="Arial" w:eastAsia="Arial" w:hAnsi="Arial"/>
          <w:sz w:val="13"/>
          <w:szCs w:val="13"/>
          <w:b w:val="1"/>
          <w:bCs w:val="1"/>
          <w:color w:val="auto"/>
        </w:rPr>
        <w:t xml:space="preserve"> </w:t>
      </w:r>
      <w:r>
        <w:rPr>
          <w:rFonts w:ascii="Arial" w:cs="Arial" w:eastAsia="Arial" w:hAnsi="Arial"/>
          <w:sz w:val="13"/>
          <w:szCs w:val="13"/>
          <w:color w:val="auto"/>
        </w:rPr>
        <w:t>SI-BONE, on the terms and conditions set forth below (the “</w:t>
      </w:r>
      <w:r>
        <w:rPr>
          <w:rFonts w:ascii="Arial" w:cs="Arial" w:eastAsia="Arial" w:hAnsi="Arial"/>
          <w:sz w:val="13"/>
          <w:szCs w:val="13"/>
          <w:b w:val="1"/>
          <w:bCs w:val="1"/>
          <w:i w:val="1"/>
          <w:iCs w:val="1"/>
          <w:color w:val="auto"/>
        </w:rPr>
        <w:t>Services</w:t>
      </w:r>
      <w:r>
        <w:rPr>
          <w:rFonts w:ascii="Arial" w:cs="Arial" w:eastAsia="Arial" w:hAnsi="Arial"/>
          <w:sz w:val="13"/>
          <w:szCs w:val="13"/>
          <w:color w:val="auto"/>
        </w:rPr>
        <w:t>”), and</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Supplier desires to perform Services for SI-BONE on the terms and conditions set forth below.</w:t>
      </w:r>
    </w:p>
    <w:p>
      <w:pPr>
        <w:spacing w:after="0" w:line="153"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AGREEMENT</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parties, intending to be legally bound, agree as follows:</w:t>
      </w:r>
    </w:p>
    <w:p>
      <w:pPr>
        <w:spacing w:after="0" w:line="126" w:lineRule="exact"/>
        <w:rPr>
          <w:sz w:val="20"/>
          <w:szCs w:val="20"/>
          <w:color w:val="auto"/>
        </w:rPr>
      </w:pPr>
    </w:p>
    <w:p>
      <w:pPr>
        <w:ind w:left="240" w:hanging="239"/>
        <w:spacing w:after="0"/>
        <w:tabs>
          <w:tab w:leader="none" w:pos="24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AGREEMENT TO SUPPLY; FORECASTS</w:t>
      </w:r>
      <w:r>
        <w:rPr>
          <w:rFonts w:ascii="Arial" w:cs="Arial" w:eastAsia="Arial" w:hAnsi="Arial"/>
          <w:sz w:val="13"/>
          <w:szCs w:val="13"/>
          <w:color w:val="auto"/>
        </w:rPr>
        <w:t>.</w:t>
      </w:r>
    </w:p>
    <w:p>
      <w:pPr>
        <w:spacing w:after="0" w:line="173" w:lineRule="exact"/>
        <w:rPr>
          <w:sz w:val="20"/>
          <w:szCs w:val="20"/>
          <w:color w:val="auto"/>
        </w:rPr>
      </w:pPr>
    </w:p>
    <w:p>
      <w:pPr>
        <w:jc w:val="both"/>
        <w:ind w:left="720" w:hanging="361"/>
        <w:spacing w:after="0" w:line="273" w:lineRule="auto"/>
        <w:tabs>
          <w:tab w:leader="none" w:pos="700" w:val="left"/>
        </w:tabs>
        <w:rPr>
          <w:sz w:val="20"/>
          <w:szCs w:val="20"/>
          <w:color w:val="auto"/>
        </w:rPr>
      </w:pPr>
      <w:r>
        <w:rPr>
          <w:rFonts w:ascii="Arial" w:cs="Arial" w:eastAsia="Arial" w:hAnsi="Arial"/>
          <w:sz w:val="13"/>
          <w:szCs w:val="13"/>
          <w:b w:val="1"/>
          <w:bCs w:val="1"/>
          <w:color w:val="auto"/>
        </w:rPr>
        <w:t>1.1.</w:t>
      </w:r>
      <w:r>
        <w:rPr>
          <w:sz w:val="20"/>
          <w:szCs w:val="20"/>
          <w:color w:val="auto"/>
        </w:rPr>
        <w:tab/>
      </w:r>
      <w:r>
        <w:rPr>
          <w:rFonts w:ascii="Arial" w:cs="Arial" w:eastAsia="Arial" w:hAnsi="Arial"/>
          <w:sz w:val="13"/>
          <w:szCs w:val="13"/>
          <w:b w:val="1"/>
          <w:bCs w:val="1"/>
          <w:u w:val="single" w:color="auto"/>
          <w:color w:val="auto"/>
        </w:rPr>
        <w:t>Agreement to Supply</w:t>
      </w:r>
      <w:r>
        <w:rPr>
          <w:rFonts w:ascii="Arial" w:cs="Arial" w:eastAsia="Arial" w:hAnsi="Arial"/>
          <w:sz w:val="13"/>
          <w:szCs w:val="13"/>
          <w:color w:val="auto"/>
        </w:rPr>
        <w:t>. Except as provided in this Agreement, during the Term Supplier shall supply on a non-exclusive basis and pursuant to this Agreement those products set</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forth on Exhibit E, as may be updated by the parties’ mutual agreement from time to time, (“</w:t>
      </w:r>
      <w:r>
        <w:rPr>
          <w:rFonts w:ascii="Arial" w:cs="Arial" w:eastAsia="Arial" w:hAnsi="Arial"/>
          <w:sz w:val="13"/>
          <w:szCs w:val="13"/>
          <w:b w:val="1"/>
          <w:bCs w:val="1"/>
          <w:i w:val="1"/>
          <w:iCs w:val="1"/>
          <w:color w:val="auto"/>
        </w:rPr>
        <w:t>Product</w:t>
      </w:r>
      <w:r>
        <w:rPr>
          <w:rFonts w:ascii="Arial" w:cs="Arial" w:eastAsia="Arial" w:hAnsi="Arial"/>
          <w:sz w:val="13"/>
          <w:szCs w:val="13"/>
          <w:color w:val="auto"/>
        </w:rPr>
        <w:t>”) to SI-BONE to be sold, distributed or used otherwise as provided by SI-BONE. The parties acknowledge and agree that the accessories used in connection with the Product may be purchased by SI-BONE from Supplier or a third-party vendor or manufactured directly by, or otherwise obtained through, SI-BONE.</w:t>
      </w:r>
    </w:p>
    <w:p>
      <w:pPr>
        <w:spacing w:after="0" w:line="125" w:lineRule="exact"/>
        <w:rPr>
          <w:sz w:val="20"/>
          <w:szCs w:val="20"/>
          <w:color w:val="auto"/>
        </w:rPr>
      </w:pPr>
    </w:p>
    <w:p>
      <w:pPr>
        <w:jc w:val="both"/>
        <w:ind w:left="720" w:hanging="361"/>
        <w:spacing w:after="0" w:line="267" w:lineRule="auto"/>
        <w:tabs>
          <w:tab w:leader="none" w:pos="700" w:val="left"/>
        </w:tabs>
        <w:rPr>
          <w:sz w:val="20"/>
          <w:szCs w:val="20"/>
          <w:color w:val="auto"/>
        </w:rPr>
      </w:pPr>
      <w:r>
        <w:rPr>
          <w:rFonts w:ascii="Arial" w:cs="Arial" w:eastAsia="Arial" w:hAnsi="Arial"/>
          <w:sz w:val="13"/>
          <w:szCs w:val="13"/>
          <w:b w:val="1"/>
          <w:bCs w:val="1"/>
          <w:color w:val="auto"/>
        </w:rPr>
        <w:t>1.2.</w:t>
      </w:r>
      <w:r>
        <w:rPr>
          <w:sz w:val="20"/>
          <w:szCs w:val="20"/>
          <w:color w:val="auto"/>
        </w:rPr>
        <w:tab/>
      </w:r>
      <w:r>
        <w:rPr>
          <w:rFonts w:ascii="Arial" w:cs="Arial" w:eastAsia="Arial" w:hAnsi="Arial"/>
          <w:sz w:val="13"/>
          <w:szCs w:val="13"/>
          <w:b w:val="1"/>
          <w:bCs w:val="1"/>
          <w:u w:val="single" w:color="auto"/>
          <w:color w:val="auto"/>
        </w:rPr>
        <w:t>Forecasts</w:t>
      </w:r>
      <w:r>
        <w:rPr>
          <w:rFonts w:ascii="Arial" w:cs="Arial" w:eastAsia="Arial" w:hAnsi="Arial"/>
          <w:sz w:val="13"/>
          <w:szCs w:val="13"/>
          <w:color w:val="auto"/>
        </w:rPr>
        <w:t>. Within</w:t>
      </w:r>
      <w:r>
        <w:rPr>
          <w:rFonts w:ascii="Arial" w:cs="Arial" w:eastAsia="Arial" w:hAnsi="Arial"/>
          <w:sz w:val="13"/>
          <w:szCs w:val="13"/>
          <w:b w:val="1"/>
          <w:bCs w:val="1"/>
          <w:u w:val="single" w:color="auto"/>
          <w:color w:val="auto"/>
        </w:rPr>
        <w:t xml:space="preserve"> ten days </w:t>
      </w:r>
      <w:r>
        <w:rPr>
          <w:rFonts w:ascii="Arial" w:cs="Arial" w:eastAsia="Arial" w:hAnsi="Arial"/>
          <w:sz w:val="13"/>
          <w:szCs w:val="13"/>
          <w:color w:val="auto"/>
        </w:rPr>
        <w:t>after the Effective Date, SI-BONE shall deliver to Supplier a forecast of its requirements for the Product for each of the calendar quarters ending June</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30, 20XX, September 30, 20XX, December 31, 20XX, and March 31, 20XX (with the period ending June 30, 20XX including the period starting with the Effective Date) (the “</w:t>
      </w:r>
      <w:r>
        <w:rPr>
          <w:rFonts w:ascii="Arial" w:cs="Arial" w:eastAsia="Arial" w:hAnsi="Arial"/>
          <w:sz w:val="13"/>
          <w:szCs w:val="13"/>
          <w:b w:val="1"/>
          <w:bCs w:val="1"/>
          <w:i w:val="1"/>
          <w:iCs w:val="1"/>
          <w:color w:val="auto"/>
        </w:rPr>
        <w:t>Forecast</w:t>
      </w:r>
      <w:r>
        <w:rPr>
          <w:rFonts w:ascii="Arial" w:cs="Arial" w:eastAsia="Arial" w:hAnsi="Arial"/>
          <w:sz w:val="13"/>
          <w:szCs w:val="13"/>
          <w:color w:val="auto"/>
        </w:rPr>
        <w:t xml:space="preserve">”). Such Forecast shall include requirements for Product by part number (as set forth on Exhibit A to this Agreement) and by [*] for the applicable period, and at the election of SI-BONE, by [*]. No later than </w:t>
      </w:r>
      <w:r>
        <w:rPr>
          <w:rFonts w:ascii="Arial" w:cs="Arial" w:eastAsia="Arial" w:hAnsi="Arial"/>
          <w:sz w:val="13"/>
          <w:szCs w:val="13"/>
          <w:b w:val="1"/>
          <w:bCs w:val="1"/>
          <w:u w:val="single" w:color="auto"/>
          <w:color w:val="auto"/>
        </w:rPr>
        <w:t>ten days</w:t>
      </w:r>
      <w:r>
        <w:rPr>
          <w:rFonts w:ascii="Arial" w:cs="Arial" w:eastAsia="Arial" w:hAnsi="Arial"/>
          <w:sz w:val="13"/>
          <w:szCs w:val="13"/>
          <w:color w:val="auto"/>
        </w:rPr>
        <w:t xml:space="preserve"> following the end of each [*] during the Term, SI-BONE shall update the Forecast in writing by providing to Supplier an updated Forecast for the following [*](or such fewer number of [*] remaining in the Term). Except as provided in this Section 1.2, Forecasts shall be nonbinding and used and relied upon by Supplier only for Supplier’s internal capacity planning purposes.</w:t>
      </w:r>
    </w:p>
    <w:p>
      <w:pPr>
        <w:spacing w:after="0" w:line="130" w:lineRule="exact"/>
        <w:rPr>
          <w:sz w:val="20"/>
          <w:szCs w:val="20"/>
          <w:color w:val="auto"/>
        </w:rPr>
      </w:pPr>
    </w:p>
    <w:p>
      <w:pPr>
        <w:jc w:val="both"/>
        <w:ind w:left="720" w:hanging="361"/>
        <w:spacing w:after="0" w:line="281" w:lineRule="auto"/>
        <w:tabs>
          <w:tab w:leader="none" w:pos="700" w:val="left"/>
        </w:tabs>
        <w:rPr>
          <w:sz w:val="20"/>
          <w:szCs w:val="20"/>
          <w:color w:val="auto"/>
        </w:rPr>
      </w:pPr>
      <w:r>
        <w:rPr>
          <w:rFonts w:ascii="Arial" w:cs="Arial" w:eastAsia="Arial" w:hAnsi="Arial"/>
          <w:sz w:val="13"/>
          <w:szCs w:val="13"/>
          <w:b w:val="1"/>
          <w:bCs w:val="1"/>
          <w:color w:val="auto"/>
        </w:rPr>
        <w:t>1.3.</w:t>
      </w:r>
      <w:r>
        <w:rPr>
          <w:sz w:val="20"/>
          <w:szCs w:val="20"/>
          <w:color w:val="auto"/>
        </w:rPr>
        <w:tab/>
      </w:r>
      <w:r>
        <w:rPr>
          <w:rFonts w:ascii="Arial" w:cs="Arial" w:eastAsia="Arial" w:hAnsi="Arial"/>
          <w:sz w:val="13"/>
          <w:szCs w:val="13"/>
          <w:u w:val="single" w:color="auto"/>
          <w:color w:val="auto"/>
        </w:rPr>
        <w:t>Purchase Orders</w:t>
      </w:r>
      <w:r>
        <w:rPr>
          <w:rFonts w:ascii="Arial" w:cs="Arial" w:eastAsia="Arial" w:hAnsi="Arial"/>
          <w:sz w:val="13"/>
          <w:szCs w:val="13"/>
          <w:color w:val="auto"/>
        </w:rPr>
        <w:t>. All purchases shall be pursuant to purchase orders submitted by SI-BONE to Supplier (a “</w:t>
      </w:r>
      <w:r>
        <w:rPr>
          <w:rFonts w:ascii="Arial" w:cs="Arial" w:eastAsia="Arial" w:hAnsi="Arial"/>
          <w:sz w:val="13"/>
          <w:szCs w:val="13"/>
          <w:b w:val="1"/>
          <w:bCs w:val="1"/>
          <w:i w:val="1"/>
          <w:iCs w:val="1"/>
          <w:color w:val="auto"/>
        </w:rPr>
        <w:t>Blanket Order</w:t>
      </w:r>
      <w:r>
        <w:rPr>
          <w:rFonts w:ascii="Arial" w:cs="Arial" w:eastAsia="Arial" w:hAnsi="Arial"/>
          <w:sz w:val="13"/>
          <w:szCs w:val="13"/>
          <w:color w:val="auto"/>
        </w:rPr>
        <w:t>”) specifying the Products ordered (including part</w:t>
      </w:r>
      <w:r>
        <w:rPr>
          <w:rFonts w:ascii="Arial" w:cs="Arial" w:eastAsia="Arial" w:hAnsi="Arial"/>
          <w:sz w:val="13"/>
          <w:szCs w:val="13"/>
          <w:u w:val="single" w:color="auto"/>
          <w:color w:val="auto"/>
        </w:rPr>
        <w:t xml:space="preserve"> </w:t>
      </w:r>
      <w:r>
        <w:rPr>
          <w:rFonts w:ascii="Arial" w:cs="Arial" w:eastAsia="Arial" w:hAnsi="Arial"/>
          <w:sz w:val="13"/>
          <w:szCs w:val="13"/>
          <w:color w:val="auto"/>
        </w:rPr>
        <w:t>numbers and revision levels if applicable), quantities of each Product ordered, price, term of the Blanket Order or requested delivery dates and requested Product recipient, all of which shall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 of #23</w:t>
      </w:r>
    </w:p>
    <w:p>
      <w:pPr>
        <w:spacing w:after="0" w:line="92" w:lineRule="exact"/>
        <w:rPr>
          <w:sz w:val="20"/>
          <w:szCs w:val="20"/>
          <w:color w:val="auto"/>
        </w:rPr>
      </w:pPr>
    </w:p>
    <w:p>
      <w:pPr>
        <w:ind w:left="180" w:hanging="173"/>
        <w:spacing w:after="0"/>
        <w:tabs>
          <w:tab w:leader="none" w:pos="1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73" w:name="page74"/>
    <w:bookmarkEnd w:id="73"/>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20"/>
        <w:spacing w:after="0" w:line="269" w:lineRule="auto"/>
        <w:rPr>
          <w:sz w:val="20"/>
          <w:szCs w:val="20"/>
          <w:color w:val="auto"/>
        </w:rPr>
      </w:pPr>
      <w:r>
        <w:rPr>
          <w:rFonts w:ascii="Arial" w:cs="Arial" w:eastAsia="Arial" w:hAnsi="Arial"/>
          <w:sz w:val="13"/>
          <w:szCs w:val="13"/>
          <w:color w:val="auto"/>
        </w:rPr>
        <w:t>Article 5. From time to time, and no less than [*], SI-BONE will issue a release against a Blanket Order (“</w:t>
      </w:r>
      <w:r>
        <w:rPr>
          <w:rFonts w:ascii="Arial" w:cs="Arial" w:eastAsia="Arial" w:hAnsi="Arial"/>
          <w:sz w:val="13"/>
          <w:szCs w:val="13"/>
          <w:b w:val="1"/>
          <w:bCs w:val="1"/>
          <w:i w:val="1"/>
          <w:iCs w:val="1"/>
          <w:color w:val="auto"/>
        </w:rPr>
        <w:t>Drawdown Order</w:t>
      </w:r>
      <w:r>
        <w:rPr>
          <w:rFonts w:ascii="Arial" w:cs="Arial" w:eastAsia="Arial" w:hAnsi="Arial"/>
          <w:sz w:val="13"/>
          <w:szCs w:val="13"/>
          <w:color w:val="auto"/>
        </w:rPr>
        <w:t>”) specifying a delivery date no less than [*] after submission of the Drawdown Order, unless the product is Vendor Managed Inventory (“</w:t>
      </w:r>
      <w:r>
        <w:rPr>
          <w:rFonts w:ascii="Arial" w:cs="Arial" w:eastAsia="Arial" w:hAnsi="Arial"/>
          <w:sz w:val="13"/>
          <w:szCs w:val="13"/>
          <w:b w:val="1"/>
          <w:bCs w:val="1"/>
          <w:i w:val="1"/>
          <w:iCs w:val="1"/>
          <w:color w:val="auto"/>
        </w:rPr>
        <w:t>VMI</w:t>
      </w:r>
      <w:r>
        <w:rPr>
          <w:rFonts w:ascii="Arial" w:cs="Arial" w:eastAsia="Arial" w:hAnsi="Arial"/>
          <w:sz w:val="13"/>
          <w:szCs w:val="13"/>
          <w:color w:val="auto"/>
        </w:rPr>
        <w:t>”) as specified in Section 1.5, which the Supplier will deliver within [*]. If Supplier cannot satisfy any Drawdown Order, then Supplier shall provide written notice to SI-BONE no later than [*]after receipt of the Drawdown Order specifying its alternative delivery date which may not be more than [*]after submission of the Order, unless otherwise agreed by the parties, provided that the Order quantities required are reasonably consistent with the current Forecast. Orders may be changed only by the mutual written agreement of the parties.</w:t>
      </w:r>
    </w:p>
    <w:p>
      <w:pPr>
        <w:spacing w:after="0" w:line="129" w:lineRule="exact"/>
        <w:rPr>
          <w:sz w:val="20"/>
          <w:szCs w:val="20"/>
          <w:color w:val="auto"/>
        </w:rPr>
      </w:pPr>
    </w:p>
    <w:p>
      <w:pPr>
        <w:jc w:val="both"/>
        <w:ind w:left="720" w:hanging="361"/>
        <w:spacing w:after="0" w:line="267" w:lineRule="auto"/>
        <w:tabs>
          <w:tab w:leader="none" w:pos="700" w:val="left"/>
        </w:tabs>
        <w:rPr>
          <w:sz w:val="20"/>
          <w:szCs w:val="20"/>
          <w:color w:val="auto"/>
        </w:rPr>
      </w:pPr>
      <w:r>
        <w:rPr>
          <w:rFonts w:ascii="Arial" w:cs="Arial" w:eastAsia="Arial" w:hAnsi="Arial"/>
          <w:sz w:val="13"/>
          <w:szCs w:val="13"/>
          <w:b w:val="1"/>
          <w:bCs w:val="1"/>
          <w:color w:val="auto"/>
        </w:rPr>
        <w:t>1.4.</w:t>
      </w:r>
      <w:r>
        <w:rPr>
          <w:sz w:val="20"/>
          <w:szCs w:val="20"/>
          <w:color w:val="auto"/>
        </w:rPr>
        <w:tab/>
      </w:r>
      <w:r>
        <w:rPr>
          <w:rFonts w:ascii="Arial" w:cs="Arial" w:eastAsia="Arial" w:hAnsi="Arial"/>
          <w:sz w:val="13"/>
          <w:szCs w:val="13"/>
          <w:b w:val="1"/>
          <w:bCs w:val="1"/>
          <w:u w:val="single" w:color="auto"/>
          <w:color w:val="auto"/>
        </w:rPr>
        <w:t>Vendors and Subcontractors</w:t>
      </w:r>
      <w:r>
        <w:rPr>
          <w:rFonts w:ascii="Arial" w:cs="Arial" w:eastAsia="Arial" w:hAnsi="Arial"/>
          <w:sz w:val="13"/>
          <w:szCs w:val="13"/>
          <w:color w:val="auto"/>
        </w:rPr>
        <w:t>. Supplier shall not (i) change the vendors from whom Supplier sources components of the Products as of the Effective Date or (ii) subcontract its</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 xml:space="preserve">obligations to manufacture Products to subcontractors in each case without the prior written consent of SI-BONE; provided, that SI-BONE hereby acknowledges its consent to Supplier’s purchase of Product components from vendors identified in </w:t>
      </w:r>
      <w:r>
        <w:rPr>
          <w:rFonts w:ascii="Arial" w:cs="Arial" w:eastAsia="Arial" w:hAnsi="Arial"/>
          <w:sz w:val="13"/>
          <w:szCs w:val="13"/>
          <w:b w:val="1"/>
          <w:bCs w:val="1"/>
          <w:u w:val="single" w:color="auto"/>
          <w:color w:val="auto"/>
        </w:rPr>
        <w:t>Exhibit B</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Approved Vendors</w:t>
      </w:r>
      <w:r>
        <w:rPr>
          <w:rFonts w:ascii="Arial" w:cs="Arial" w:eastAsia="Arial" w:hAnsi="Arial"/>
          <w:sz w:val="13"/>
          <w:szCs w:val="13"/>
          <w:color w:val="auto"/>
        </w:rPr>
        <w:t xml:space="preserve">”) and use of subcontractors identified in </w:t>
      </w:r>
      <w:r>
        <w:rPr>
          <w:rFonts w:ascii="Arial" w:cs="Arial" w:eastAsia="Arial" w:hAnsi="Arial"/>
          <w:sz w:val="13"/>
          <w:szCs w:val="13"/>
          <w:b w:val="1"/>
          <w:bCs w:val="1"/>
          <w:u w:val="single" w:color="auto"/>
          <w:color w:val="auto"/>
        </w:rPr>
        <w:t>Exhibit C</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Approved</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Subcontractors</w:t>
      </w:r>
      <w:r>
        <w:rPr>
          <w:rFonts w:ascii="Arial" w:cs="Arial" w:eastAsia="Arial" w:hAnsi="Arial"/>
          <w:sz w:val="13"/>
          <w:szCs w:val="13"/>
          <w:color w:val="auto"/>
        </w:rPr>
        <w:t>”). SI-BONE may order through Supplier components sourced from Supplier’s approved vendors (which vendors may include affiliates of SI-BONE) and Supplier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agrees to provide those components to SI-BONE at Supplier’s cost [*]. Subject to the requirements of Section 4.8 of this Agreement, SI-BONE may request or otherwise require Supplier to approve and utilize alternative sources including the Approved Vendors and Approved Subcontractors.</w:t>
      </w:r>
    </w:p>
    <w:p>
      <w:pPr>
        <w:spacing w:after="0" w:line="130" w:lineRule="exact"/>
        <w:rPr>
          <w:sz w:val="20"/>
          <w:szCs w:val="20"/>
          <w:color w:val="auto"/>
        </w:rPr>
      </w:pPr>
    </w:p>
    <w:p>
      <w:pPr>
        <w:jc w:val="both"/>
        <w:ind w:left="720" w:hanging="361"/>
        <w:spacing w:after="0" w:line="261" w:lineRule="auto"/>
        <w:tabs>
          <w:tab w:leader="none" w:pos="700" w:val="left"/>
        </w:tabs>
        <w:rPr>
          <w:sz w:val="20"/>
          <w:szCs w:val="20"/>
          <w:color w:val="auto"/>
        </w:rPr>
      </w:pPr>
      <w:r>
        <w:rPr>
          <w:rFonts w:ascii="Arial" w:cs="Arial" w:eastAsia="Arial" w:hAnsi="Arial"/>
          <w:sz w:val="13"/>
          <w:szCs w:val="13"/>
          <w:b w:val="1"/>
          <w:bCs w:val="1"/>
          <w:color w:val="auto"/>
        </w:rPr>
        <w:t>1.5.</w:t>
      </w:r>
      <w:r>
        <w:rPr>
          <w:sz w:val="20"/>
          <w:szCs w:val="20"/>
          <w:color w:val="auto"/>
        </w:rPr>
        <w:tab/>
      </w:r>
      <w:r>
        <w:rPr>
          <w:rFonts w:ascii="Arial" w:cs="Arial" w:eastAsia="Arial" w:hAnsi="Arial"/>
          <w:sz w:val="13"/>
          <w:szCs w:val="13"/>
          <w:b w:val="1"/>
          <w:bCs w:val="1"/>
          <w:u w:val="single" w:color="auto"/>
          <w:color w:val="auto"/>
        </w:rPr>
        <w:t>Vendor Managed Inventory</w:t>
      </w:r>
      <w:r>
        <w:rPr>
          <w:rFonts w:ascii="Arial" w:cs="Arial" w:eastAsia="Arial" w:hAnsi="Arial"/>
          <w:sz w:val="13"/>
          <w:szCs w:val="13"/>
          <w:color w:val="auto"/>
        </w:rPr>
        <w:t>. Supplier shall maintain available Inventory of “machined Product” and “finished Product,” in each case based on the then-current Forecast, for</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 xml:space="preserve">delivery pursuant to Sections 1.3 and 5.2, as set forth on </w:t>
      </w:r>
      <w:r>
        <w:rPr>
          <w:rFonts w:ascii="Arial" w:cs="Arial" w:eastAsia="Arial" w:hAnsi="Arial"/>
          <w:sz w:val="13"/>
          <w:szCs w:val="13"/>
          <w:b w:val="1"/>
          <w:bCs w:val="1"/>
          <w:u w:val="single" w:color="auto"/>
          <w:color w:val="auto"/>
        </w:rPr>
        <w:t>Exhibit F</w:t>
      </w:r>
      <w:r>
        <w:rPr>
          <w:rFonts w:ascii="Arial" w:cs="Arial" w:eastAsia="Arial" w:hAnsi="Arial"/>
          <w:sz w:val="13"/>
          <w:szCs w:val="13"/>
          <w:color w:val="auto"/>
        </w:rPr>
        <w:t xml:space="preserve">. For purposes hereof, (i) “machined Products” shall mean Product additively manufactured and machined but unpackaged, and (ii) “finished Products” shall mean machined additively manufactured Product, packaged and ready for sterilization pursuant to the Agreement. The terms “machined Products” and “finished Products” are collectively referred to here as “Inventory.” Supplier and SI-BONE agree to meet [*] for the purpose of adding or removing Products, or adjusting Inventory levels of the Products, listed on </w:t>
      </w:r>
      <w:r>
        <w:rPr>
          <w:rFonts w:ascii="Arial" w:cs="Arial" w:eastAsia="Arial" w:hAnsi="Arial"/>
          <w:sz w:val="13"/>
          <w:szCs w:val="13"/>
          <w:b w:val="1"/>
          <w:bCs w:val="1"/>
          <w:u w:val="single" w:color="auto"/>
          <w:color w:val="auto"/>
        </w:rPr>
        <w:t>Exhibit F</w:t>
      </w:r>
      <w:r>
        <w:rPr>
          <w:rFonts w:ascii="Arial" w:cs="Arial" w:eastAsia="Arial" w:hAnsi="Arial"/>
          <w:sz w:val="13"/>
          <w:szCs w:val="13"/>
          <w:color w:val="auto"/>
        </w:rPr>
        <w:t xml:space="preserve">. If the Inventory quantity level is reduced below a current Inventory level, SI-BONE is responsible for any existing Inventory at the prior Inventory level until it is consumed, and the new Inventory quantity level goes into effect. “Finished product” will be maintained by the Supplier in Inventory as safety stock for any unplanned increases in demand and will be shipped to the sterilizer within [*] after delivery of a Drawdown Order for “finished product” in the quantity set forth in </w:t>
      </w:r>
      <w:r>
        <w:rPr>
          <w:rFonts w:ascii="Arial" w:cs="Arial" w:eastAsia="Arial" w:hAnsi="Arial"/>
          <w:sz w:val="13"/>
          <w:szCs w:val="13"/>
          <w:b w:val="1"/>
          <w:bCs w:val="1"/>
          <w:u w:val="single" w:color="auto"/>
          <w:color w:val="auto"/>
        </w:rPr>
        <w:t>Exhibit F</w:t>
      </w:r>
      <w:r>
        <w:rPr>
          <w:rFonts w:ascii="Arial" w:cs="Arial" w:eastAsia="Arial" w:hAnsi="Arial"/>
          <w:sz w:val="13"/>
          <w:szCs w:val="13"/>
          <w:color w:val="auto"/>
        </w:rPr>
        <w:t xml:space="preserve"> for “finished products.” Supplier will have [*] to replenish “finished product” after shipment against a Drawdown Order. In the event Supplier maintains any “finished Product” in Inventory for more than [*], upon notice from Supplier of such event, SI-BONE shall deliver a Drawdown Order against any such “finished Product” in the quantity set forth in </w:t>
      </w:r>
      <w:r>
        <w:rPr>
          <w:rFonts w:ascii="Arial" w:cs="Arial" w:eastAsia="Arial" w:hAnsi="Arial"/>
          <w:sz w:val="13"/>
          <w:szCs w:val="13"/>
          <w:b w:val="1"/>
          <w:bCs w:val="1"/>
          <w:u w:val="single" w:color="auto"/>
          <w:color w:val="auto"/>
        </w:rPr>
        <w:t>Exhibit F</w:t>
      </w:r>
      <w:r>
        <w:rPr>
          <w:rFonts w:ascii="Arial" w:cs="Arial" w:eastAsia="Arial" w:hAnsi="Arial"/>
          <w:sz w:val="13"/>
          <w:szCs w:val="13"/>
          <w:color w:val="auto"/>
        </w:rPr>
        <w:t xml:space="preserve"> and Supplier shall replenish such “finished product” within [*] unless otherwise agreed between the parties. In the event that the Inventory maintained by the supplier for any VMI Product has not be subject to a Drawdown Order for a period greater than [*] (“</w:t>
      </w:r>
      <w:r>
        <w:rPr>
          <w:rFonts w:ascii="Arial" w:cs="Arial" w:eastAsia="Arial" w:hAnsi="Arial"/>
          <w:sz w:val="13"/>
          <w:szCs w:val="13"/>
          <w:b w:val="1"/>
          <w:bCs w:val="1"/>
          <w:i w:val="1"/>
          <w:iCs w:val="1"/>
          <w:color w:val="auto"/>
        </w:rPr>
        <w:t>Non-Moving Inventory</w:t>
      </w:r>
      <w:r>
        <w:rPr>
          <w:rFonts w:ascii="Arial" w:cs="Arial" w:eastAsia="Arial" w:hAnsi="Arial"/>
          <w:sz w:val="13"/>
          <w:szCs w:val="13"/>
          <w:color w:val="auto"/>
        </w:rPr>
        <w:t xml:space="preserve">”), then, upon notice from the Supplier, SI-BONE will issue a drawdown Order for the Product Inventory, provided, however, that SI-BONE shall have no obligation to purchase in excess of the Inventory as set forth in </w:t>
      </w:r>
      <w:r>
        <w:rPr>
          <w:rFonts w:ascii="Arial" w:cs="Arial" w:eastAsia="Arial" w:hAnsi="Arial"/>
          <w:sz w:val="13"/>
          <w:szCs w:val="13"/>
          <w:b w:val="1"/>
          <w:bCs w:val="1"/>
          <w:u w:val="single" w:color="auto"/>
          <w:color w:val="auto"/>
        </w:rPr>
        <w:t>Exhibit F</w:t>
      </w:r>
      <w:r>
        <w:rPr>
          <w:rFonts w:ascii="Arial" w:cs="Arial" w:eastAsia="Arial" w:hAnsi="Arial"/>
          <w:sz w:val="13"/>
          <w:szCs w:val="13"/>
          <w:color w:val="auto"/>
        </w:rPr>
        <w:t xml:space="preserve"> and subject to the conditions set forth in this Section 1.5. Non-Moving Inventory Product will be removed from the VMI inventory and </w:t>
      </w:r>
      <w:r>
        <w:rPr>
          <w:rFonts w:ascii="Arial" w:cs="Arial" w:eastAsia="Arial" w:hAnsi="Arial"/>
          <w:sz w:val="13"/>
          <w:szCs w:val="13"/>
          <w:b w:val="1"/>
          <w:bCs w:val="1"/>
          <w:u w:val="single" w:color="auto"/>
          <w:color w:val="auto"/>
        </w:rPr>
        <w:t>Exhibit F</w:t>
      </w:r>
      <w:r>
        <w:rPr>
          <w:rFonts w:ascii="Arial" w:cs="Arial" w:eastAsia="Arial" w:hAnsi="Arial"/>
          <w:sz w:val="13"/>
          <w:szCs w:val="13"/>
          <w:color w:val="auto"/>
        </w:rPr>
        <w:t xml:space="preserve"> will be amended by the parties to remove that Product. Supplier shall be solely responsible for maintaining sufficient Inventory to satisfy the delivery requirements under the Agreement and for any loss, damage or replacement to any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2 of #23</w:t>
      </w:r>
    </w:p>
    <w:p>
      <w:pPr>
        <w:spacing w:after="0" w:line="92" w:lineRule="exact"/>
        <w:rPr>
          <w:sz w:val="20"/>
          <w:szCs w:val="20"/>
          <w:color w:val="auto"/>
        </w:rPr>
      </w:pPr>
    </w:p>
    <w:p>
      <w:pPr>
        <w:ind w:left="180" w:hanging="173"/>
        <w:spacing w:after="0"/>
        <w:tabs>
          <w:tab w:leader="none" w:pos="1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74" w:name="page75"/>
    <w:bookmarkEnd w:id="74"/>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40" w:hanging="239"/>
        <w:spacing w:after="0"/>
        <w:tabs>
          <w:tab w:leader="none" w:pos="24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PRICING AND PAYMENT TERMS</w:t>
      </w:r>
      <w:r>
        <w:rPr>
          <w:rFonts w:ascii="Arial" w:cs="Arial" w:eastAsia="Arial" w:hAnsi="Arial"/>
          <w:sz w:val="13"/>
          <w:szCs w:val="13"/>
          <w:color w:val="auto"/>
        </w:rPr>
        <w:t>.</w:t>
      </w:r>
    </w:p>
    <w:p>
      <w:pPr>
        <w:spacing w:after="0" w:line="173" w:lineRule="exact"/>
        <w:rPr>
          <w:sz w:val="20"/>
          <w:szCs w:val="20"/>
          <w:color w:val="auto"/>
        </w:rPr>
      </w:pPr>
    </w:p>
    <w:p>
      <w:pPr>
        <w:jc w:val="both"/>
        <w:ind w:left="720" w:hanging="361"/>
        <w:spacing w:after="0" w:line="281" w:lineRule="auto"/>
        <w:tabs>
          <w:tab w:leader="none" w:pos="700" w:val="left"/>
        </w:tabs>
        <w:rPr>
          <w:sz w:val="20"/>
          <w:szCs w:val="20"/>
          <w:color w:val="auto"/>
        </w:rPr>
      </w:pPr>
      <w:r>
        <w:rPr>
          <w:rFonts w:ascii="Arial" w:cs="Arial" w:eastAsia="Arial" w:hAnsi="Arial"/>
          <w:sz w:val="13"/>
          <w:szCs w:val="13"/>
          <w:b w:val="1"/>
          <w:bCs w:val="1"/>
          <w:color w:val="auto"/>
        </w:rPr>
        <w:t>2.1.</w:t>
      </w:r>
      <w:r>
        <w:rPr>
          <w:sz w:val="20"/>
          <w:szCs w:val="20"/>
          <w:color w:val="auto"/>
        </w:rPr>
        <w:tab/>
      </w:r>
      <w:r>
        <w:rPr>
          <w:rFonts w:ascii="Arial" w:cs="Arial" w:eastAsia="Arial" w:hAnsi="Arial"/>
          <w:sz w:val="13"/>
          <w:szCs w:val="13"/>
          <w:color w:val="auto"/>
        </w:rPr>
        <w:t>During the Term, Supplier’s sales price to SI-BONE for each Product unit shall be based on the forecasted estimated annual unit (“</w:t>
      </w:r>
      <w:r>
        <w:rPr>
          <w:rFonts w:ascii="Arial" w:cs="Arial" w:eastAsia="Arial" w:hAnsi="Arial"/>
          <w:sz w:val="13"/>
          <w:szCs w:val="13"/>
          <w:b w:val="1"/>
          <w:bCs w:val="1"/>
          <w:i w:val="1"/>
          <w:iCs w:val="1"/>
          <w:color w:val="auto"/>
        </w:rPr>
        <w:t>EAU</w:t>
      </w:r>
      <w:r>
        <w:rPr>
          <w:rFonts w:ascii="Arial" w:cs="Arial" w:eastAsia="Arial" w:hAnsi="Arial"/>
          <w:sz w:val="13"/>
          <w:szCs w:val="13"/>
          <w:color w:val="auto"/>
        </w:rPr>
        <w:t xml:space="preserve">”) volumes of Product to be purchased by SI-BONE during the Term in accordance with the pricing described in </w:t>
      </w:r>
      <w:r>
        <w:rPr>
          <w:rFonts w:ascii="Arial" w:cs="Arial" w:eastAsia="Arial" w:hAnsi="Arial"/>
          <w:sz w:val="13"/>
          <w:szCs w:val="13"/>
          <w:b w:val="1"/>
          <w:bCs w:val="1"/>
          <w:u w:val="single" w:color="auto"/>
          <w:color w:val="auto"/>
        </w:rPr>
        <w:t>Exhibit A</w:t>
      </w:r>
      <w:r>
        <w:rPr>
          <w:rFonts w:ascii="Arial" w:cs="Arial" w:eastAsia="Arial" w:hAnsi="Arial"/>
          <w:sz w:val="13"/>
          <w:szCs w:val="13"/>
          <w:color w:val="auto"/>
        </w:rPr>
        <w:t xml:space="preserve"> (the “</w:t>
      </w:r>
      <w:r>
        <w:rPr>
          <w:rFonts w:ascii="Arial" w:cs="Arial" w:eastAsia="Arial" w:hAnsi="Arial"/>
          <w:sz w:val="13"/>
          <w:szCs w:val="13"/>
          <w:b w:val="1"/>
          <w:bCs w:val="1"/>
          <w:i w:val="1"/>
          <w:iCs w:val="1"/>
          <w:color w:val="auto"/>
        </w:rPr>
        <w:t>Pricing Addendum</w:t>
      </w:r>
      <w:r>
        <w:rPr>
          <w:rFonts w:ascii="Arial" w:cs="Arial" w:eastAsia="Arial" w:hAnsi="Arial"/>
          <w:sz w:val="13"/>
          <w:szCs w:val="13"/>
          <w:color w:val="auto"/>
        </w:rPr>
        <w:t>”). From time to time, the parties may mutually agree to add additional Products to this Agreement.</w:t>
      </w:r>
    </w:p>
    <w:p>
      <w:pPr>
        <w:spacing w:after="0" w:line="119" w:lineRule="exact"/>
        <w:rPr>
          <w:sz w:val="20"/>
          <w:szCs w:val="20"/>
          <w:color w:val="auto"/>
        </w:rPr>
      </w:pPr>
    </w:p>
    <w:p>
      <w:pPr>
        <w:jc w:val="both"/>
        <w:ind w:left="720" w:hanging="361"/>
        <w:spacing w:after="0" w:line="266" w:lineRule="auto"/>
        <w:tabs>
          <w:tab w:leader="none" w:pos="700" w:val="left"/>
        </w:tabs>
        <w:rPr>
          <w:sz w:val="20"/>
          <w:szCs w:val="20"/>
          <w:color w:val="auto"/>
        </w:rPr>
      </w:pPr>
      <w:r>
        <w:rPr>
          <w:rFonts w:ascii="Arial" w:cs="Arial" w:eastAsia="Arial" w:hAnsi="Arial"/>
          <w:sz w:val="13"/>
          <w:szCs w:val="13"/>
          <w:b w:val="1"/>
          <w:bCs w:val="1"/>
          <w:color w:val="auto"/>
        </w:rPr>
        <w:t>2.2.</w:t>
      </w:r>
      <w:r>
        <w:rPr>
          <w:sz w:val="20"/>
          <w:szCs w:val="20"/>
          <w:color w:val="auto"/>
        </w:rPr>
        <w:tab/>
      </w:r>
      <w:r>
        <w:rPr>
          <w:rFonts w:ascii="Arial" w:cs="Arial" w:eastAsia="Arial" w:hAnsi="Arial"/>
          <w:sz w:val="13"/>
          <w:szCs w:val="13"/>
          <w:color w:val="auto"/>
        </w:rPr>
        <w:t xml:space="preserve">The pricing set forth in </w:t>
      </w:r>
      <w:r>
        <w:rPr>
          <w:rFonts w:ascii="Arial" w:cs="Arial" w:eastAsia="Arial" w:hAnsi="Arial"/>
          <w:sz w:val="13"/>
          <w:szCs w:val="13"/>
          <w:b w:val="1"/>
          <w:bCs w:val="1"/>
          <w:u w:val="single" w:color="auto"/>
          <w:color w:val="auto"/>
        </w:rPr>
        <w:t>Exhibit A</w:t>
      </w:r>
      <w:r>
        <w:rPr>
          <w:rFonts w:ascii="Arial" w:cs="Arial" w:eastAsia="Arial" w:hAnsi="Arial"/>
          <w:sz w:val="13"/>
          <w:szCs w:val="13"/>
          <w:color w:val="auto"/>
        </w:rPr>
        <w:t xml:space="preserve"> shall be firm for the Initial Term, as defined on the Pricing Addendum, unless the volumes vary from the forecasted EAU volume by more than [*] in either direction during the initial twelve months or during subsequent twelve month periods during the Term. In this case the Supplier or SI-BONE may request a price review based on the volume changes and the parties shall negotiate in good faith any price changes, with reference to changes in input costs and variance from EAU forecast, prior to implementation provided that there will not be more than [*]. If the parties are unable to agree on the change in pricing through a process of good faith negotiation, then either of the parties may terminate this Agreement provided that, if the Supplier terminates the Agreement, SI-BONE will have the option of making Last Purchase per Section </w:t>
      </w:r>
      <w:r>
        <w:rPr>
          <w:rFonts w:ascii="Arial" w:cs="Arial" w:eastAsia="Arial" w:hAnsi="Arial"/>
          <w:sz w:val="13"/>
          <w:szCs w:val="13"/>
          <w:u w:val="single" w:color="auto"/>
          <w:color w:val="auto"/>
        </w:rPr>
        <w:t>9.5</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Exhibit</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A</w:t>
      </w:r>
      <w:r>
        <w:rPr>
          <w:rFonts w:ascii="Arial" w:cs="Arial" w:eastAsia="Arial" w:hAnsi="Arial"/>
          <w:sz w:val="13"/>
          <w:szCs w:val="13"/>
          <w:b w:val="1"/>
          <w:bCs w:val="1"/>
          <w:color w:val="auto"/>
        </w:rPr>
        <w:t xml:space="preserve"> </w:t>
      </w:r>
      <w:r>
        <w:rPr>
          <w:rFonts w:ascii="Arial" w:cs="Arial" w:eastAsia="Arial" w:hAnsi="Arial"/>
          <w:sz w:val="13"/>
          <w:szCs w:val="13"/>
          <w:color w:val="auto"/>
        </w:rPr>
        <w:t>will be amended to reflect any mutually agreed changes to the pricing and/or EUA volumes. Supplier may also re-price the items listed in</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Exhibit A</w:t>
      </w:r>
      <w:r>
        <w:rPr>
          <w:rFonts w:ascii="Arial" w:cs="Arial" w:eastAsia="Arial" w:hAnsi="Arial"/>
          <w:sz w:val="13"/>
          <w:szCs w:val="13"/>
          <w:b w:val="1"/>
          <w:bCs w:val="1"/>
          <w:color w:val="auto"/>
        </w:rPr>
        <w:t xml:space="preserve"> </w:t>
      </w:r>
      <w:r>
        <w:rPr>
          <w:rFonts w:ascii="Arial" w:cs="Arial" w:eastAsia="Arial" w:hAnsi="Arial"/>
          <w:sz w:val="13"/>
          <w:szCs w:val="13"/>
          <w:color w:val="auto"/>
        </w:rPr>
        <w:t>in accordance with Section</w:t>
      </w:r>
      <w:r>
        <w:rPr>
          <w:rFonts w:ascii="Arial" w:cs="Arial" w:eastAsia="Arial" w:hAnsi="Arial"/>
          <w:sz w:val="13"/>
          <w:szCs w:val="13"/>
          <w:b w:val="1"/>
          <w:bCs w:val="1"/>
          <w:color w:val="auto"/>
        </w:rPr>
        <w:t xml:space="preserve"> </w:t>
      </w:r>
      <w:r>
        <w:rPr>
          <w:rFonts w:ascii="Arial" w:cs="Arial" w:eastAsia="Arial" w:hAnsi="Arial"/>
          <w:sz w:val="13"/>
          <w:szCs w:val="13"/>
          <w:color w:val="auto"/>
        </w:rPr>
        <w:t>6 if there are any changes made by SI-BONE to the Specifications or materials which affect the unit costs.</w:t>
      </w:r>
    </w:p>
    <w:p>
      <w:pPr>
        <w:spacing w:after="0" w:line="129" w:lineRule="exact"/>
        <w:rPr>
          <w:sz w:val="20"/>
          <w:szCs w:val="20"/>
          <w:color w:val="auto"/>
        </w:rPr>
      </w:pPr>
    </w:p>
    <w:p>
      <w:pPr>
        <w:jc w:val="both"/>
        <w:ind w:left="720" w:hanging="361"/>
        <w:spacing w:after="0" w:line="277" w:lineRule="auto"/>
        <w:tabs>
          <w:tab w:leader="none" w:pos="700" w:val="left"/>
        </w:tabs>
        <w:rPr>
          <w:sz w:val="20"/>
          <w:szCs w:val="20"/>
          <w:color w:val="auto"/>
        </w:rPr>
      </w:pPr>
      <w:r>
        <w:rPr>
          <w:rFonts w:ascii="Arial" w:cs="Arial" w:eastAsia="Arial" w:hAnsi="Arial"/>
          <w:sz w:val="13"/>
          <w:szCs w:val="13"/>
          <w:b w:val="1"/>
          <w:bCs w:val="1"/>
          <w:color w:val="auto"/>
        </w:rPr>
        <w:t>2.3.</w:t>
      </w:r>
      <w:r>
        <w:rPr>
          <w:sz w:val="20"/>
          <w:szCs w:val="20"/>
          <w:color w:val="auto"/>
        </w:rPr>
        <w:tab/>
      </w:r>
      <w:r>
        <w:rPr>
          <w:rFonts w:ascii="Arial" w:cs="Arial" w:eastAsia="Arial" w:hAnsi="Arial"/>
          <w:sz w:val="13"/>
          <w:szCs w:val="13"/>
          <w:color w:val="auto"/>
        </w:rPr>
        <w:t>Supplier will invoice SI-BONE for all quantities of Products delivered in accordance with this Agreement. Payment terms shall include a [*] discount to the Agreement price if paid within [*], and otherwise net cash [*], paid in US dollars from the date of SI-BONE’s receipt of Supplier’s invoice.</w:t>
      </w:r>
    </w:p>
    <w:p>
      <w:pPr>
        <w:spacing w:after="0" w:line="138" w:lineRule="exact"/>
        <w:rPr>
          <w:sz w:val="20"/>
          <w:szCs w:val="20"/>
          <w:color w:val="auto"/>
        </w:rPr>
      </w:pPr>
    </w:p>
    <w:p>
      <w:pPr>
        <w:ind w:left="240" w:hanging="239"/>
        <w:spacing w:after="0"/>
        <w:tabs>
          <w:tab w:leader="none" w:pos="24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CAPACITY</w:t>
      </w:r>
      <w:r>
        <w:rPr>
          <w:rFonts w:ascii="Arial" w:cs="Arial" w:eastAsia="Arial" w:hAnsi="Arial"/>
          <w:sz w:val="13"/>
          <w:szCs w:val="13"/>
          <w:color w:val="auto"/>
        </w:rPr>
        <w:t>.</w:t>
      </w:r>
    </w:p>
    <w:p>
      <w:pPr>
        <w:spacing w:after="0" w:line="189" w:lineRule="exact"/>
        <w:rPr>
          <w:sz w:val="20"/>
          <w:szCs w:val="20"/>
          <w:color w:val="auto"/>
        </w:rPr>
      </w:pPr>
    </w:p>
    <w:p>
      <w:pPr>
        <w:jc w:val="both"/>
        <w:ind w:left="240" w:firstLine="242"/>
        <w:spacing w:after="0" w:line="263" w:lineRule="auto"/>
        <w:rPr>
          <w:sz w:val="20"/>
          <w:szCs w:val="20"/>
          <w:color w:val="auto"/>
        </w:rPr>
      </w:pPr>
      <w:r>
        <w:rPr>
          <w:rFonts w:ascii="Arial" w:cs="Arial" w:eastAsia="Arial" w:hAnsi="Arial"/>
          <w:sz w:val="13"/>
          <w:szCs w:val="13"/>
          <w:color w:val="auto"/>
        </w:rPr>
        <w:t>Supplier shall maintain capacity adequate to fulfill the Product requirements of SI-BONE as specified in the most recent [*] rolling Forecast. Supplier hereby agrees to give timely notice to SI-BONE of any event that would reasonably be expected to adversely affect Supplier’s capacity. Without limiting Article 1, Supplier shall use commercially reasonable efforts to assure that adequate capacity is available to fulfill future Product requirements of SI-BONE (as determined by SI-BONE’s then-current Forecast, historical purchasing patterns and written communications to Supplier regarding anticipated requirements). Supplier shall obtain and maintain all equipment and resources required to fulfill its obligations under this Agreement at Supplier’s sole cost, unless such equipment or resources were purchased by Supplier exclusively to supply SI-BONE.</w:t>
      </w:r>
    </w:p>
    <w:p>
      <w:pPr>
        <w:spacing w:after="0" w:line="131" w:lineRule="exact"/>
        <w:rPr>
          <w:sz w:val="20"/>
          <w:szCs w:val="20"/>
          <w:color w:val="auto"/>
        </w:rPr>
      </w:pPr>
    </w:p>
    <w:p>
      <w:pPr>
        <w:ind w:left="240" w:hanging="239"/>
        <w:spacing w:after="0"/>
        <w:tabs>
          <w:tab w:leader="none" w:pos="240"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SPECIFICATIONS; QUALITY CONTROL MATTERS</w:t>
      </w:r>
      <w:r>
        <w:rPr>
          <w:rFonts w:ascii="Arial" w:cs="Arial" w:eastAsia="Arial" w:hAnsi="Arial"/>
          <w:sz w:val="13"/>
          <w:szCs w:val="13"/>
          <w:color w:val="auto"/>
        </w:rPr>
        <w:t>.</w:t>
      </w:r>
    </w:p>
    <w:p>
      <w:pPr>
        <w:spacing w:after="0" w:line="173" w:lineRule="exact"/>
        <w:rPr>
          <w:sz w:val="20"/>
          <w:szCs w:val="20"/>
          <w:color w:val="auto"/>
        </w:rPr>
      </w:pPr>
    </w:p>
    <w:p>
      <w:pPr>
        <w:jc w:val="both"/>
        <w:ind w:left="720" w:hanging="361"/>
        <w:spacing w:after="0" w:line="281" w:lineRule="auto"/>
        <w:tabs>
          <w:tab w:leader="none" w:pos="700" w:val="left"/>
        </w:tabs>
        <w:rPr>
          <w:sz w:val="20"/>
          <w:szCs w:val="20"/>
          <w:color w:val="auto"/>
        </w:rPr>
      </w:pPr>
      <w:r>
        <w:rPr>
          <w:rFonts w:ascii="Arial" w:cs="Arial" w:eastAsia="Arial" w:hAnsi="Arial"/>
          <w:sz w:val="13"/>
          <w:szCs w:val="13"/>
          <w:b w:val="1"/>
          <w:bCs w:val="1"/>
          <w:color w:val="auto"/>
        </w:rPr>
        <w:t>4.1.</w:t>
      </w:r>
      <w:r>
        <w:rPr>
          <w:sz w:val="20"/>
          <w:szCs w:val="20"/>
          <w:color w:val="auto"/>
        </w:rPr>
        <w:tab/>
      </w:r>
      <w:r>
        <w:rPr>
          <w:rFonts w:ascii="Arial" w:cs="Arial" w:eastAsia="Arial" w:hAnsi="Arial"/>
          <w:sz w:val="13"/>
          <w:szCs w:val="13"/>
          <w:b w:val="1"/>
          <w:bCs w:val="1"/>
          <w:u w:val="single" w:color="auto"/>
          <w:color w:val="auto"/>
        </w:rPr>
        <w:t>Compliance with Laws</w:t>
      </w:r>
      <w:r>
        <w:rPr>
          <w:rFonts w:ascii="Arial" w:cs="Arial" w:eastAsia="Arial" w:hAnsi="Arial"/>
          <w:sz w:val="13"/>
          <w:szCs w:val="13"/>
          <w:color w:val="auto"/>
        </w:rPr>
        <w:t>. The parties shall comply with all applicable federal, state and local statutes, regulations, rules, ordinances and policies that pertain to the activities for</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which Supplier and SI-BONE are responsible under this Agreement, including those enforced by the FDA. With respect to the Products, SI-BONE shall be the “finished device manufacturer” (as such term is used by the FDA).</w:t>
      </w:r>
    </w:p>
    <w:p>
      <w:pPr>
        <w:spacing w:after="0" w:line="119" w:lineRule="exact"/>
        <w:rPr>
          <w:sz w:val="20"/>
          <w:szCs w:val="20"/>
          <w:color w:val="auto"/>
        </w:rPr>
      </w:pPr>
    </w:p>
    <w:p>
      <w:pPr>
        <w:jc w:val="both"/>
        <w:ind w:left="720" w:hanging="361"/>
        <w:spacing w:after="0" w:line="281" w:lineRule="auto"/>
        <w:tabs>
          <w:tab w:leader="none" w:pos="700" w:val="left"/>
        </w:tabs>
        <w:rPr>
          <w:sz w:val="20"/>
          <w:szCs w:val="20"/>
          <w:color w:val="auto"/>
        </w:rPr>
      </w:pPr>
      <w:r>
        <w:rPr>
          <w:rFonts w:ascii="Arial" w:cs="Arial" w:eastAsia="Arial" w:hAnsi="Arial"/>
          <w:sz w:val="13"/>
          <w:szCs w:val="13"/>
          <w:b w:val="1"/>
          <w:bCs w:val="1"/>
          <w:color w:val="auto"/>
        </w:rPr>
        <w:t>4.2.</w:t>
      </w:r>
      <w:r>
        <w:rPr>
          <w:sz w:val="20"/>
          <w:szCs w:val="20"/>
          <w:color w:val="auto"/>
        </w:rPr>
        <w:tab/>
      </w:r>
      <w:r>
        <w:rPr>
          <w:rFonts w:ascii="Arial" w:cs="Arial" w:eastAsia="Arial" w:hAnsi="Arial"/>
          <w:sz w:val="13"/>
          <w:szCs w:val="13"/>
          <w:b w:val="1"/>
          <w:bCs w:val="1"/>
          <w:u w:val="single" w:color="auto"/>
          <w:color w:val="auto"/>
        </w:rPr>
        <w:t>Specifications</w:t>
      </w:r>
      <w:r>
        <w:rPr>
          <w:rFonts w:ascii="Arial" w:cs="Arial" w:eastAsia="Arial" w:hAnsi="Arial"/>
          <w:sz w:val="13"/>
          <w:szCs w:val="13"/>
          <w:color w:val="auto"/>
        </w:rPr>
        <w:t>. SI-BONE shall define the specifications for the product to be manufactured by Supplier, by way of drawings, reference to commercial specifications and</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standards (the “</w:t>
      </w:r>
      <w:r>
        <w:rPr>
          <w:rFonts w:ascii="Arial" w:cs="Arial" w:eastAsia="Arial" w:hAnsi="Arial"/>
          <w:sz w:val="13"/>
          <w:szCs w:val="13"/>
          <w:b w:val="1"/>
          <w:bCs w:val="1"/>
          <w:i w:val="1"/>
          <w:iCs w:val="1"/>
          <w:color w:val="auto"/>
        </w:rPr>
        <w:t>Specifications</w:t>
      </w:r>
      <w:r>
        <w:rPr>
          <w:rFonts w:ascii="Arial" w:cs="Arial" w:eastAsia="Arial" w:hAnsi="Arial"/>
          <w:sz w:val="13"/>
          <w:szCs w:val="13"/>
          <w:color w:val="auto"/>
        </w:rPr>
        <w:t xml:space="preserve">”), which shall be set forth on the applicable Pricing Addendum or Order and updated from time to time in accordance herewith. References to the initial Specifications for Product to be purchased hereunder are set forth on </w:t>
      </w:r>
      <w:r>
        <w:rPr>
          <w:rFonts w:ascii="Arial" w:cs="Arial" w:eastAsia="Arial" w:hAnsi="Arial"/>
          <w:sz w:val="13"/>
          <w:szCs w:val="13"/>
          <w:b w:val="1"/>
          <w:bCs w:val="1"/>
          <w:u w:val="single" w:color="auto"/>
          <w:color w:val="auto"/>
        </w:rPr>
        <w:t>Exhibit E</w:t>
      </w:r>
      <w:r>
        <w:rPr>
          <w:rFonts w:ascii="Arial" w:cs="Arial" w:eastAsia="Arial" w:hAnsi="Arial"/>
          <w:sz w:val="13"/>
          <w:szCs w:val="13"/>
          <w:color w:val="auto"/>
        </w:rPr>
        <w:t xml:space="preserve"> hereto and shall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3 of #23</w:t>
      </w:r>
    </w:p>
    <w:p>
      <w:pPr>
        <w:spacing w:after="0" w:line="92" w:lineRule="exact"/>
        <w:rPr>
          <w:sz w:val="20"/>
          <w:szCs w:val="20"/>
          <w:color w:val="auto"/>
        </w:rPr>
      </w:pPr>
    </w:p>
    <w:p>
      <w:pPr>
        <w:ind w:left="180" w:hanging="173"/>
        <w:spacing w:after="0"/>
        <w:tabs>
          <w:tab w:leader="none" w:pos="1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75" w:name="page76"/>
    <w:bookmarkEnd w:id="75"/>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720"/>
        <w:spacing w:after="0" w:line="262" w:lineRule="auto"/>
        <w:rPr>
          <w:sz w:val="20"/>
          <w:szCs w:val="20"/>
          <w:color w:val="auto"/>
        </w:rPr>
      </w:pPr>
      <w:r>
        <w:rPr>
          <w:rFonts w:ascii="Arial" w:cs="Arial" w:eastAsia="Arial" w:hAnsi="Arial"/>
          <w:sz w:val="13"/>
          <w:szCs w:val="13"/>
          <w:color w:val="auto"/>
        </w:rPr>
        <w:t>delivered to Supplier by or promptly following the Effective Date of this Agreement. The Specifications may be paper documents, electronic documents or other appropriate media. Supplier shall deliver the Product in full conformance to the Specifications. The parties may change the Specifications from time to time by mutual written agreement. A Product that does not conform with the Specifications and applicable laws at the time it is delivered to SI-BONE is referred to in this Agreement as a “</w:t>
      </w:r>
      <w:r>
        <w:rPr>
          <w:rFonts w:ascii="Arial" w:cs="Arial" w:eastAsia="Arial" w:hAnsi="Arial"/>
          <w:sz w:val="13"/>
          <w:szCs w:val="13"/>
          <w:b w:val="1"/>
          <w:bCs w:val="1"/>
          <w:i w:val="1"/>
          <w:iCs w:val="1"/>
          <w:color w:val="auto"/>
        </w:rPr>
        <w:t>Nonconforming Product</w:t>
      </w:r>
      <w:r>
        <w:rPr>
          <w:rFonts w:ascii="Arial" w:cs="Arial" w:eastAsia="Arial" w:hAnsi="Arial"/>
          <w:sz w:val="13"/>
          <w:szCs w:val="13"/>
          <w:color w:val="auto"/>
        </w:rPr>
        <w:t>,” and such Product shall be regarded as having a “</w:t>
      </w:r>
      <w:r>
        <w:rPr>
          <w:rFonts w:ascii="Arial" w:cs="Arial" w:eastAsia="Arial" w:hAnsi="Arial"/>
          <w:sz w:val="13"/>
          <w:szCs w:val="13"/>
          <w:b w:val="1"/>
          <w:bCs w:val="1"/>
          <w:i w:val="1"/>
          <w:iCs w:val="1"/>
          <w:color w:val="auto"/>
        </w:rPr>
        <w:t>Nonconformity</w:t>
      </w:r>
      <w:r>
        <w:rPr>
          <w:rFonts w:ascii="Arial" w:cs="Arial" w:eastAsia="Arial" w:hAnsi="Arial"/>
          <w:sz w:val="13"/>
          <w:szCs w:val="13"/>
          <w:color w:val="auto"/>
        </w:rPr>
        <w:t>.” SI-BONE may amend or modify the Specifications from time to time in accordance with Section 6 and shall give prompt written notice of such change(s) to the Supplier provided that Supplier will have the right to reasonably adjust the Product price to the extent that the changes made by SI-BONE affect the material, manufacturing or quality costs.</w:t>
      </w:r>
    </w:p>
    <w:p>
      <w:pPr>
        <w:spacing w:after="0" w:line="132" w:lineRule="exact"/>
        <w:rPr>
          <w:sz w:val="20"/>
          <w:szCs w:val="20"/>
          <w:color w:val="auto"/>
        </w:rPr>
      </w:pPr>
    </w:p>
    <w:p>
      <w:pPr>
        <w:jc w:val="both"/>
        <w:ind w:left="720" w:hanging="361"/>
        <w:spacing w:after="0" w:line="262" w:lineRule="auto"/>
        <w:tabs>
          <w:tab w:leader="none" w:pos="700" w:val="left"/>
        </w:tabs>
        <w:rPr>
          <w:sz w:val="20"/>
          <w:szCs w:val="20"/>
          <w:color w:val="auto"/>
        </w:rPr>
      </w:pPr>
      <w:r>
        <w:rPr>
          <w:rFonts w:ascii="Arial" w:cs="Arial" w:eastAsia="Arial" w:hAnsi="Arial"/>
          <w:sz w:val="13"/>
          <w:szCs w:val="13"/>
          <w:b w:val="1"/>
          <w:bCs w:val="1"/>
          <w:color w:val="auto"/>
        </w:rPr>
        <w:t>4.3.</w:t>
      </w:r>
      <w:r>
        <w:rPr>
          <w:sz w:val="20"/>
          <w:szCs w:val="20"/>
          <w:color w:val="auto"/>
        </w:rPr>
        <w:tab/>
      </w:r>
      <w:r>
        <w:rPr>
          <w:rFonts w:ascii="Arial" w:cs="Arial" w:eastAsia="Arial" w:hAnsi="Arial"/>
          <w:sz w:val="13"/>
          <w:szCs w:val="13"/>
          <w:b w:val="1"/>
          <w:bCs w:val="1"/>
          <w:u w:val="single" w:color="auto"/>
          <w:color w:val="auto"/>
        </w:rPr>
        <w:t>Implementation of Quality Control and Risk Management Program</w:t>
      </w:r>
      <w:r>
        <w:rPr>
          <w:rFonts w:ascii="Arial" w:cs="Arial" w:eastAsia="Arial" w:hAnsi="Arial"/>
          <w:sz w:val="13"/>
          <w:szCs w:val="13"/>
          <w:color w:val="auto"/>
        </w:rPr>
        <w:t>. At all times during the Term, Supplier shall submit to and comply with SI-BONE’s vendor qualification</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requirements, including ISO 13485 certification, FDA registration, the requirements set forth in this Section 4.3, and such other reasonable requirements that SI-BONE may establish from time to time (“</w:t>
      </w:r>
      <w:r>
        <w:rPr>
          <w:rFonts w:ascii="Arial" w:cs="Arial" w:eastAsia="Arial" w:hAnsi="Arial"/>
          <w:sz w:val="13"/>
          <w:szCs w:val="13"/>
          <w:b w:val="1"/>
          <w:bCs w:val="1"/>
          <w:i w:val="1"/>
          <w:iCs w:val="1"/>
          <w:color w:val="auto"/>
        </w:rPr>
        <w:t>Qualification Requirements</w:t>
      </w:r>
      <w:r>
        <w:rPr>
          <w:rFonts w:ascii="Arial" w:cs="Arial" w:eastAsia="Arial" w:hAnsi="Arial"/>
          <w:sz w:val="13"/>
          <w:szCs w:val="13"/>
          <w:color w:val="auto"/>
        </w:rPr>
        <w:t>”). In addition, Supplier shall maintain and comply with a quality control program that conforms with all applicable laws and is consistent with current good manufacturing practices applicable to Products (“</w:t>
      </w:r>
      <w:r>
        <w:rPr>
          <w:rFonts w:ascii="Arial" w:cs="Arial" w:eastAsia="Arial" w:hAnsi="Arial"/>
          <w:sz w:val="13"/>
          <w:szCs w:val="13"/>
          <w:b w:val="1"/>
          <w:bCs w:val="1"/>
          <w:i w:val="1"/>
          <w:iCs w:val="1"/>
          <w:color w:val="auto"/>
        </w:rPr>
        <w:t>GMPs</w:t>
      </w:r>
      <w:r>
        <w:rPr>
          <w:rFonts w:ascii="Arial" w:cs="Arial" w:eastAsia="Arial" w:hAnsi="Arial"/>
          <w:sz w:val="13"/>
          <w:szCs w:val="13"/>
          <w:color w:val="auto"/>
        </w:rPr>
        <w:t>”) and is effective during the remainder of the Term and as required by any governmental or quasi-governmental agency having regulatory authority over the Products, including, without limitation, 21 CFR Part 820, the current released versions of ISO 13485 and 14971, the Medical Device Directive 93/42/EEC and the Medical Device Regulation (MDR EU 2017/745) , and shall establish and maintain procedures for identifying with a control number each unit, lot, or batch of “finished Products” and where appropriate components of such “finished Products” (collectively, the “</w:t>
      </w:r>
      <w:r>
        <w:rPr>
          <w:rFonts w:ascii="Arial" w:cs="Arial" w:eastAsia="Arial" w:hAnsi="Arial"/>
          <w:sz w:val="13"/>
          <w:szCs w:val="13"/>
          <w:b w:val="1"/>
          <w:bCs w:val="1"/>
          <w:i w:val="1"/>
          <w:iCs w:val="1"/>
          <w:color w:val="auto"/>
        </w:rPr>
        <w:t>Quality Management</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System</w:t>
      </w:r>
      <w:r>
        <w:rPr>
          <w:rFonts w:ascii="Arial" w:cs="Arial" w:eastAsia="Arial" w:hAnsi="Arial"/>
          <w:sz w:val="13"/>
          <w:szCs w:val="13"/>
          <w:color w:val="auto"/>
        </w:rPr>
        <w:t>”). In addition, Supplier shall maintain a risk management system (the “</w:t>
      </w:r>
      <w:r>
        <w:rPr>
          <w:rFonts w:ascii="Arial" w:cs="Arial" w:eastAsia="Arial" w:hAnsi="Arial"/>
          <w:sz w:val="13"/>
          <w:szCs w:val="13"/>
          <w:b w:val="1"/>
          <w:bCs w:val="1"/>
          <w:i w:val="1"/>
          <w:iCs w:val="1"/>
          <w:color w:val="auto"/>
        </w:rPr>
        <w:t>RMS</w:t>
      </w:r>
      <w:r>
        <w:rPr>
          <w:rFonts w:ascii="Arial" w:cs="Arial" w:eastAsia="Arial" w:hAnsi="Arial"/>
          <w:sz w:val="13"/>
          <w:szCs w:val="13"/>
          <w:color w:val="auto"/>
        </w:rPr>
        <w:t>”) which is integrated into its Quality Management System (the</w:t>
      </w:r>
      <w:r>
        <w:rPr>
          <w:rFonts w:ascii="Arial" w:cs="Arial" w:eastAsia="Arial" w:hAnsi="Arial"/>
          <w:sz w:val="13"/>
          <w:szCs w:val="13"/>
          <w:b w:val="1"/>
          <w:bCs w:val="1"/>
          <w:i w:val="1"/>
          <w:iCs w:val="1"/>
          <w:color w:val="auto"/>
        </w:rPr>
        <w:t xml:space="preserve"> “QMS”</w:t>
      </w:r>
      <w:r>
        <w:rPr>
          <w:rFonts w:ascii="Arial" w:cs="Arial" w:eastAsia="Arial" w:hAnsi="Arial"/>
          <w:sz w:val="13"/>
          <w:szCs w:val="13"/>
          <w:color w:val="auto"/>
        </w:rPr>
        <w:t>). Supplier shall notify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SI-BONE of revisions to its manufacturing procedures to the extent necessary to remain in compliance with the Qualification Requirements, GMPs or RMS, as applicable, in accordance with this Section 4.3; provided, however, that Supplier may not make any changes to its manufacturing procedures that are inconsistent with the Specifications without the prior written consent of SI-BONE. Supplier shall also have a quality agreement with each Approved Vendor and Approved Subcontractor. Upon SI-BONE’s request, Supplier will provide a copy of such quality agreement(s).</w:t>
      </w:r>
    </w:p>
    <w:p>
      <w:pPr>
        <w:spacing w:after="0" w:line="299" w:lineRule="exact"/>
        <w:rPr>
          <w:sz w:val="20"/>
          <w:szCs w:val="20"/>
          <w:color w:val="auto"/>
        </w:rPr>
      </w:pPr>
    </w:p>
    <w:p>
      <w:pPr>
        <w:jc w:val="both"/>
        <w:ind w:left="720" w:hanging="361"/>
        <w:spacing w:after="0" w:line="303" w:lineRule="auto"/>
        <w:tabs>
          <w:tab w:leader="none" w:pos="700" w:val="left"/>
        </w:tabs>
        <w:rPr>
          <w:sz w:val="20"/>
          <w:szCs w:val="20"/>
          <w:color w:val="auto"/>
        </w:rPr>
      </w:pPr>
      <w:r>
        <w:rPr>
          <w:rFonts w:ascii="Arial" w:cs="Arial" w:eastAsia="Arial" w:hAnsi="Arial"/>
          <w:sz w:val="13"/>
          <w:szCs w:val="13"/>
          <w:b w:val="1"/>
          <w:bCs w:val="1"/>
          <w:color w:val="auto"/>
        </w:rPr>
        <w:t>4.4.</w:t>
      </w:r>
      <w:r>
        <w:rPr>
          <w:sz w:val="20"/>
          <w:szCs w:val="20"/>
          <w:color w:val="auto"/>
        </w:rPr>
        <w:tab/>
      </w:r>
      <w:r>
        <w:rPr>
          <w:rFonts w:ascii="Arial" w:cs="Arial" w:eastAsia="Arial" w:hAnsi="Arial"/>
          <w:sz w:val="13"/>
          <w:szCs w:val="13"/>
          <w:b w:val="1"/>
          <w:bCs w:val="1"/>
          <w:u w:val="single" w:color="auto"/>
          <w:color w:val="auto"/>
        </w:rPr>
        <w:t>Process Validation/Software Validation</w:t>
      </w:r>
      <w:r>
        <w:rPr>
          <w:rFonts w:ascii="Arial" w:cs="Arial" w:eastAsia="Arial" w:hAnsi="Arial"/>
          <w:sz w:val="13"/>
          <w:szCs w:val="13"/>
          <w:color w:val="auto"/>
        </w:rPr>
        <w:t>. Supplier agrees that all special processes and software-controlled equipment, as defined below, applicable to the Product shall be</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validated by the Supplier in accordance with 21 CFR Part 820 Sec. 820. 75 and ISO 13485:2016.</w:t>
      </w:r>
    </w:p>
    <w:p>
      <w:pPr>
        <w:spacing w:after="0" w:line="122" w:lineRule="exact"/>
        <w:rPr>
          <w:sz w:val="20"/>
          <w:szCs w:val="20"/>
          <w:color w:val="auto"/>
        </w:rPr>
      </w:pPr>
    </w:p>
    <w:p>
      <w:pPr>
        <w:ind w:left="980" w:hanging="255"/>
        <w:spacing w:after="0"/>
        <w:tabs>
          <w:tab w:leader="none" w:pos="9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Examples of special processes include but are not limited to: Formulation, QC tests, chemical tests, etc.</w:t>
      </w:r>
    </w:p>
    <w:p>
      <w:pPr>
        <w:spacing w:after="0" w:line="172" w:lineRule="exact"/>
        <w:rPr>
          <w:rFonts w:ascii="Arial" w:cs="Arial" w:eastAsia="Arial" w:hAnsi="Arial"/>
          <w:sz w:val="13"/>
          <w:szCs w:val="13"/>
          <w:color w:val="auto"/>
        </w:rPr>
      </w:pPr>
    </w:p>
    <w:p>
      <w:pPr>
        <w:ind w:left="960" w:hanging="235"/>
        <w:spacing w:after="0"/>
        <w:tabs>
          <w:tab w:leader="none" w:pos="9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Examples of software-controlled equipment include but are not limited to: automated inspection, measuring equipment, automated assembly equipment, labeling, etc.</w:t>
      </w:r>
    </w:p>
    <w:p>
      <w:pPr>
        <w:spacing w:after="0" w:line="157" w:lineRule="exact"/>
        <w:rPr>
          <w:sz w:val="20"/>
          <w:szCs w:val="20"/>
          <w:color w:val="auto"/>
        </w:rPr>
      </w:pPr>
    </w:p>
    <w:p>
      <w:pPr>
        <w:jc w:val="both"/>
        <w:ind w:left="720" w:hanging="361"/>
        <w:spacing w:after="0" w:line="281" w:lineRule="auto"/>
        <w:tabs>
          <w:tab w:leader="none" w:pos="700" w:val="left"/>
        </w:tabs>
        <w:rPr>
          <w:sz w:val="20"/>
          <w:szCs w:val="20"/>
          <w:color w:val="auto"/>
        </w:rPr>
      </w:pPr>
      <w:r>
        <w:rPr>
          <w:rFonts w:ascii="Arial" w:cs="Arial" w:eastAsia="Arial" w:hAnsi="Arial"/>
          <w:sz w:val="13"/>
          <w:szCs w:val="13"/>
          <w:b w:val="1"/>
          <w:bCs w:val="1"/>
          <w:color w:val="auto"/>
        </w:rPr>
        <w:t>4.5.</w:t>
      </w:r>
      <w:r>
        <w:rPr>
          <w:sz w:val="20"/>
          <w:szCs w:val="20"/>
          <w:color w:val="auto"/>
        </w:rPr>
        <w:tab/>
      </w:r>
      <w:r>
        <w:rPr>
          <w:rFonts w:ascii="Arial" w:cs="Arial" w:eastAsia="Arial" w:hAnsi="Arial"/>
          <w:sz w:val="13"/>
          <w:szCs w:val="13"/>
          <w:b w:val="1"/>
          <w:bCs w:val="1"/>
          <w:u w:val="single" w:color="auto"/>
          <w:color w:val="auto"/>
        </w:rPr>
        <w:t>Notification of Nonconformity</w:t>
      </w:r>
      <w:r>
        <w:rPr>
          <w:rFonts w:ascii="Arial" w:cs="Arial" w:eastAsia="Arial" w:hAnsi="Arial"/>
          <w:sz w:val="13"/>
          <w:szCs w:val="13"/>
          <w:color w:val="auto"/>
        </w:rPr>
        <w:t>. Supplier agrees to promptly notify SI-BONE in writing after Supplier obtains knowledge of its delivery to SI-BONE of any Nonconforming Product.</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In addition to the foregoing, Supplier shall notify SI-BONE within (a) [*] of learning of any situation which may require a recall of Products and (b) [*] of obtaining knowledge of any failure of any batch of Products to meet the standards set forth in this Section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4 of #23</w:t>
      </w:r>
    </w:p>
    <w:p>
      <w:pPr>
        <w:spacing w:after="0" w:line="92" w:lineRule="exact"/>
        <w:rPr>
          <w:sz w:val="20"/>
          <w:szCs w:val="20"/>
          <w:color w:val="auto"/>
        </w:rPr>
      </w:pPr>
    </w:p>
    <w:p>
      <w:pPr>
        <w:ind w:left="180" w:hanging="173"/>
        <w:spacing w:after="0"/>
        <w:tabs>
          <w:tab w:leader="none" w:pos="1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76" w:name="page77"/>
    <w:bookmarkEnd w:id="76"/>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20" w:hanging="361"/>
        <w:spacing w:after="0" w:line="265" w:lineRule="auto"/>
        <w:tabs>
          <w:tab w:leader="none" w:pos="700" w:val="left"/>
        </w:tabs>
        <w:rPr>
          <w:sz w:val="20"/>
          <w:szCs w:val="20"/>
          <w:color w:val="auto"/>
        </w:rPr>
      </w:pPr>
      <w:r>
        <w:rPr>
          <w:rFonts w:ascii="Arial" w:cs="Arial" w:eastAsia="Arial" w:hAnsi="Arial"/>
          <w:sz w:val="13"/>
          <w:szCs w:val="13"/>
          <w:b w:val="1"/>
          <w:bCs w:val="1"/>
          <w:color w:val="auto"/>
        </w:rPr>
        <w:t>4.6.</w:t>
      </w:r>
      <w:r>
        <w:rPr>
          <w:sz w:val="20"/>
          <w:szCs w:val="20"/>
          <w:color w:val="auto"/>
        </w:rPr>
        <w:tab/>
      </w:r>
      <w:r>
        <w:rPr>
          <w:rFonts w:ascii="Arial" w:cs="Arial" w:eastAsia="Arial" w:hAnsi="Arial"/>
          <w:sz w:val="13"/>
          <w:szCs w:val="13"/>
          <w:b w:val="1"/>
          <w:bCs w:val="1"/>
          <w:u w:val="single" w:color="auto"/>
          <w:color w:val="auto"/>
        </w:rPr>
        <w:t>Acceptance; Remedy for Nonconforming Products</w:t>
      </w:r>
      <w:r>
        <w:rPr>
          <w:rFonts w:ascii="Arial" w:cs="Arial" w:eastAsia="Arial" w:hAnsi="Arial"/>
          <w:sz w:val="13"/>
          <w:szCs w:val="13"/>
          <w:color w:val="auto"/>
        </w:rPr>
        <w:t>. All Products are subject to SI-BONE’s inspection prior to acceptance. SI-BONE shall have [*] from delivery to reject</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Nonconforming Products. Upon detection of any Nonconformity, SI-BONE shall give written notice (which may be given by e-mail) to Supplier specifying the nature and type of alleged Nonconformity and Supplier will evaluate the alleged Nonconformity including samples of the Nonconforming Product if requested by the Supplier. Upon agreement between the parties that the Product is Nonconforming to the Specification, Supplier shall replace such Product free of charge, and Supplier shall cover expenses including freight, if any, in connection with</w:t>
      </w:r>
    </w:p>
    <w:p>
      <w:pPr>
        <w:jc w:val="both"/>
        <w:ind w:left="720" w:firstLine="5"/>
        <w:spacing w:after="0" w:line="268" w:lineRule="auto"/>
        <w:tabs>
          <w:tab w:leader="none" w:pos="913" w:val="left"/>
        </w:tabs>
        <w:numPr>
          <w:ilvl w:val="0"/>
          <w:numId w:val="48"/>
        </w:numPr>
        <w:rPr>
          <w:rFonts w:ascii="Arial" w:cs="Arial" w:eastAsia="Arial" w:hAnsi="Arial"/>
          <w:sz w:val="13"/>
          <w:szCs w:val="13"/>
          <w:color w:val="auto"/>
        </w:rPr>
      </w:pPr>
      <w:r>
        <w:rPr>
          <w:rFonts w:ascii="Arial" w:cs="Arial" w:eastAsia="Arial" w:hAnsi="Arial"/>
          <w:sz w:val="13"/>
          <w:szCs w:val="13"/>
          <w:color w:val="auto"/>
        </w:rPr>
        <w:t>shipment of replacement Product to the same location and (b) shipment of the Nonconforming Product back to Supplier (if so requested by Supplier). In the absence of such agreement between the parties or if the Supplier is unable to replace properly rejected Nonconforming Products within [*], SI-BONE may request a credit, or if payment has been made reimbursement for, the Nonconforming Product and may, at its discretion, discontinue the purchase of the Product from Supplier and terminate this Agreement.</w:t>
      </w:r>
    </w:p>
    <w:p>
      <w:pPr>
        <w:spacing w:after="0" w:line="128" w:lineRule="exact"/>
        <w:rPr>
          <w:sz w:val="20"/>
          <w:szCs w:val="20"/>
          <w:color w:val="auto"/>
        </w:rPr>
      </w:pPr>
    </w:p>
    <w:p>
      <w:pPr>
        <w:jc w:val="both"/>
        <w:ind w:left="720" w:hanging="361"/>
        <w:spacing w:after="0" w:line="266" w:lineRule="auto"/>
        <w:tabs>
          <w:tab w:leader="none" w:pos="700" w:val="left"/>
        </w:tabs>
        <w:rPr>
          <w:sz w:val="20"/>
          <w:szCs w:val="20"/>
          <w:color w:val="auto"/>
        </w:rPr>
      </w:pPr>
      <w:r>
        <w:rPr>
          <w:rFonts w:ascii="Arial" w:cs="Arial" w:eastAsia="Arial" w:hAnsi="Arial"/>
          <w:sz w:val="13"/>
          <w:szCs w:val="13"/>
          <w:b w:val="1"/>
          <w:bCs w:val="1"/>
          <w:color w:val="auto"/>
        </w:rPr>
        <w:t>4.7.</w:t>
      </w:r>
      <w:r>
        <w:rPr>
          <w:sz w:val="20"/>
          <w:szCs w:val="20"/>
          <w:color w:val="auto"/>
        </w:rPr>
        <w:tab/>
      </w:r>
      <w:r>
        <w:rPr>
          <w:rFonts w:ascii="Arial" w:cs="Arial" w:eastAsia="Arial" w:hAnsi="Arial"/>
          <w:sz w:val="13"/>
          <w:szCs w:val="13"/>
          <w:b w:val="1"/>
          <w:bCs w:val="1"/>
          <w:u w:val="single" w:color="auto"/>
          <w:color w:val="auto"/>
        </w:rPr>
        <w:t>Latent Nonconformities</w:t>
      </w:r>
      <w:r>
        <w:rPr>
          <w:rFonts w:ascii="Arial" w:cs="Arial" w:eastAsia="Arial" w:hAnsi="Arial"/>
          <w:sz w:val="13"/>
          <w:szCs w:val="13"/>
          <w:color w:val="auto"/>
        </w:rPr>
        <w:t>. Within the Warranty Period defined in 4.13, latent Nonconformities and Nonconformities not discovered by SI-BONE pursuant to Section 4.5 through</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the use of reasonable inspection methods and procedures will be reported to the Supplier by SI-BONE within [*] following detection of any Nonconformity specifying the nature and type of alleged Nonconformity. Supplier will evaluate the alleged Nonconformity including samples of the Nonconforming Product if requested by the Supplier. Upon agreement between the parties that the Product is Nonconforming to the Specification, Supplier will replace such Product free of charge, and Supplier shall cover expenses including freight, if any, in connection with (a) shipment of replacement Product to the same location and (b) shipment of the Nonconforming Product back to Supplier (if so requested by Supplier). In the absence of such agreement between the parties or if the Supplier is unable to replace properly rejected Nonconforming Products within [*], Supplier shall issue a credit if payment has already been made for the Nonconforming Product, and SI-BONE may, at its discretion, discontinue the purchase of the Product from Supplier and terminate this Agreement.</w:t>
      </w:r>
    </w:p>
    <w:p>
      <w:pPr>
        <w:spacing w:after="0" w:line="129" w:lineRule="exact"/>
        <w:rPr>
          <w:sz w:val="20"/>
          <w:szCs w:val="20"/>
          <w:color w:val="auto"/>
        </w:rPr>
      </w:pPr>
    </w:p>
    <w:p>
      <w:pPr>
        <w:jc w:val="both"/>
        <w:ind w:left="720" w:hanging="361"/>
        <w:spacing w:after="0" w:line="273" w:lineRule="auto"/>
        <w:tabs>
          <w:tab w:leader="none" w:pos="700" w:val="left"/>
        </w:tabs>
        <w:rPr>
          <w:sz w:val="20"/>
          <w:szCs w:val="20"/>
          <w:color w:val="auto"/>
        </w:rPr>
      </w:pPr>
      <w:r>
        <w:rPr>
          <w:rFonts w:ascii="Arial" w:cs="Arial" w:eastAsia="Arial" w:hAnsi="Arial"/>
          <w:sz w:val="13"/>
          <w:szCs w:val="13"/>
          <w:b w:val="1"/>
          <w:bCs w:val="1"/>
          <w:color w:val="auto"/>
        </w:rPr>
        <w:t>4.8.</w:t>
      </w:r>
      <w:r>
        <w:rPr>
          <w:sz w:val="20"/>
          <w:szCs w:val="20"/>
          <w:color w:val="auto"/>
        </w:rPr>
        <w:tab/>
      </w:r>
      <w:r>
        <w:rPr>
          <w:rFonts w:ascii="Arial" w:cs="Arial" w:eastAsia="Arial" w:hAnsi="Arial"/>
          <w:sz w:val="13"/>
          <w:szCs w:val="13"/>
          <w:b w:val="1"/>
          <w:bCs w:val="1"/>
          <w:u w:val="single" w:color="auto"/>
          <w:color w:val="auto"/>
        </w:rPr>
        <w:t>Qualification of Approved Vendors and Approved Subcontractors</w:t>
      </w:r>
      <w:r>
        <w:rPr>
          <w:rFonts w:ascii="Arial" w:cs="Arial" w:eastAsia="Arial" w:hAnsi="Arial"/>
          <w:sz w:val="13"/>
          <w:szCs w:val="13"/>
          <w:color w:val="auto"/>
        </w:rPr>
        <w:t>. When requested to do so by SI-BONE, or otherwise required to do so by this Agreement, Supplier shall</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utilize its Purchasing Control/Vendor Qualification processes and procedures in effect at the time, to qualify third party suppliers and/or third party manufacturers to manufacture and provide components, parts or sub-assemblies for the Product, or to manufacture and supply the Product to SI-BONE. Supplier may, but is not necessarily required to, qualify the Approved Vendors and Approved Subcontractors.</w:t>
      </w:r>
    </w:p>
    <w:p>
      <w:pPr>
        <w:spacing w:after="0" w:line="125" w:lineRule="exact"/>
        <w:rPr>
          <w:sz w:val="20"/>
          <w:szCs w:val="20"/>
          <w:color w:val="auto"/>
        </w:rPr>
      </w:pPr>
    </w:p>
    <w:p>
      <w:pPr>
        <w:jc w:val="both"/>
        <w:ind w:left="720" w:hanging="361"/>
        <w:spacing w:after="0" w:line="268" w:lineRule="auto"/>
        <w:tabs>
          <w:tab w:leader="none" w:pos="700" w:val="left"/>
        </w:tabs>
        <w:rPr>
          <w:sz w:val="20"/>
          <w:szCs w:val="20"/>
          <w:color w:val="auto"/>
        </w:rPr>
      </w:pPr>
      <w:r>
        <w:rPr>
          <w:rFonts w:ascii="Arial" w:cs="Arial" w:eastAsia="Arial" w:hAnsi="Arial"/>
          <w:sz w:val="13"/>
          <w:szCs w:val="13"/>
          <w:b w:val="1"/>
          <w:bCs w:val="1"/>
          <w:color w:val="auto"/>
        </w:rPr>
        <w:t>4.9.</w:t>
      </w:r>
      <w:r>
        <w:rPr>
          <w:sz w:val="20"/>
          <w:szCs w:val="20"/>
          <w:color w:val="auto"/>
        </w:rPr>
        <w:tab/>
      </w:r>
      <w:r>
        <w:rPr>
          <w:rFonts w:ascii="Arial" w:cs="Arial" w:eastAsia="Arial" w:hAnsi="Arial"/>
          <w:sz w:val="13"/>
          <w:szCs w:val="13"/>
          <w:b w:val="1"/>
          <w:bCs w:val="1"/>
          <w:u w:val="single" w:color="auto"/>
          <w:color w:val="auto"/>
        </w:rPr>
        <w:t>Audits</w:t>
      </w:r>
      <w:r>
        <w:rPr>
          <w:rFonts w:ascii="Arial" w:cs="Arial" w:eastAsia="Arial" w:hAnsi="Arial"/>
          <w:sz w:val="13"/>
          <w:szCs w:val="13"/>
          <w:color w:val="auto"/>
        </w:rPr>
        <w:t>. SI-BONE shall have the right, but not the obligation, at its expense, to audit, or have audited, Supplier’s facilities, and plants that are used to manufacture and store the</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Products. Such audits will be conducted during Supplier’s normal business hours by SI-BONE or its designee. Supplier shall issue a plan to determine the correction, cause, and corrective action for any negative finding of any audit report issued by SI-BONE within [*] of such audit report’s issue date. Supplier shall facilitate SI-BONE, or its authorized representative, to perform audits of any third-party supplier’s facilities, systems, documentation, and other requirements related to this Agreement at mutually agreed dates and times. Supplier, SI-BONE, any outside auditor, and such third-party supplier shall agree on reasonable methods to protect intellectual property, such as non-disclosure agreement or the like.</w:t>
      </w:r>
    </w:p>
    <w:p>
      <w:pPr>
        <w:spacing w:after="0" w:line="293" w:lineRule="exact"/>
        <w:rPr>
          <w:sz w:val="20"/>
          <w:szCs w:val="20"/>
          <w:color w:val="auto"/>
        </w:rPr>
      </w:pPr>
    </w:p>
    <w:p>
      <w:pPr>
        <w:jc w:val="both"/>
        <w:ind w:left="720" w:hanging="361"/>
        <w:spacing w:after="0" w:line="303" w:lineRule="auto"/>
        <w:rPr>
          <w:sz w:val="20"/>
          <w:szCs w:val="20"/>
          <w:color w:val="auto"/>
        </w:rPr>
      </w:pPr>
      <w:r>
        <w:rPr>
          <w:rFonts w:ascii="Arial" w:cs="Arial" w:eastAsia="Arial" w:hAnsi="Arial"/>
          <w:sz w:val="13"/>
          <w:szCs w:val="13"/>
          <w:b w:val="1"/>
          <w:bCs w:val="1"/>
          <w:color w:val="auto"/>
        </w:rPr>
        <w:t xml:space="preserve">4.10. </w:t>
      </w:r>
      <w:r>
        <w:rPr>
          <w:rFonts w:ascii="Arial" w:cs="Arial" w:eastAsia="Arial" w:hAnsi="Arial"/>
          <w:sz w:val="13"/>
          <w:szCs w:val="13"/>
          <w:b w:val="1"/>
          <w:bCs w:val="1"/>
          <w:u w:val="single" w:color="auto"/>
          <w:color w:val="auto"/>
        </w:rPr>
        <w:t>Third Party Sterilization and Laboratory Testing</w:t>
      </w:r>
      <w:r>
        <w:rPr>
          <w:rFonts w:ascii="Arial" w:cs="Arial" w:eastAsia="Arial" w:hAnsi="Arial"/>
          <w:sz w:val="13"/>
          <w:szCs w:val="13"/>
          <w:color w:val="auto"/>
        </w:rPr>
        <w:t>. Supplier shall have qualified, as defined by SI-BONE, and have quality agreements with any third party sterilizer or</w:t>
      </w:r>
      <w:r>
        <w:rPr>
          <w:rFonts w:ascii="Arial" w:cs="Arial" w:eastAsia="Arial" w:hAnsi="Arial"/>
          <w:sz w:val="13"/>
          <w:szCs w:val="13"/>
          <w:b w:val="1"/>
          <w:bCs w:val="1"/>
          <w:color w:val="auto"/>
        </w:rPr>
        <w:t xml:space="preserve"> </w:t>
      </w:r>
      <w:r>
        <w:rPr>
          <w:rFonts w:ascii="Arial" w:cs="Arial" w:eastAsia="Arial" w:hAnsi="Arial"/>
          <w:sz w:val="13"/>
          <w:szCs w:val="13"/>
          <w:color w:val="auto"/>
        </w:rPr>
        <w:t>laboratories that will provide services under this Agreement, including sterilizers and laboratories listed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5 of #23</w:t>
      </w:r>
    </w:p>
    <w:p>
      <w:pPr>
        <w:spacing w:after="0" w:line="92" w:lineRule="exact"/>
        <w:rPr>
          <w:sz w:val="20"/>
          <w:szCs w:val="20"/>
          <w:color w:val="auto"/>
        </w:rPr>
      </w:pPr>
    </w:p>
    <w:p>
      <w:pPr>
        <w:ind w:left="180" w:hanging="173"/>
        <w:spacing w:after="0"/>
        <w:tabs>
          <w:tab w:leader="none" w:pos="1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77" w:name="page78"/>
    <w:bookmarkEnd w:id="77"/>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20"/>
        <w:spacing w:after="0" w:line="269" w:lineRule="auto"/>
        <w:rPr>
          <w:sz w:val="20"/>
          <w:szCs w:val="20"/>
          <w:color w:val="auto"/>
        </w:rPr>
      </w:pPr>
      <w:r>
        <w:rPr>
          <w:rFonts w:ascii="Arial" w:cs="Arial" w:eastAsia="Arial" w:hAnsi="Arial"/>
          <w:sz w:val="13"/>
          <w:szCs w:val="13"/>
          <w:color w:val="auto"/>
        </w:rPr>
        <w:t xml:space="preserve">Approved Subcontractors in </w:t>
      </w:r>
      <w:r>
        <w:rPr>
          <w:rFonts w:ascii="Arial" w:cs="Arial" w:eastAsia="Arial" w:hAnsi="Arial"/>
          <w:sz w:val="13"/>
          <w:szCs w:val="13"/>
          <w:b w:val="1"/>
          <w:bCs w:val="1"/>
          <w:u w:val="single" w:color="auto"/>
          <w:color w:val="auto"/>
        </w:rPr>
        <w:t>Exhibit C</w:t>
      </w:r>
      <w:r>
        <w:rPr>
          <w:rFonts w:ascii="Arial" w:cs="Arial" w:eastAsia="Arial" w:hAnsi="Arial"/>
          <w:sz w:val="13"/>
          <w:szCs w:val="13"/>
          <w:color w:val="auto"/>
        </w:rPr>
        <w:t>. Supplier shall audit and verify such sterilizers and laboratories maintain and comply with quality control programs that conform with the applicable requirements. In addition, upon SI-BONE’s request, Supplier will (i) provide the audit schedule and allow SI-BONE to attend the audit of such sterilizer or laboratory, and/or (ii) provide a copy of the audit results and corrective action plan(s), if any. In the case of EO sterilization, if applicable, Supplier shall perform [*] process reviews of the sterilizer providing EO sterilization to determine the need for requalification of such EO sterilizer. Documentation of the [*] review shall be provided to the Company within [*] of completion of the [*] review.</w:t>
      </w:r>
    </w:p>
    <w:p>
      <w:pPr>
        <w:spacing w:after="0" w:line="129" w:lineRule="exact"/>
        <w:rPr>
          <w:sz w:val="20"/>
          <w:szCs w:val="20"/>
          <w:color w:val="auto"/>
        </w:rPr>
      </w:pPr>
    </w:p>
    <w:p>
      <w:pPr>
        <w:jc w:val="both"/>
        <w:ind w:left="720" w:hanging="361"/>
        <w:spacing w:after="0" w:line="268" w:lineRule="auto"/>
        <w:rPr>
          <w:sz w:val="20"/>
          <w:szCs w:val="20"/>
          <w:color w:val="auto"/>
        </w:rPr>
      </w:pPr>
      <w:r>
        <w:rPr>
          <w:rFonts w:ascii="Arial" w:cs="Arial" w:eastAsia="Arial" w:hAnsi="Arial"/>
          <w:sz w:val="13"/>
          <w:szCs w:val="13"/>
          <w:b w:val="1"/>
          <w:bCs w:val="1"/>
          <w:color w:val="auto"/>
        </w:rPr>
        <w:t xml:space="preserve">4.11. </w:t>
      </w:r>
      <w:r>
        <w:rPr>
          <w:rFonts w:ascii="Arial" w:cs="Arial" w:eastAsia="Arial" w:hAnsi="Arial"/>
          <w:sz w:val="13"/>
          <w:szCs w:val="13"/>
          <w:b w:val="1"/>
          <w:bCs w:val="1"/>
          <w:u w:val="single" w:color="auto"/>
          <w:color w:val="auto"/>
        </w:rPr>
        <w:t>Inspections</w:t>
      </w:r>
      <w:r>
        <w:rPr>
          <w:rFonts w:ascii="Arial" w:cs="Arial" w:eastAsia="Arial" w:hAnsi="Arial"/>
          <w:sz w:val="13"/>
          <w:szCs w:val="13"/>
          <w:color w:val="auto"/>
        </w:rPr>
        <w:t>. Supplier shall promptly notify SI-BONE of any inspections, audits, formal visits, etc. of any regulator, notified body, or certification body acting in a formal capacity</w:t>
      </w:r>
      <w:r>
        <w:rPr>
          <w:rFonts w:ascii="Arial" w:cs="Arial" w:eastAsia="Arial" w:hAnsi="Arial"/>
          <w:sz w:val="13"/>
          <w:szCs w:val="13"/>
          <w:b w:val="1"/>
          <w:bCs w:val="1"/>
          <w:color w:val="auto"/>
        </w:rPr>
        <w:t xml:space="preserve"> </w:t>
      </w:r>
      <w:r>
        <w:rPr>
          <w:rFonts w:ascii="Arial" w:cs="Arial" w:eastAsia="Arial" w:hAnsi="Arial"/>
          <w:sz w:val="13"/>
          <w:szCs w:val="13"/>
          <w:color w:val="auto"/>
        </w:rPr>
        <w:t>that are related directly to the Product. In the US this includes the Food and Drug Administration. Supplier shall promptly notify SI-BONE of any inspection or audit findings that impact the safety, effectiveness, conformity, or availability of Product Supplier provides to SI-BONE. Supplier agrees that SI-BONE’s notified body may conduct unannounced audits of Supplier in accordance with Annex III of the 24 September 2013 Commission Recommendations, on the audits and assessments performed by notified bodies in the field of medical devices (2013/473/EU), provided that SI-BONE will be responsible for any out-of-pocket costs incurred by Supplier and associated with third party audits performed on SI-BONE’s behalf.</w:t>
      </w:r>
    </w:p>
    <w:p>
      <w:pPr>
        <w:spacing w:after="0" w:line="293" w:lineRule="exact"/>
        <w:rPr>
          <w:sz w:val="20"/>
          <w:szCs w:val="20"/>
          <w:color w:val="auto"/>
        </w:rPr>
      </w:pPr>
    </w:p>
    <w:p>
      <w:pPr>
        <w:jc w:val="both"/>
        <w:ind w:left="720" w:hanging="361"/>
        <w:spacing w:after="0" w:line="268" w:lineRule="auto"/>
        <w:rPr>
          <w:sz w:val="20"/>
          <w:szCs w:val="20"/>
          <w:color w:val="auto"/>
        </w:rPr>
      </w:pPr>
      <w:r>
        <w:rPr>
          <w:rFonts w:ascii="Arial" w:cs="Arial" w:eastAsia="Arial" w:hAnsi="Arial"/>
          <w:sz w:val="13"/>
          <w:szCs w:val="13"/>
          <w:b w:val="1"/>
          <w:bCs w:val="1"/>
          <w:color w:val="auto"/>
        </w:rPr>
        <w:t xml:space="preserve">4.12. </w:t>
      </w:r>
      <w:r>
        <w:rPr>
          <w:rFonts w:ascii="Arial" w:cs="Arial" w:eastAsia="Arial" w:hAnsi="Arial"/>
          <w:sz w:val="13"/>
          <w:szCs w:val="13"/>
          <w:b w:val="1"/>
          <w:bCs w:val="1"/>
          <w:u w:val="single" w:color="auto"/>
          <w:color w:val="auto"/>
        </w:rPr>
        <w:t>Insurance</w:t>
      </w:r>
      <w:r>
        <w:rPr>
          <w:rFonts w:ascii="Arial" w:cs="Arial" w:eastAsia="Arial" w:hAnsi="Arial"/>
          <w:sz w:val="13"/>
          <w:szCs w:val="13"/>
          <w:color w:val="auto"/>
        </w:rPr>
        <w:t>. During the term and for [*] after termination for any reason, the Supplier shall maintain commercial general and product liability insurance adequate to cover any</w:t>
      </w:r>
      <w:r>
        <w:rPr>
          <w:rFonts w:ascii="Arial" w:cs="Arial" w:eastAsia="Arial" w:hAnsi="Arial"/>
          <w:sz w:val="13"/>
          <w:szCs w:val="13"/>
          <w:b w:val="1"/>
          <w:bCs w:val="1"/>
          <w:color w:val="auto"/>
        </w:rPr>
        <w:t xml:space="preserve"> </w:t>
      </w:r>
      <w:r>
        <w:rPr>
          <w:rFonts w:ascii="Arial" w:cs="Arial" w:eastAsia="Arial" w:hAnsi="Arial"/>
          <w:sz w:val="13"/>
          <w:szCs w:val="13"/>
          <w:color w:val="auto"/>
        </w:rPr>
        <w:t>liability (including any alleged manufacturing defect or breach of warranty in Section 4.13) arising in connection with any Product manufactured by or on behalf of Supplier and supplied to SI-BONE under this Agreement in coverage amounts consistent with normal business practices of prudent companies similarly situated. The insurance coverage shall in no event be less [*] per loss and [*] in the aggregate. Supplier shall provide SI-BONE with written evidence of such insurance upon request. Supplier shall provide SI-BONE with written notice at least [*] prior to the cancellation, nonrenewal or material change in such insurance which materially adversely affects the scope or amount of such insurance coverage.</w:t>
      </w:r>
    </w:p>
    <w:p>
      <w:pPr>
        <w:spacing w:after="0" w:line="293" w:lineRule="exact"/>
        <w:rPr>
          <w:sz w:val="20"/>
          <w:szCs w:val="20"/>
          <w:color w:val="auto"/>
        </w:rPr>
      </w:pPr>
    </w:p>
    <w:p>
      <w:pPr>
        <w:jc w:val="both"/>
        <w:ind w:left="720" w:hanging="361"/>
        <w:spacing w:after="0" w:line="263" w:lineRule="auto"/>
        <w:rPr>
          <w:sz w:val="20"/>
          <w:szCs w:val="20"/>
          <w:color w:val="auto"/>
        </w:rPr>
      </w:pPr>
      <w:r>
        <w:rPr>
          <w:rFonts w:ascii="Arial" w:cs="Arial" w:eastAsia="Arial" w:hAnsi="Arial"/>
          <w:sz w:val="13"/>
          <w:szCs w:val="13"/>
          <w:b w:val="1"/>
          <w:bCs w:val="1"/>
          <w:color w:val="auto"/>
        </w:rPr>
        <w:t xml:space="preserve">4.13. </w:t>
      </w:r>
      <w:r>
        <w:rPr>
          <w:rFonts w:ascii="Arial" w:cs="Arial" w:eastAsia="Arial" w:hAnsi="Arial"/>
          <w:sz w:val="13"/>
          <w:szCs w:val="13"/>
          <w:b w:val="1"/>
          <w:bCs w:val="1"/>
          <w:u w:val="single" w:color="auto"/>
          <w:color w:val="auto"/>
        </w:rPr>
        <w:t>Warranty</w:t>
      </w:r>
      <w:r>
        <w:rPr>
          <w:rFonts w:ascii="Arial" w:cs="Arial" w:eastAsia="Arial" w:hAnsi="Arial"/>
          <w:sz w:val="13"/>
          <w:szCs w:val="13"/>
          <w:color w:val="auto"/>
        </w:rPr>
        <w:t>. Supplier represents and warrants that all Products will conform to the Specifications and will be free from defects in manufacture, workmanship and materials for a</w:t>
      </w:r>
      <w:r>
        <w:rPr>
          <w:rFonts w:ascii="Arial" w:cs="Arial" w:eastAsia="Arial" w:hAnsi="Arial"/>
          <w:sz w:val="13"/>
          <w:szCs w:val="13"/>
          <w:b w:val="1"/>
          <w:bCs w:val="1"/>
          <w:color w:val="auto"/>
        </w:rPr>
        <w:t xml:space="preserve"> </w:t>
      </w:r>
      <w:r>
        <w:rPr>
          <w:rFonts w:ascii="Arial" w:cs="Arial" w:eastAsia="Arial" w:hAnsi="Arial"/>
          <w:sz w:val="13"/>
          <w:szCs w:val="13"/>
          <w:color w:val="auto"/>
        </w:rPr>
        <w:t>period of [*] (“</w:t>
      </w:r>
      <w:r>
        <w:rPr>
          <w:rFonts w:ascii="Arial" w:cs="Arial" w:eastAsia="Arial" w:hAnsi="Arial"/>
          <w:sz w:val="13"/>
          <w:szCs w:val="13"/>
          <w:b w:val="1"/>
          <w:bCs w:val="1"/>
          <w:i w:val="1"/>
          <w:iCs w:val="1"/>
          <w:color w:val="auto"/>
        </w:rPr>
        <w:t>Warranty Period</w:t>
      </w:r>
      <w:r>
        <w:rPr>
          <w:rFonts w:ascii="Arial" w:cs="Arial" w:eastAsia="Arial" w:hAnsi="Arial"/>
          <w:sz w:val="13"/>
          <w:szCs w:val="13"/>
          <w:color w:val="auto"/>
        </w:rPr>
        <w:t>”) from the date of delivery. Except as otherwise specifically provided in this Section 4 and Section 11, whatever the basis for the claim, Suppliers obligations under this warranty are limited solely to the repair or replacement of Non-conforming Products. THIS WARRANTY IS IN LIEU OF ALL OTHER WARRANTIES, EXPRESS OR IMPLIED, INCLUDING ANY IMPLIED WARRANTIES REGARDING MERCHANTABILITY OR FITNESS FOR A PARTICULAR PURPOSE, RELATING TO THE USE OR PERFORMANCE OF THE PARTS. No other express or implied warranty or guaranty shall bind Supplier. Supplier shall not be liable for its failure to conform with any requirements not adequately identified by SI-BONE in the specifications, or for personal injury or property damage, loss of revenue or profit, failure to realize savings or other benefits, expenditures for substitute goods or services, storage charges or other special, incidental or consequential damages caused by the use, misuse or inability to use the goods, regardless of the legal theory on which the claim is based and even if Supplier has been advised of the possibility of such damages. Without limiting the foregoing, SI-BONE assumes all risk and liability for loss, damage or injury to persons and property of SI-BONE or others arising out of use, misuse, or inability to use any goods sold by Supplier not caused directly by the willful acts or omissions of Supplier. This warranty shall not extend to anyone other than the SI-BONE and states SI-BONE’s exclusive remedy. The foregoing sentence shall not be interpreted to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6 of #23</w:t>
      </w:r>
    </w:p>
    <w:p>
      <w:pPr>
        <w:spacing w:after="0" w:line="92" w:lineRule="exact"/>
        <w:rPr>
          <w:sz w:val="20"/>
          <w:szCs w:val="20"/>
          <w:color w:val="auto"/>
        </w:rPr>
      </w:pPr>
    </w:p>
    <w:p>
      <w:pPr>
        <w:ind w:left="180" w:hanging="173"/>
        <w:spacing w:after="0"/>
        <w:tabs>
          <w:tab w:leader="none" w:pos="1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78" w:name="page79"/>
    <w:bookmarkEnd w:id="78"/>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20"/>
        <w:spacing w:after="0"/>
        <w:rPr>
          <w:sz w:val="20"/>
          <w:szCs w:val="20"/>
          <w:color w:val="auto"/>
        </w:rPr>
      </w:pPr>
      <w:r>
        <w:rPr>
          <w:rFonts w:ascii="Arial" w:cs="Arial" w:eastAsia="Arial" w:hAnsi="Arial"/>
          <w:sz w:val="13"/>
          <w:szCs w:val="13"/>
          <w:color w:val="auto"/>
        </w:rPr>
        <w:t>Supplier’s indemnification obligations set forth in Section 11 below. All claims under this warranty must be made within the Warranty Period.</w:t>
      </w:r>
    </w:p>
    <w:p>
      <w:pPr>
        <w:spacing w:after="0" w:line="157" w:lineRule="exact"/>
        <w:rPr>
          <w:sz w:val="20"/>
          <w:szCs w:val="20"/>
          <w:color w:val="auto"/>
        </w:rPr>
      </w:pPr>
    </w:p>
    <w:p>
      <w:pPr>
        <w:jc w:val="both"/>
        <w:ind w:left="720" w:hanging="361"/>
        <w:spacing w:after="0" w:line="273" w:lineRule="auto"/>
        <w:rPr>
          <w:sz w:val="20"/>
          <w:szCs w:val="20"/>
          <w:color w:val="auto"/>
        </w:rPr>
      </w:pPr>
      <w:r>
        <w:rPr>
          <w:rFonts w:ascii="Arial" w:cs="Arial" w:eastAsia="Arial" w:hAnsi="Arial"/>
          <w:sz w:val="13"/>
          <w:szCs w:val="13"/>
          <w:b w:val="1"/>
          <w:bCs w:val="1"/>
          <w:color w:val="auto"/>
        </w:rPr>
        <w:t xml:space="preserve">4.14. </w:t>
      </w:r>
      <w:r>
        <w:rPr>
          <w:rFonts w:ascii="Arial" w:cs="Arial" w:eastAsia="Arial" w:hAnsi="Arial"/>
          <w:sz w:val="13"/>
          <w:szCs w:val="13"/>
          <w:b w:val="1"/>
          <w:bCs w:val="1"/>
          <w:u w:val="single" w:color="auto"/>
          <w:color w:val="auto"/>
        </w:rPr>
        <w:t>Process Improvements</w:t>
      </w:r>
      <w:r>
        <w:rPr>
          <w:rFonts w:ascii="Arial" w:cs="Arial" w:eastAsia="Arial" w:hAnsi="Arial"/>
          <w:sz w:val="13"/>
          <w:szCs w:val="13"/>
          <w:color w:val="auto"/>
        </w:rPr>
        <w:t>. As required by 21 CFR Part 820 Sec. 820.50, Supplier shall not make significant changes to the Specifications, manufacturing process, tooling design,</w:t>
      </w:r>
      <w:r>
        <w:rPr>
          <w:rFonts w:ascii="Arial" w:cs="Arial" w:eastAsia="Arial" w:hAnsi="Arial"/>
          <w:sz w:val="13"/>
          <w:szCs w:val="13"/>
          <w:b w:val="1"/>
          <w:bCs w:val="1"/>
          <w:color w:val="auto"/>
        </w:rPr>
        <w:t xml:space="preserve"> </w:t>
      </w:r>
      <w:r>
        <w:rPr>
          <w:rFonts w:ascii="Arial" w:cs="Arial" w:eastAsia="Arial" w:hAnsi="Arial"/>
          <w:sz w:val="13"/>
          <w:szCs w:val="13"/>
          <w:color w:val="auto"/>
        </w:rPr>
        <w:t>processing conditions, materials or manufacturing location of the Products without SI-BONE’s prior written consent. Notwithstanding the foregoing, SI-BONE will consider in good faith reasonable written requests by Supplier to change the materials or manufacturing process of the Products, provided SI-BONE shall make final determination on such change(s) in its sole discretion.</w:t>
      </w:r>
    </w:p>
    <w:p>
      <w:pPr>
        <w:spacing w:after="0" w:line="125" w:lineRule="exact"/>
        <w:rPr>
          <w:sz w:val="20"/>
          <w:szCs w:val="20"/>
          <w:color w:val="auto"/>
        </w:rPr>
      </w:pPr>
    </w:p>
    <w:p>
      <w:pPr>
        <w:jc w:val="both"/>
        <w:ind w:left="720" w:hanging="361"/>
        <w:spacing w:after="0" w:line="268" w:lineRule="auto"/>
        <w:rPr>
          <w:sz w:val="20"/>
          <w:szCs w:val="20"/>
          <w:color w:val="auto"/>
        </w:rPr>
      </w:pPr>
      <w:r>
        <w:rPr>
          <w:rFonts w:ascii="Arial" w:cs="Arial" w:eastAsia="Arial" w:hAnsi="Arial"/>
          <w:sz w:val="13"/>
          <w:szCs w:val="13"/>
          <w:b w:val="1"/>
          <w:bCs w:val="1"/>
          <w:color w:val="auto"/>
        </w:rPr>
        <w:t xml:space="preserve">4.15. </w:t>
      </w:r>
      <w:r>
        <w:rPr>
          <w:rFonts w:ascii="Arial" w:cs="Arial" w:eastAsia="Arial" w:hAnsi="Arial"/>
          <w:sz w:val="13"/>
          <w:szCs w:val="13"/>
          <w:b w:val="1"/>
          <w:bCs w:val="1"/>
          <w:u w:val="single" w:color="auto"/>
          <w:color w:val="auto"/>
        </w:rPr>
        <w:t>Complaint Handling and Adverse Event Reporting</w:t>
      </w:r>
      <w:r>
        <w:rPr>
          <w:rFonts w:ascii="Arial" w:cs="Arial" w:eastAsia="Arial" w:hAnsi="Arial"/>
          <w:sz w:val="13"/>
          <w:szCs w:val="13"/>
          <w:color w:val="auto"/>
        </w:rPr>
        <w:t>. Each party shall cooperate fully with the other party in dealing with customer complaints concerning the Product(s) and</w:t>
      </w:r>
      <w:r>
        <w:rPr>
          <w:rFonts w:ascii="Arial" w:cs="Arial" w:eastAsia="Arial" w:hAnsi="Arial"/>
          <w:sz w:val="13"/>
          <w:szCs w:val="13"/>
          <w:b w:val="1"/>
          <w:bCs w:val="1"/>
          <w:color w:val="auto"/>
        </w:rPr>
        <w:t xml:space="preserve"> </w:t>
      </w:r>
      <w:r>
        <w:rPr>
          <w:rFonts w:ascii="Arial" w:cs="Arial" w:eastAsia="Arial" w:hAnsi="Arial"/>
          <w:sz w:val="13"/>
          <w:szCs w:val="13"/>
          <w:color w:val="auto"/>
        </w:rPr>
        <w:t>shall take such action to promptly resolve such complaints as may be reasonably requested by the other party. SI-BONE is responsible for complying with all FDA and applicable foreign regulatory requirements pertaining to the receipt, review, evaluation, and where applicable, investigation of all complaints received pertaining to the Products, and for the reporting of adverse device events, including FDA’s Medical Device Reporting requirements, codified at 21 C.F.R Part 803. Supplier shall reasonably cooperate with SI-BONE to enable SI-BONE to fulfill such requirements. Supplier shall promptly, but in no event more than [*] after receipt of such information, provide complaint information regarding the Products to SI-BONE.</w:t>
      </w:r>
    </w:p>
    <w:p>
      <w:pPr>
        <w:spacing w:after="0" w:line="293" w:lineRule="exact"/>
        <w:rPr>
          <w:sz w:val="20"/>
          <w:szCs w:val="20"/>
          <w:color w:val="auto"/>
        </w:rPr>
      </w:pPr>
    </w:p>
    <w:p>
      <w:pPr>
        <w:ind w:left="240" w:hanging="239"/>
        <w:spacing w:after="0"/>
        <w:tabs>
          <w:tab w:leader="none" w:pos="24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PACKAGING; LABELING; DELIVERY</w:t>
      </w:r>
      <w:r>
        <w:rPr>
          <w:rFonts w:ascii="Arial" w:cs="Arial" w:eastAsia="Arial" w:hAnsi="Arial"/>
          <w:sz w:val="13"/>
          <w:szCs w:val="13"/>
          <w:color w:val="auto"/>
        </w:rPr>
        <w:t>.</w:t>
      </w:r>
    </w:p>
    <w:p>
      <w:pPr>
        <w:spacing w:after="0" w:line="173" w:lineRule="exact"/>
        <w:rPr>
          <w:sz w:val="20"/>
          <w:szCs w:val="20"/>
          <w:color w:val="auto"/>
        </w:rPr>
      </w:pPr>
    </w:p>
    <w:p>
      <w:pPr>
        <w:jc w:val="both"/>
        <w:ind w:left="720" w:hanging="361"/>
        <w:spacing w:after="0" w:line="267" w:lineRule="auto"/>
        <w:tabs>
          <w:tab w:leader="none" w:pos="700" w:val="left"/>
        </w:tabs>
        <w:rPr>
          <w:sz w:val="20"/>
          <w:szCs w:val="20"/>
          <w:color w:val="auto"/>
        </w:rPr>
      </w:pPr>
      <w:r>
        <w:rPr>
          <w:rFonts w:ascii="Arial" w:cs="Arial" w:eastAsia="Arial" w:hAnsi="Arial"/>
          <w:sz w:val="13"/>
          <w:szCs w:val="13"/>
          <w:b w:val="1"/>
          <w:bCs w:val="1"/>
          <w:color w:val="auto"/>
        </w:rPr>
        <w:t>5.1.</w:t>
      </w:r>
      <w:r>
        <w:rPr>
          <w:sz w:val="20"/>
          <w:szCs w:val="20"/>
          <w:color w:val="auto"/>
        </w:rPr>
        <w:tab/>
      </w:r>
      <w:r>
        <w:rPr>
          <w:rFonts w:ascii="Arial" w:cs="Arial" w:eastAsia="Arial" w:hAnsi="Arial"/>
          <w:sz w:val="13"/>
          <w:szCs w:val="13"/>
          <w:b w:val="1"/>
          <w:bCs w:val="1"/>
          <w:u w:val="single" w:color="auto"/>
          <w:color w:val="auto"/>
        </w:rPr>
        <w:t>Packaging and Labeling</w:t>
      </w:r>
      <w:r>
        <w:rPr>
          <w:rFonts w:ascii="Arial" w:cs="Arial" w:eastAsia="Arial" w:hAnsi="Arial"/>
          <w:sz w:val="13"/>
          <w:szCs w:val="13"/>
          <w:color w:val="auto"/>
        </w:rPr>
        <w:t>. Supplier shall be responsible for labeling and packaging Product for shipment to SI-BONE or to its designee(s), in accordance with applicable laws, SI-BONE requirements and instructions and the additional specifications included in the Specifications, which labeling shall include “Manufactured for SI-BONE.” SI-BONE may request changes to the packaging and labeling requirements and Specifications upon reasonable prior written notice to Supplier. To the extent that Supplier provides input on the Product labeling or Specifications, it is understood by the parties that such activity is not intended to make Supplier a “Specifications developer” or a “finished device manufacturer” as such terms are used by FDA. Supplier is responsible for release of product labeling, provided, however, that in the case of initial release of any new label or labeling change, Supplier shall obtain SI-BONE’s consent to such release. SI-BONE is responsible for compliance with applicable FDA product labeling requirements.</w:t>
      </w:r>
    </w:p>
    <w:p>
      <w:pPr>
        <w:spacing w:after="0" w:line="130" w:lineRule="exact"/>
        <w:rPr>
          <w:sz w:val="20"/>
          <w:szCs w:val="20"/>
          <w:color w:val="auto"/>
        </w:rPr>
      </w:pPr>
    </w:p>
    <w:p>
      <w:pPr>
        <w:jc w:val="both"/>
        <w:ind w:left="720" w:hanging="361"/>
        <w:spacing w:after="0" w:line="265" w:lineRule="auto"/>
        <w:tabs>
          <w:tab w:leader="none" w:pos="700" w:val="left"/>
        </w:tabs>
        <w:rPr>
          <w:sz w:val="20"/>
          <w:szCs w:val="20"/>
          <w:color w:val="auto"/>
        </w:rPr>
      </w:pPr>
      <w:r>
        <w:rPr>
          <w:rFonts w:ascii="Arial" w:cs="Arial" w:eastAsia="Arial" w:hAnsi="Arial"/>
          <w:sz w:val="13"/>
          <w:szCs w:val="13"/>
          <w:b w:val="1"/>
          <w:bCs w:val="1"/>
          <w:color w:val="auto"/>
        </w:rPr>
        <w:t>5.2.</w:t>
      </w:r>
      <w:r>
        <w:rPr>
          <w:sz w:val="20"/>
          <w:szCs w:val="20"/>
          <w:color w:val="auto"/>
        </w:rPr>
        <w:tab/>
      </w:r>
      <w:r>
        <w:rPr>
          <w:rFonts w:ascii="Arial" w:cs="Arial" w:eastAsia="Arial" w:hAnsi="Arial"/>
          <w:sz w:val="13"/>
          <w:szCs w:val="13"/>
          <w:b w:val="1"/>
          <w:bCs w:val="1"/>
          <w:u w:val="single" w:color="auto"/>
          <w:color w:val="auto"/>
        </w:rPr>
        <w:t>Delivery</w:t>
      </w:r>
      <w:r>
        <w:rPr>
          <w:rFonts w:ascii="Arial" w:cs="Arial" w:eastAsia="Arial" w:hAnsi="Arial"/>
          <w:sz w:val="13"/>
          <w:szCs w:val="13"/>
          <w:color w:val="auto"/>
        </w:rPr>
        <w:t>. Supplier shall deliver Products by, and no more than [*] prior to, SI-BONE’s requested dates of delivery indicated in the Order or as agreed between the Supplier and</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SI-BONE as indicated on the Supplier Order acknowledgement, provided however, that VMI Products ordered pursuant to any Drawdown Order shall be shipped to the sterilizer within [*] of Supplier’s receipt of such Drawdown Order for “machined product” and within [*] for “finished product”. Requested delivery dates may be changed only by mutual written agreement of the parties, which agreement shall not be unreasonably withheld or delayed. In the event that Supplier has reason to believe that it will be unable to meet the agreed upon delivery dates, Supplier will notify SI-BONE promptly and state the reasons for the anticipated delay. All shipments of Products pursuant to this Agreement shall be shipped by Supplier FOB Supplier’s facility. Delivery shall be deemed to have occurred, and therefore risk of loss transferred from Supplier to SI-BONE, when Products are delivered to the freight forwarder. All Product ordered pursuant to a Drawdown Order from Inventory shall be shipped in a “first in – first out” basis in order to minimize the amount of time any Product is maintained by Supplier in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7 of #23</w:t>
      </w:r>
    </w:p>
    <w:p>
      <w:pPr>
        <w:spacing w:after="0" w:line="92" w:lineRule="exact"/>
        <w:rPr>
          <w:sz w:val="20"/>
          <w:szCs w:val="20"/>
          <w:color w:val="auto"/>
        </w:rPr>
      </w:pPr>
    </w:p>
    <w:p>
      <w:pPr>
        <w:ind w:left="180" w:hanging="173"/>
        <w:spacing w:after="0"/>
        <w:tabs>
          <w:tab w:leader="none" w:pos="1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79" w:name="page80"/>
    <w:bookmarkEnd w:id="79"/>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3"/>
          <w:szCs w:val="13"/>
          <w:b w:val="1"/>
          <w:bCs w:val="1"/>
          <w:color w:val="auto"/>
        </w:rPr>
        <w:t>5.3.</w:t>
      </w:r>
      <w:r>
        <w:rPr>
          <w:sz w:val="20"/>
          <w:szCs w:val="20"/>
          <w:color w:val="auto"/>
        </w:rPr>
        <w:tab/>
      </w:r>
      <w:r>
        <w:rPr>
          <w:rFonts w:ascii="Arial" w:cs="Arial" w:eastAsia="Arial" w:hAnsi="Arial"/>
          <w:sz w:val="13"/>
          <w:szCs w:val="13"/>
          <w:b w:val="1"/>
          <w:bCs w:val="1"/>
          <w:u w:val="single" w:color="auto"/>
          <w:color w:val="auto"/>
        </w:rPr>
        <w:t>Packing</w:t>
      </w:r>
      <w:r>
        <w:rPr>
          <w:rFonts w:ascii="Arial" w:cs="Arial" w:eastAsia="Arial" w:hAnsi="Arial"/>
          <w:sz w:val="13"/>
          <w:szCs w:val="13"/>
          <w:color w:val="auto"/>
        </w:rPr>
        <w:t>. Products shall be packed at Supplier’s sole cost and expense in accordance with SI-BONE’s reasonable written instructions and reasonable commercial practices.</w:t>
      </w:r>
    </w:p>
    <w:p>
      <w:pPr>
        <w:spacing w:after="0" w:line="28" w:lineRule="exact"/>
        <w:rPr>
          <w:sz w:val="20"/>
          <w:szCs w:val="20"/>
          <w:color w:val="auto"/>
        </w:rPr>
      </w:pPr>
    </w:p>
    <w:p>
      <w:pPr>
        <w:ind w:left="720"/>
        <w:spacing w:after="0"/>
        <w:rPr>
          <w:sz w:val="20"/>
          <w:szCs w:val="20"/>
          <w:color w:val="auto"/>
        </w:rPr>
      </w:pPr>
      <w:r>
        <w:rPr>
          <w:rFonts w:ascii="Arial" w:cs="Arial" w:eastAsia="Arial" w:hAnsi="Arial"/>
          <w:sz w:val="13"/>
          <w:szCs w:val="13"/>
          <w:color w:val="auto"/>
        </w:rPr>
        <w:t>Each shipment of Product shall be clearly marked as per SI-BONE’s instructions.</w:t>
      </w:r>
    </w:p>
    <w:p>
      <w:pPr>
        <w:spacing w:after="0" w:line="157" w:lineRule="exact"/>
        <w:rPr>
          <w:sz w:val="20"/>
          <w:szCs w:val="20"/>
          <w:color w:val="auto"/>
        </w:rPr>
      </w:pPr>
    </w:p>
    <w:p>
      <w:pPr>
        <w:ind w:left="240" w:hanging="239"/>
        <w:spacing w:after="0"/>
        <w:tabs>
          <w:tab w:leader="none" w:pos="24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PRODUCT IMPROVEMENTS</w:t>
      </w:r>
      <w:r>
        <w:rPr>
          <w:rFonts w:ascii="Arial" w:cs="Arial" w:eastAsia="Arial" w:hAnsi="Arial"/>
          <w:sz w:val="13"/>
          <w:szCs w:val="13"/>
          <w:color w:val="auto"/>
        </w:rPr>
        <w:t>.</w:t>
      </w:r>
    </w:p>
    <w:p>
      <w:pPr>
        <w:spacing w:after="0" w:line="173" w:lineRule="exact"/>
        <w:rPr>
          <w:sz w:val="20"/>
          <w:szCs w:val="20"/>
          <w:color w:val="auto"/>
        </w:rPr>
      </w:pPr>
    </w:p>
    <w:p>
      <w:pPr>
        <w:jc w:val="both"/>
        <w:ind w:left="720" w:hanging="361"/>
        <w:spacing w:after="0" w:line="273" w:lineRule="auto"/>
        <w:tabs>
          <w:tab w:leader="none" w:pos="700" w:val="left"/>
        </w:tabs>
        <w:rPr>
          <w:sz w:val="20"/>
          <w:szCs w:val="20"/>
          <w:color w:val="auto"/>
        </w:rPr>
      </w:pPr>
      <w:r>
        <w:rPr>
          <w:rFonts w:ascii="Arial" w:cs="Arial" w:eastAsia="Arial" w:hAnsi="Arial"/>
          <w:sz w:val="13"/>
          <w:szCs w:val="13"/>
          <w:b w:val="1"/>
          <w:bCs w:val="1"/>
          <w:color w:val="auto"/>
        </w:rPr>
        <w:t>6.1.</w:t>
      </w:r>
      <w:r>
        <w:rPr>
          <w:sz w:val="20"/>
          <w:szCs w:val="20"/>
          <w:color w:val="auto"/>
        </w:rPr>
        <w:tab/>
      </w:r>
      <w:r>
        <w:rPr>
          <w:rFonts w:ascii="Arial" w:cs="Arial" w:eastAsia="Arial" w:hAnsi="Arial"/>
          <w:sz w:val="13"/>
          <w:szCs w:val="13"/>
          <w:b w:val="1"/>
          <w:bCs w:val="1"/>
          <w:u w:val="single" w:color="auto"/>
          <w:color w:val="auto"/>
        </w:rPr>
        <w:t>General</w:t>
      </w:r>
      <w:r>
        <w:rPr>
          <w:rFonts w:ascii="Arial" w:cs="Arial" w:eastAsia="Arial" w:hAnsi="Arial"/>
          <w:sz w:val="13"/>
          <w:szCs w:val="13"/>
          <w:color w:val="auto"/>
        </w:rPr>
        <w:t>. In the event that SI-BONE notifies Supplier that it desires to have Supplier incorporate changes or improvements to a Product to (a) address a Product defect, integrity,</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safety or quality concern or compliance matter (each a “</w:t>
      </w:r>
      <w:r>
        <w:rPr>
          <w:rFonts w:ascii="Arial" w:cs="Arial" w:eastAsia="Arial" w:hAnsi="Arial"/>
          <w:sz w:val="13"/>
          <w:szCs w:val="13"/>
          <w:b w:val="1"/>
          <w:bCs w:val="1"/>
          <w:i w:val="1"/>
          <w:iCs w:val="1"/>
          <w:color w:val="auto"/>
        </w:rPr>
        <w:t>Required Improvement</w:t>
      </w:r>
      <w:r>
        <w:rPr>
          <w:rFonts w:ascii="Arial" w:cs="Arial" w:eastAsia="Arial" w:hAnsi="Arial"/>
          <w:sz w:val="13"/>
          <w:szCs w:val="13"/>
          <w:color w:val="auto"/>
        </w:rPr>
        <w:t>”) or (b) incorporate a feature enhancement or other improvement that is a not a Required Improvement (each an “</w:t>
      </w:r>
      <w:r>
        <w:rPr>
          <w:rFonts w:ascii="Arial" w:cs="Arial" w:eastAsia="Arial" w:hAnsi="Arial"/>
          <w:sz w:val="13"/>
          <w:szCs w:val="13"/>
          <w:b w:val="1"/>
          <w:bCs w:val="1"/>
          <w:i w:val="1"/>
          <w:iCs w:val="1"/>
          <w:color w:val="auto"/>
        </w:rPr>
        <w:t>Optional Improvement</w:t>
      </w:r>
      <w:r>
        <w:rPr>
          <w:rFonts w:ascii="Arial" w:cs="Arial" w:eastAsia="Arial" w:hAnsi="Arial"/>
          <w:sz w:val="13"/>
          <w:szCs w:val="13"/>
          <w:color w:val="auto"/>
        </w:rPr>
        <w:t>,” and together with the Required Improvements, an “</w:t>
      </w:r>
      <w:r>
        <w:rPr>
          <w:rFonts w:ascii="Arial" w:cs="Arial" w:eastAsia="Arial" w:hAnsi="Arial"/>
          <w:sz w:val="13"/>
          <w:szCs w:val="13"/>
          <w:b w:val="1"/>
          <w:bCs w:val="1"/>
          <w:i w:val="1"/>
          <w:iCs w:val="1"/>
          <w:color w:val="auto"/>
        </w:rPr>
        <w:t>Improvement</w:t>
      </w:r>
      <w:r>
        <w:rPr>
          <w:rFonts w:ascii="Arial" w:cs="Arial" w:eastAsia="Arial" w:hAnsi="Arial"/>
          <w:sz w:val="13"/>
          <w:szCs w:val="13"/>
          <w:color w:val="auto"/>
        </w:rPr>
        <w:t>”), the parties shall promptly discuss in good faith the feasibility of implementing such Improvement.</w:t>
      </w:r>
    </w:p>
    <w:p>
      <w:pPr>
        <w:spacing w:after="0" w:line="125" w:lineRule="exact"/>
        <w:rPr>
          <w:sz w:val="20"/>
          <w:szCs w:val="20"/>
          <w:color w:val="auto"/>
        </w:rPr>
      </w:pPr>
    </w:p>
    <w:p>
      <w:pPr>
        <w:jc w:val="both"/>
        <w:ind w:left="720" w:hanging="361"/>
        <w:spacing w:after="0" w:line="263" w:lineRule="auto"/>
        <w:tabs>
          <w:tab w:leader="none" w:pos="700" w:val="left"/>
        </w:tabs>
        <w:rPr>
          <w:sz w:val="20"/>
          <w:szCs w:val="20"/>
          <w:color w:val="auto"/>
        </w:rPr>
      </w:pPr>
      <w:r>
        <w:rPr>
          <w:rFonts w:ascii="Arial" w:cs="Arial" w:eastAsia="Arial" w:hAnsi="Arial"/>
          <w:sz w:val="13"/>
          <w:szCs w:val="13"/>
          <w:b w:val="1"/>
          <w:bCs w:val="1"/>
          <w:color w:val="auto"/>
        </w:rPr>
        <w:t>6.2.</w:t>
      </w:r>
      <w:r>
        <w:rPr>
          <w:sz w:val="20"/>
          <w:szCs w:val="20"/>
          <w:color w:val="auto"/>
        </w:rPr>
        <w:tab/>
      </w:r>
      <w:r>
        <w:rPr>
          <w:rFonts w:ascii="Arial" w:cs="Arial" w:eastAsia="Arial" w:hAnsi="Arial"/>
          <w:sz w:val="13"/>
          <w:szCs w:val="13"/>
          <w:b w:val="1"/>
          <w:bCs w:val="1"/>
          <w:u w:val="single" w:color="auto"/>
          <w:color w:val="auto"/>
        </w:rPr>
        <w:t>Implementation of Required Improvements</w:t>
      </w:r>
      <w:r>
        <w:rPr>
          <w:rFonts w:ascii="Arial" w:cs="Arial" w:eastAsia="Arial" w:hAnsi="Arial"/>
          <w:sz w:val="13"/>
          <w:szCs w:val="13"/>
          <w:color w:val="auto"/>
        </w:rPr>
        <w:t>. Immediately following receipt of such a request from SI-BONE regarding a Required Improvement, Supplier shall use best efforts</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 xml:space="preserve">to implement the Required Improvement as soon as possible at SI-BONE’s sole cost and shall provide reports regarding Supplier’s implementation progress to SI-BONE upon SI-BONE’s request. All such improvements shall be evaluated and implemented in accordance SI-BONE’s applicable design control processes and procedures that are in effect at the time that the improvements are made. SI-BONE shall update the Design History File and Device Master Record, as applicable, and provide copies of such documentation to SI-BONE upon implementation of the Required Improvement. To the extent that Supplier provides input on Required Improvements and changes to the Specifications, it is understood by the parties that such activity does not intend to make Supplier a “Specifications Developer” or a “finished device manufacturer” as such terms are used by FDA. Supplier will have the right to reasonably adjust the Product price to the extent that the changes requested by SI-BONE affect the material, manufacturing or quality costs. In the event that any Required Improvements result in a change in costs to Supplier, the parties shall negotiate in good faith a pricing change commensurate with the change in costs. If the parties are unable to agree on the change in pricing, then either of the parties may terminate this Agreement provided that, if the Supplier terminates the Agreement, SI-BONE will have the option of making Last Purchase per Section </w:t>
      </w:r>
      <w:r>
        <w:rPr>
          <w:rFonts w:ascii="Arial" w:cs="Arial" w:eastAsia="Arial" w:hAnsi="Arial"/>
          <w:sz w:val="13"/>
          <w:szCs w:val="13"/>
          <w:u w:val="single" w:color="auto"/>
          <w:color w:val="auto"/>
        </w:rPr>
        <w:t>9.5</w:t>
      </w:r>
      <w:r>
        <w:rPr>
          <w:rFonts w:ascii="Arial" w:cs="Arial" w:eastAsia="Arial" w:hAnsi="Arial"/>
          <w:sz w:val="13"/>
          <w:szCs w:val="13"/>
          <w:color w:val="auto"/>
        </w:rPr>
        <w:t>.</w:t>
      </w:r>
    </w:p>
    <w:p>
      <w:pPr>
        <w:spacing w:after="0" w:line="134" w:lineRule="exact"/>
        <w:rPr>
          <w:sz w:val="20"/>
          <w:szCs w:val="20"/>
          <w:color w:val="auto"/>
        </w:rPr>
      </w:pPr>
    </w:p>
    <w:p>
      <w:pPr>
        <w:jc w:val="both"/>
        <w:ind w:left="720" w:hanging="361"/>
        <w:spacing w:after="0" w:line="263" w:lineRule="auto"/>
        <w:tabs>
          <w:tab w:leader="none" w:pos="700" w:val="left"/>
        </w:tabs>
        <w:rPr>
          <w:sz w:val="20"/>
          <w:szCs w:val="20"/>
          <w:color w:val="auto"/>
        </w:rPr>
      </w:pPr>
      <w:r>
        <w:rPr>
          <w:rFonts w:ascii="Arial" w:cs="Arial" w:eastAsia="Arial" w:hAnsi="Arial"/>
          <w:sz w:val="13"/>
          <w:szCs w:val="13"/>
          <w:b w:val="1"/>
          <w:bCs w:val="1"/>
          <w:color w:val="auto"/>
        </w:rPr>
        <w:t>6.3.</w:t>
      </w:r>
      <w:r>
        <w:rPr>
          <w:sz w:val="20"/>
          <w:szCs w:val="20"/>
          <w:color w:val="auto"/>
        </w:rPr>
        <w:tab/>
      </w:r>
      <w:r>
        <w:rPr>
          <w:rFonts w:ascii="Arial" w:cs="Arial" w:eastAsia="Arial" w:hAnsi="Arial"/>
          <w:sz w:val="13"/>
          <w:szCs w:val="13"/>
          <w:b w:val="1"/>
          <w:bCs w:val="1"/>
          <w:u w:val="single" w:color="auto"/>
          <w:color w:val="auto"/>
        </w:rPr>
        <w:t>Implementation of Optional Improvements</w:t>
      </w:r>
      <w:r>
        <w:rPr>
          <w:rFonts w:ascii="Arial" w:cs="Arial" w:eastAsia="Arial" w:hAnsi="Arial"/>
          <w:sz w:val="13"/>
          <w:szCs w:val="13"/>
          <w:color w:val="auto"/>
        </w:rPr>
        <w:t>. In evaluating and implementing Optional Improvements, Supplier shall use commercially reasonable efforts to minimize SI-BONE’s</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cost of implementing the Optional Improvements. Supplier shall provide SI-BONE with a detailed analysis (together with supporting documentation) of the estimated costs (if any) and effect on the supply price for the applicable Product (if any) of implementing such Optional Improvement. Supplier shall implement such Optional Improvement only with SI-BONE’s prior written consent. If Supplier notifies SI-BONE that implementation of an Optional Improvement will require any modification to the pricing set forth on the Pricing Addendum or in the applicable Order and SI-BONE agrees, the parties will negotiate in good faith an appropriate modification to the pricing in an amendment to this Agreement. If the parties are unable to agree on the change in pricing, then Supplier may delay implementation of the Optional Improvement until a reasonable price change is agreed; provided, however, that if the parties are unable to agree on such reasonable change in pricing, SI-BONE will have the option of terminating this Agreement provided that this termination will not relieve SI-BONE of its obligations with respect to any open Orders or outstanding payments. All such improvements shall be evaluated and implemented in accordance with SI-BONE’s applicable design control processes and procedures that are in effect at the time that the improvements are made. Supplier shall update the Design History File and Device Master Record, as applicable, and provide copies of such documentation to SI-BONE upon implementation of the Optional Improvement. To the extent that Supplier provides input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8 of #23</w:t>
      </w:r>
    </w:p>
    <w:p>
      <w:pPr>
        <w:spacing w:after="0" w:line="92" w:lineRule="exact"/>
        <w:rPr>
          <w:sz w:val="20"/>
          <w:szCs w:val="20"/>
          <w:color w:val="auto"/>
        </w:rPr>
      </w:pPr>
    </w:p>
    <w:p>
      <w:pPr>
        <w:ind w:left="180" w:hanging="173"/>
        <w:spacing w:after="0"/>
        <w:tabs>
          <w:tab w:leader="none" w:pos="1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80" w:name="page81"/>
    <w:bookmarkEnd w:id="80"/>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20"/>
        <w:spacing w:after="0" w:line="277" w:lineRule="auto"/>
        <w:rPr>
          <w:sz w:val="20"/>
          <w:szCs w:val="20"/>
          <w:color w:val="auto"/>
        </w:rPr>
      </w:pPr>
      <w:r>
        <w:rPr>
          <w:rFonts w:ascii="Arial" w:cs="Arial" w:eastAsia="Arial" w:hAnsi="Arial"/>
          <w:sz w:val="13"/>
          <w:szCs w:val="13"/>
          <w:color w:val="auto"/>
        </w:rPr>
        <w:t>Optional Improvements and changes to the Specifications, it is understood by the parties that such activity does not intend to make Supplier a “Specifications Developer” or a “finished device manufacturer” as such terms are used by FDA.</w:t>
      </w:r>
    </w:p>
    <w:p>
      <w:pPr>
        <w:spacing w:after="0" w:line="122" w:lineRule="exact"/>
        <w:rPr>
          <w:sz w:val="20"/>
          <w:szCs w:val="20"/>
          <w:color w:val="auto"/>
        </w:rPr>
      </w:pPr>
    </w:p>
    <w:p>
      <w:pPr>
        <w:jc w:val="both"/>
        <w:ind w:left="720" w:hanging="361"/>
        <w:spacing w:after="0" w:line="273" w:lineRule="auto"/>
        <w:tabs>
          <w:tab w:leader="none" w:pos="700" w:val="left"/>
        </w:tabs>
        <w:rPr>
          <w:sz w:val="20"/>
          <w:szCs w:val="20"/>
          <w:color w:val="auto"/>
        </w:rPr>
      </w:pPr>
      <w:r>
        <w:rPr>
          <w:rFonts w:ascii="Arial" w:cs="Arial" w:eastAsia="Arial" w:hAnsi="Arial"/>
          <w:sz w:val="13"/>
          <w:szCs w:val="13"/>
          <w:b w:val="1"/>
          <w:bCs w:val="1"/>
          <w:color w:val="auto"/>
        </w:rPr>
        <w:t>6.4.</w:t>
      </w:r>
      <w:r>
        <w:rPr>
          <w:sz w:val="20"/>
          <w:szCs w:val="20"/>
          <w:color w:val="auto"/>
        </w:rPr>
        <w:tab/>
      </w:r>
      <w:r>
        <w:rPr>
          <w:rFonts w:ascii="Arial" w:cs="Arial" w:eastAsia="Arial" w:hAnsi="Arial"/>
          <w:sz w:val="13"/>
          <w:szCs w:val="13"/>
          <w:b w:val="1"/>
          <w:bCs w:val="1"/>
          <w:u w:val="single" w:color="auto"/>
          <w:color w:val="auto"/>
        </w:rPr>
        <w:t>Regulatory Determination</w:t>
      </w:r>
      <w:r>
        <w:rPr>
          <w:rFonts w:ascii="Arial" w:cs="Arial" w:eastAsia="Arial" w:hAnsi="Arial"/>
          <w:sz w:val="13"/>
          <w:szCs w:val="13"/>
          <w:color w:val="auto"/>
        </w:rPr>
        <w:t>. SI-BONE shall be responsible for making the final decision as to whether a proposed design or manufacturing change may be implemented for the</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Product(s). Supplier is not permitted to make any modification that affects the Product(s) without notifying SI-BONE. SI-BONE shall be responsible for making the final determination as to whether such changes require regulatory approval or clearance prior to implementation and shall be responsible for filing and obtaining any required approvals and/or clearances, as necessary.</w:t>
      </w:r>
    </w:p>
    <w:p>
      <w:pPr>
        <w:spacing w:after="0" w:line="125" w:lineRule="exact"/>
        <w:rPr>
          <w:sz w:val="20"/>
          <w:szCs w:val="20"/>
          <w:color w:val="auto"/>
        </w:rPr>
      </w:pPr>
    </w:p>
    <w:p>
      <w:pPr>
        <w:jc w:val="both"/>
        <w:ind w:left="720" w:hanging="361"/>
        <w:spacing w:after="0" w:line="303" w:lineRule="auto"/>
        <w:tabs>
          <w:tab w:leader="none" w:pos="700" w:val="left"/>
        </w:tabs>
        <w:rPr>
          <w:sz w:val="20"/>
          <w:szCs w:val="20"/>
          <w:color w:val="auto"/>
        </w:rPr>
      </w:pPr>
      <w:r>
        <w:rPr>
          <w:rFonts w:ascii="Arial" w:cs="Arial" w:eastAsia="Arial" w:hAnsi="Arial"/>
          <w:sz w:val="13"/>
          <w:szCs w:val="13"/>
          <w:b w:val="1"/>
          <w:bCs w:val="1"/>
          <w:color w:val="auto"/>
        </w:rPr>
        <w:t>6.5.</w:t>
      </w:r>
      <w:r>
        <w:rPr>
          <w:sz w:val="20"/>
          <w:szCs w:val="20"/>
          <w:color w:val="auto"/>
        </w:rPr>
        <w:tab/>
      </w:r>
      <w:r>
        <w:rPr>
          <w:rFonts w:ascii="Arial" w:cs="Arial" w:eastAsia="Arial" w:hAnsi="Arial"/>
          <w:sz w:val="13"/>
          <w:szCs w:val="13"/>
          <w:b w:val="1"/>
          <w:bCs w:val="1"/>
          <w:u w:val="single" w:color="auto"/>
          <w:color w:val="auto"/>
        </w:rPr>
        <w:t>Registration and Listing</w:t>
      </w:r>
      <w:r>
        <w:rPr>
          <w:rFonts w:ascii="Arial" w:cs="Arial" w:eastAsia="Arial" w:hAnsi="Arial"/>
          <w:sz w:val="13"/>
          <w:szCs w:val="13"/>
          <w:color w:val="auto"/>
        </w:rPr>
        <w:t>. Supplier shall comply with applicable establishment registration requirements of the US FDA applicable to the Products and the manufacture of the</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Products.</w:t>
      </w:r>
    </w:p>
    <w:p>
      <w:pPr>
        <w:spacing w:after="0" w:line="106" w:lineRule="exact"/>
        <w:rPr>
          <w:sz w:val="20"/>
          <w:szCs w:val="20"/>
          <w:color w:val="auto"/>
        </w:rPr>
      </w:pPr>
    </w:p>
    <w:p>
      <w:pPr>
        <w:ind w:left="240" w:hanging="239"/>
        <w:spacing w:after="0"/>
        <w:tabs>
          <w:tab w:leader="none" w:pos="24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INTELLECTUAL PROPERTY</w:t>
      </w:r>
      <w:r>
        <w:rPr>
          <w:rFonts w:ascii="Arial" w:cs="Arial" w:eastAsia="Arial" w:hAnsi="Arial"/>
          <w:sz w:val="13"/>
          <w:szCs w:val="13"/>
          <w:color w:val="auto"/>
        </w:rPr>
        <w:t>.</w:t>
      </w:r>
    </w:p>
    <w:p>
      <w:pPr>
        <w:spacing w:after="0" w:line="173" w:lineRule="exact"/>
        <w:rPr>
          <w:sz w:val="20"/>
          <w:szCs w:val="20"/>
          <w:color w:val="auto"/>
        </w:rPr>
      </w:pPr>
    </w:p>
    <w:p>
      <w:pPr>
        <w:jc w:val="both"/>
        <w:ind w:left="720" w:hanging="361"/>
        <w:spacing w:after="0" w:line="264" w:lineRule="auto"/>
        <w:tabs>
          <w:tab w:leader="none" w:pos="700" w:val="left"/>
        </w:tabs>
        <w:rPr>
          <w:sz w:val="20"/>
          <w:szCs w:val="20"/>
          <w:color w:val="auto"/>
        </w:rPr>
      </w:pPr>
      <w:r>
        <w:rPr>
          <w:rFonts w:ascii="Arial" w:cs="Arial" w:eastAsia="Arial" w:hAnsi="Arial"/>
          <w:sz w:val="13"/>
          <w:szCs w:val="13"/>
          <w:b w:val="1"/>
          <w:bCs w:val="1"/>
          <w:color w:val="auto"/>
        </w:rPr>
        <w:t>7.1.</w:t>
      </w:r>
      <w:r>
        <w:rPr>
          <w:sz w:val="20"/>
          <w:szCs w:val="20"/>
          <w:color w:val="auto"/>
        </w:rPr>
        <w:tab/>
      </w:r>
      <w:r>
        <w:rPr>
          <w:rFonts w:ascii="Arial" w:cs="Arial" w:eastAsia="Arial" w:hAnsi="Arial"/>
          <w:sz w:val="13"/>
          <w:szCs w:val="13"/>
          <w:b w:val="1"/>
          <w:bCs w:val="1"/>
          <w:u w:val="single" w:color="auto"/>
          <w:color w:val="auto"/>
        </w:rPr>
        <w:t>Limited License</w:t>
      </w:r>
      <w:r>
        <w:rPr>
          <w:rFonts w:ascii="Arial" w:cs="Arial" w:eastAsia="Arial" w:hAnsi="Arial"/>
          <w:sz w:val="13"/>
          <w:szCs w:val="13"/>
          <w:color w:val="auto"/>
        </w:rPr>
        <w:t>. SI-BONE hereby grants Supplier a non-exclusive, nontransferable, worldwide license, without the right to sublicense, to use all designs, materials, information,</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know-how and documentation, including the Specifications, provided by SI-BONE to Supplier, solely in connection with manufacturing the Products hereunder for supply of such Products to SI-BONE or parties designated by SI-BONE. This license shall not include the right to modify, make derivative works of or improvements to the Products and shall terminate upon the termination or expiration of this Agreement. For purposes of this Agreement, “</w:t>
      </w:r>
      <w:r>
        <w:rPr>
          <w:rFonts w:ascii="Arial" w:cs="Arial" w:eastAsia="Arial" w:hAnsi="Arial"/>
          <w:sz w:val="13"/>
          <w:szCs w:val="13"/>
          <w:b w:val="1"/>
          <w:bCs w:val="1"/>
          <w:i w:val="1"/>
          <w:iCs w:val="1"/>
          <w:color w:val="auto"/>
        </w:rPr>
        <w:t>Intellectual Property</w:t>
      </w:r>
      <w:r>
        <w:rPr>
          <w:rFonts w:ascii="Arial" w:cs="Arial" w:eastAsia="Arial" w:hAnsi="Arial"/>
          <w:sz w:val="13"/>
          <w:szCs w:val="13"/>
          <w:color w:val="auto"/>
        </w:rPr>
        <w:t xml:space="preserve">” means any inventions, improvements, developments, or innovations (including all rights to patents, copyrights, trademarks, and trade secrets and know-how inherent therein and appurtenant thereto) and other creative works (whether or not patentable or copyrightable, conceived or made or reduced to practice), know-how, technical information, pending patent applications, registrations, divisions and continuations thereof, registered and unregistered copyrights, and all associated goodwill, designs, drawings, specifications, vendor lists, manufacturing methods and processes, and all other information pertinent to this Agreement, which is proprietary to SI-BONE. SI-BONE’s Intellectual Property as of the date hereof includes, but is not limited to the list set forth on </w:t>
      </w:r>
      <w:r>
        <w:rPr>
          <w:rFonts w:ascii="Arial" w:cs="Arial" w:eastAsia="Arial" w:hAnsi="Arial"/>
          <w:sz w:val="13"/>
          <w:szCs w:val="13"/>
          <w:b w:val="1"/>
          <w:bCs w:val="1"/>
          <w:u w:val="single" w:color="auto"/>
          <w:color w:val="auto"/>
        </w:rPr>
        <w:t>Exhibit D</w:t>
      </w:r>
      <w:r>
        <w:rPr>
          <w:rFonts w:ascii="Arial" w:cs="Arial" w:eastAsia="Arial" w:hAnsi="Arial"/>
          <w:sz w:val="13"/>
          <w:szCs w:val="13"/>
          <w:color w:val="auto"/>
        </w:rPr>
        <w:t>.</w:t>
      </w:r>
    </w:p>
    <w:p>
      <w:pPr>
        <w:spacing w:after="0" w:line="295" w:lineRule="exact"/>
        <w:rPr>
          <w:sz w:val="20"/>
          <w:szCs w:val="20"/>
          <w:color w:val="auto"/>
        </w:rPr>
      </w:pPr>
    </w:p>
    <w:p>
      <w:pPr>
        <w:jc w:val="both"/>
        <w:ind w:left="720" w:hanging="361"/>
        <w:spacing w:after="0" w:line="303" w:lineRule="auto"/>
        <w:tabs>
          <w:tab w:leader="none" w:pos="700" w:val="left"/>
        </w:tabs>
        <w:rPr>
          <w:sz w:val="20"/>
          <w:szCs w:val="20"/>
          <w:color w:val="auto"/>
        </w:rPr>
      </w:pPr>
      <w:r>
        <w:rPr>
          <w:rFonts w:ascii="Arial" w:cs="Arial" w:eastAsia="Arial" w:hAnsi="Arial"/>
          <w:sz w:val="13"/>
          <w:szCs w:val="13"/>
          <w:b w:val="1"/>
          <w:bCs w:val="1"/>
          <w:color w:val="auto"/>
        </w:rPr>
        <w:t>7.2.</w:t>
      </w:r>
      <w:r>
        <w:rPr>
          <w:sz w:val="20"/>
          <w:szCs w:val="20"/>
          <w:color w:val="auto"/>
        </w:rPr>
        <w:tab/>
      </w:r>
      <w:r>
        <w:rPr>
          <w:rFonts w:ascii="Arial" w:cs="Arial" w:eastAsia="Arial" w:hAnsi="Arial"/>
          <w:sz w:val="13"/>
          <w:szCs w:val="13"/>
          <w:b w:val="1"/>
          <w:bCs w:val="1"/>
          <w:u w:val="single" w:color="auto"/>
          <w:color w:val="auto"/>
        </w:rPr>
        <w:t>Ownership of Intellectual Property</w:t>
      </w:r>
      <w:r>
        <w:rPr>
          <w:rFonts w:ascii="Arial" w:cs="Arial" w:eastAsia="Arial" w:hAnsi="Arial"/>
          <w:sz w:val="13"/>
          <w:szCs w:val="13"/>
          <w:color w:val="auto"/>
        </w:rPr>
        <w:t>. All Intellectual Property of SI-BONE existing on or prior to the execution of this Agreement shall be and remain the property of SI-BONE,</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and Supplier shall not acquire any rights therein, except as expressly provided in Section 7.1 of this Agreement.</w:t>
      </w:r>
    </w:p>
    <w:p>
      <w:pPr>
        <w:spacing w:after="0" w:line="106" w:lineRule="exact"/>
        <w:rPr>
          <w:sz w:val="20"/>
          <w:szCs w:val="20"/>
          <w:color w:val="auto"/>
        </w:rPr>
      </w:pPr>
    </w:p>
    <w:p>
      <w:pPr>
        <w:jc w:val="both"/>
        <w:ind w:left="720" w:hanging="361"/>
        <w:spacing w:after="0" w:line="265" w:lineRule="auto"/>
        <w:tabs>
          <w:tab w:leader="none" w:pos="700" w:val="left"/>
        </w:tabs>
        <w:rPr>
          <w:sz w:val="20"/>
          <w:szCs w:val="20"/>
          <w:color w:val="auto"/>
        </w:rPr>
      </w:pPr>
      <w:r>
        <w:rPr>
          <w:rFonts w:ascii="Arial" w:cs="Arial" w:eastAsia="Arial" w:hAnsi="Arial"/>
          <w:sz w:val="13"/>
          <w:szCs w:val="13"/>
          <w:b w:val="1"/>
          <w:bCs w:val="1"/>
          <w:color w:val="auto"/>
        </w:rPr>
        <w:t>7.3.</w:t>
      </w:r>
      <w:r>
        <w:rPr>
          <w:sz w:val="20"/>
          <w:szCs w:val="20"/>
          <w:color w:val="auto"/>
        </w:rPr>
        <w:tab/>
      </w:r>
      <w:r>
        <w:rPr>
          <w:rFonts w:ascii="Arial" w:cs="Arial" w:eastAsia="Arial" w:hAnsi="Arial"/>
          <w:sz w:val="13"/>
          <w:szCs w:val="13"/>
          <w:b w:val="1"/>
          <w:bCs w:val="1"/>
          <w:u w:val="single" w:color="auto"/>
          <w:color w:val="auto"/>
        </w:rPr>
        <w:t>Inventions</w:t>
      </w:r>
      <w:r>
        <w:rPr>
          <w:rFonts w:ascii="Arial" w:cs="Arial" w:eastAsia="Arial" w:hAnsi="Arial"/>
          <w:sz w:val="13"/>
          <w:szCs w:val="13"/>
          <w:color w:val="auto"/>
        </w:rPr>
        <w:t>. All Intellectual Property conceived or reduced to practice by Supplier, its employees or agents in the course of performing Supplier’s duties hereunder and related to</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the Products, or as a result of access to SI-BONE’s Intellectual Property, shall be owned solely by SI-BONE and Supplier agrees to irrevocably assign all of its interests in such Intellectual Property to SI-BONE. Supplier shall execute all papers, including patent applications, invention assignments and copyright assignments, and otherwise shall assist SI-BONE as reasonably required to perfect in SI-BONE the rights, title and other interests held by SI-BONE under this Agreement. SI-BONE shall pay for reasonable costs related to such assistance. If SI-BONE is unable for any reason, after reasonable effort, to secure Supplier’s signature on any document needed in connection with the actions specified above, Supplier hereby irrevocably designates and appoints SI-BONE and its duly authorized officers and agents as its agent and attorney in fact, which appointment is coupled with an interest, to act for and in its behalf to execute, verify and file any such documents and to do all other lawfully permitted acts to further the purposes of the preceding paragraph with the same legal force and effect as if executed by Supplier.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9 of #23</w:t>
      </w:r>
    </w:p>
    <w:p>
      <w:pPr>
        <w:spacing w:after="0" w:line="92" w:lineRule="exact"/>
        <w:rPr>
          <w:sz w:val="20"/>
          <w:szCs w:val="20"/>
          <w:color w:val="auto"/>
        </w:rPr>
      </w:pPr>
    </w:p>
    <w:p>
      <w:pPr>
        <w:ind w:left="180" w:hanging="173"/>
        <w:spacing w:after="0"/>
        <w:tabs>
          <w:tab w:leader="none" w:pos="1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81" w:name="page82"/>
    <w:bookmarkEnd w:id="81"/>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hanging="361"/>
        <w:spacing w:after="0" w:line="303" w:lineRule="auto"/>
        <w:tabs>
          <w:tab w:leader="none" w:pos="700" w:val="left"/>
        </w:tabs>
        <w:rPr>
          <w:sz w:val="20"/>
          <w:szCs w:val="20"/>
          <w:color w:val="auto"/>
        </w:rPr>
      </w:pPr>
      <w:r>
        <w:rPr>
          <w:rFonts w:ascii="Arial" w:cs="Arial" w:eastAsia="Arial" w:hAnsi="Arial"/>
          <w:sz w:val="13"/>
          <w:szCs w:val="13"/>
          <w:b w:val="1"/>
          <w:bCs w:val="1"/>
          <w:color w:val="auto"/>
        </w:rPr>
        <w:t>7.4.</w:t>
      </w:r>
      <w:r>
        <w:rPr>
          <w:sz w:val="20"/>
          <w:szCs w:val="20"/>
          <w:color w:val="auto"/>
        </w:rPr>
        <w:tab/>
      </w:r>
      <w:r>
        <w:rPr>
          <w:rFonts w:ascii="Arial" w:cs="Arial" w:eastAsia="Arial" w:hAnsi="Arial"/>
          <w:sz w:val="13"/>
          <w:szCs w:val="13"/>
          <w:b w:val="1"/>
          <w:bCs w:val="1"/>
          <w:u w:val="single" w:color="auto"/>
          <w:color w:val="auto"/>
        </w:rPr>
        <w:t>Trade Names</w:t>
      </w:r>
      <w:r>
        <w:rPr>
          <w:rFonts w:ascii="Arial" w:cs="Arial" w:eastAsia="Arial" w:hAnsi="Arial"/>
          <w:sz w:val="13"/>
          <w:szCs w:val="13"/>
          <w:color w:val="auto"/>
        </w:rPr>
        <w:t>. Each of SI-BONE and Supplier hereby acknowledges and agrees that it does not have, and shall not acquire, any interest in the other party’s trademarks except</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as expressly provided herein. Any violation of this Section 7 shall constitute a material breach of this Agreement.</w:t>
      </w:r>
    </w:p>
    <w:p>
      <w:pPr>
        <w:spacing w:after="0" w:line="106" w:lineRule="exact"/>
        <w:rPr>
          <w:sz w:val="20"/>
          <w:szCs w:val="20"/>
          <w:color w:val="auto"/>
        </w:rPr>
      </w:pPr>
    </w:p>
    <w:p>
      <w:pPr>
        <w:ind w:left="240" w:hanging="239"/>
        <w:spacing w:after="0"/>
        <w:tabs>
          <w:tab w:leader="none" w:pos="24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NON-INTERFERENCE</w:t>
      </w:r>
      <w:r>
        <w:rPr>
          <w:rFonts w:ascii="Arial" w:cs="Arial" w:eastAsia="Arial" w:hAnsi="Arial"/>
          <w:sz w:val="13"/>
          <w:szCs w:val="13"/>
          <w:color w:val="auto"/>
        </w:rPr>
        <w:t>.</w:t>
      </w:r>
    </w:p>
    <w:p>
      <w:pPr>
        <w:spacing w:after="0" w:line="173" w:lineRule="exact"/>
        <w:rPr>
          <w:sz w:val="20"/>
          <w:szCs w:val="20"/>
          <w:color w:val="auto"/>
        </w:rPr>
      </w:pPr>
    </w:p>
    <w:p>
      <w:pPr>
        <w:jc w:val="both"/>
        <w:ind w:left="360"/>
        <w:spacing w:after="0" w:line="269" w:lineRule="auto"/>
        <w:rPr>
          <w:sz w:val="20"/>
          <w:szCs w:val="20"/>
          <w:color w:val="auto"/>
        </w:rPr>
      </w:pPr>
      <w:r>
        <w:rPr>
          <w:rFonts w:ascii="Arial" w:cs="Arial" w:eastAsia="Arial" w:hAnsi="Arial"/>
          <w:sz w:val="13"/>
          <w:szCs w:val="13"/>
          <w:color w:val="auto"/>
        </w:rPr>
        <w:t>During the Term of this Agreement and for a period of [*] thereafter (the “</w:t>
      </w:r>
      <w:r>
        <w:rPr>
          <w:rFonts w:ascii="Arial" w:cs="Arial" w:eastAsia="Arial" w:hAnsi="Arial"/>
          <w:sz w:val="13"/>
          <w:szCs w:val="13"/>
          <w:b w:val="1"/>
          <w:bCs w:val="1"/>
          <w:i w:val="1"/>
          <w:iCs w:val="1"/>
          <w:color w:val="auto"/>
        </w:rPr>
        <w:t>Restricted Period</w:t>
      </w:r>
      <w:r>
        <w:rPr>
          <w:rFonts w:ascii="Arial" w:cs="Arial" w:eastAsia="Arial" w:hAnsi="Arial"/>
          <w:sz w:val="13"/>
          <w:szCs w:val="13"/>
          <w:color w:val="auto"/>
        </w:rPr>
        <w:t>”), neither party shall, directly or indirectly, solicit for hiring, hire or accept any services or work from the other party’s employees or consultants. This restriction shall not apply to employees responding to commercially reasonable employment advertisements in common national or regional recruiting media. The parties further agree that during the Restricted Period, the parties shall not in any way discourage any of the other party’s clients, customers or distributors or prospective clients, customers or distributors from purchasing products, or solicit or influence or attempt to solicit or influence any client, customer, distributor or other person, either directly or indirectly, to direct any purchase of products to any other entity in competition with the business of the other party.</w:t>
      </w:r>
    </w:p>
    <w:p>
      <w:pPr>
        <w:spacing w:after="0" w:line="129" w:lineRule="exact"/>
        <w:rPr>
          <w:sz w:val="20"/>
          <w:szCs w:val="20"/>
          <w:color w:val="auto"/>
        </w:rPr>
      </w:pPr>
    </w:p>
    <w:p>
      <w:pPr>
        <w:ind w:left="240" w:hanging="239"/>
        <w:spacing w:after="0"/>
        <w:tabs>
          <w:tab w:leader="none" w:pos="240"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TERM; TERMINATION</w:t>
      </w:r>
      <w:r>
        <w:rPr>
          <w:rFonts w:ascii="Arial" w:cs="Arial" w:eastAsia="Arial" w:hAnsi="Arial"/>
          <w:sz w:val="13"/>
          <w:szCs w:val="13"/>
          <w:color w:val="auto"/>
        </w:rPr>
        <w:t>.</w:t>
      </w:r>
    </w:p>
    <w:p>
      <w:pPr>
        <w:spacing w:after="0" w:line="173" w:lineRule="exact"/>
        <w:rPr>
          <w:sz w:val="20"/>
          <w:szCs w:val="20"/>
          <w:color w:val="auto"/>
        </w:rPr>
      </w:pPr>
    </w:p>
    <w:p>
      <w:pPr>
        <w:jc w:val="both"/>
        <w:ind w:left="720" w:hanging="361"/>
        <w:spacing w:after="0" w:line="281" w:lineRule="auto"/>
        <w:tabs>
          <w:tab w:leader="none" w:pos="700" w:val="left"/>
        </w:tabs>
        <w:rPr>
          <w:sz w:val="20"/>
          <w:szCs w:val="20"/>
          <w:color w:val="auto"/>
        </w:rPr>
      </w:pPr>
      <w:r>
        <w:rPr>
          <w:rFonts w:ascii="Arial" w:cs="Arial" w:eastAsia="Arial" w:hAnsi="Arial"/>
          <w:sz w:val="13"/>
          <w:szCs w:val="13"/>
          <w:b w:val="1"/>
          <w:bCs w:val="1"/>
          <w:color w:val="auto"/>
        </w:rPr>
        <w:t>9.1.</w:t>
      </w:r>
      <w:r>
        <w:rPr>
          <w:sz w:val="20"/>
          <w:szCs w:val="20"/>
          <w:color w:val="auto"/>
        </w:rPr>
        <w:tab/>
      </w:r>
      <w:r>
        <w:rPr>
          <w:rFonts w:ascii="Arial" w:cs="Arial" w:eastAsia="Arial" w:hAnsi="Arial"/>
          <w:sz w:val="13"/>
          <w:szCs w:val="13"/>
          <w:b w:val="1"/>
          <w:bCs w:val="1"/>
          <w:u w:val="single" w:color="auto"/>
          <w:color w:val="auto"/>
        </w:rPr>
        <w:t>Term; Renewal</w:t>
      </w:r>
      <w:r>
        <w:rPr>
          <w:rFonts w:ascii="Arial" w:cs="Arial" w:eastAsia="Arial" w:hAnsi="Arial"/>
          <w:sz w:val="13"/>
          <w:szCs w:val="13"/>
          <w:color w:val="auto"/>
        </w:rPr>
        <w:t>. Unless earlier terminated in accordance with this Section 9, the term of this Agreement shall commence on the Effective Date and continue for an initial term of</w:t>
      </w:r>
      <w:r>
        <w:rPr>
          <w:rFonts w:ascii="Arial" w:cs="Arial" w:eastAsia="Arial" w:hAnsi="Arial"/>
          <w:sz w:val="13"/>
          <w:szCs w:val="13"/>
          <w:b w:val="1"/>
          <w:bCs w:val="1"/>
          <w:u w:val="single" w:color="auto"/>
          <w:color w:val="auto"/>
        </w:rPr>
        <w:t xml:space="preserve"> three years</w:t>
      </w:r>
      <w:r>
        <w:rPr>
          <w:rFonts w:ascii="Arial" w:cs="Arial" w:eastAsia="Arial" w:hAnsi="Arial"/>
          <w:sz w:val="13"/>
          <w:szCs w:val="13"/>
          <w:b w:val="1"/>
          <w:bCs w:val="1"/>
          <w:color w:val="auto"/>
        </w:rPr>
        <w:t xml:space="preserve"> </w:t>
      </w:r>
      <w:r>
        <w:rPr>
          <w:rFonts w:ascii="Arial" w:cs="Arial" w:eastAsia="Arial" w:hAnsi="Arial"/>
          <w:sz w:val="13"/>
          <w:szCs w:val="13"/>
          <w:color w:val="auto"/>
        </w:rPr>
        <w:t>(the “</w:t>
      </w:r>
      <w:r>
        <w:rPr>
          <w:rFonts w:ascii="Arial" w:cs="Arial" w:eastAsia="Arial" w:hAnsi="Arial"/>
          <w:sz w:val="13"/>
          <w:szCs w:val="13"/>
          <w:b w:val="1"/>
          <w:bCs w:val="1"/>
          <w:i w:val="1"/>
          <w:iCs w:val="1"/>
          <w:color w:val="auto"/>
        </w:rPr>
        <w:t>Initial Term</w:t>
      </w:r>
      <w:r>
        <w:rPr>
          <w:rFonts w:ascii="Arial" w:cs="Arial" w:eastAsia="Arial" w:hAnsi="Arial"/>
          <w:sz w:val="13"/>
          <w:szCs w:val="13"/>
          <w:color w:val="auto"/>
        </w:rPr>
        <w:t>”). This Agreement shall automatically renew for successive</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one year</w:t>
      </w:r>
      <w:r>
        <w:rPr>
          <w:rFonts w:ascii="Arial" w:cs="Arial" w:eastAsia="Arial" w:hAnsi="Arial"/>
          <w:sz w:val="13"/>
          <w:szCs w:val="13"/>
          <w:b w:val="1"/>
          <w:bCs w:val="1"/>
          <w:color w:val="auto"/>
        </w:rPr>
        <w:t xml:space="preserve"> </w:t>
      </w:r>
      <w:r>
        <w:rPr>
          <w:rFonts w:ascii="Arial" w:cs="Arial" w:eastAsia="Arial" w:hAnsi="Arial"/>
          <w:sz w:val="13"/>
          <w:szCs w:val="13"/>
          <w:color w:val="auto"/>
        </w:rPr>
        <w:t>periods (each, a “</w:t>
      </w:r>
      <w:r>
        <w:rPr>
          <w:rFonts w:ascii="Arial" w:cs="Arial" w:eastAsia="Arial" w:hAnsi="Arial"/>
          <w:sz w:val="13"/>
          <w:szCs w:val="13"/>
          <w:b w:val="1"/>
          <w:bCs w:val="1"/>
          <w:i w:val="1"/>
          <w:iCs w:val="1"/>
          <w:color w:val="auto"/>
        </w:rPr>
        <w:t>Renewal Term</w:t>
      </w:r>
      <w:r>
        <w:rPr>
          <w:rFonts w:ascii="Arial" w:cs="Arial" w:eastAsia="Arial" w:hAnsi="Arial"/>
          <w:sz w:val="13"/>
          <w:szCs w:val="13"/>
          <w:color w:val="auto"/>
        </w:rPr>
        <w:t>” and collectively, together with Initial Term,</w:t>
      </w:r>
      <w:r>
        <w:rPr>
          <w:rFonts w:ascii="Arial" w:cs="Arial" w:eastAsia="Arial" w:hAnsi="Arial"/>
          <w:sz w:val="13"/>
          <w:szCs w:val="13"/>
          <w:b w:val="1"/>
          <w:bCs w:val="1"/>
          <w:color w:val="auto"/>
        </w:rPr>
        <w:t xml:space="preserve"> </w:t>
      </w:r>
      <w:r>
        <w:rPr>
          <w:rFonts w:ascii="Arial" w:cs="Arial" w:eastAsia="Arial" w:hAnsi="Arial"/>
          <w:sz w:val="13"/>
          <w:szCs w:val="13"/>
          <w:color w:val="auto"/>
        </w:rPr>
        <w:t>the “</w:t>
      </w:r>
      <w:r>
        <w:rPr>
          <w:rFonts w:ascii="Arial" w:cs="Arial" w:eastAsia="Arial" w:hAnsi="Arial"/>
          <w:sz w:val="13"/>
          <w:szCs w:val="13"/>
          <w:b w:val="1"/>
          <w:bCs w:val="1"/>
          <w:i w:val="1"/>
          <w:iCs w:val="1"/>
          <w:color w:val="auto"/>
        </w:rPr>
        <w:t>Term</w:t>
      </w:r>
      <w:r>
        <w:rPr>
          <w:rFonts w:ascii="Arial" w:cs="Arial" w:eastAsia="Arial" w:hAnsi="Arial"/>
          <w:sz w:val="13"/>
          <w:szCs w:val="13"/>
          <w:color w:val="auto"/>
        </w:rPr>
        <w:t>”) unless terminated by either party with [*] written notice prior to the beginning of such Renewal Term.</w:t>
      </w:r>
    </w:p>
    <w:p>
      <w:pPr>
        <w:spacing w:after="0" w:line="119" w:lineRule="exact"/>
        <w:rPr>
          <w:sz w:val="20"/>
          <w:szCs w:val="20"/>
          <w:color w:val="auto"/>
        </w:rPr>
      </w:pPr>
    </w:p>
    <w:p>
      <w:pPr>
        <w:jc w:val="both"/>
        <w:ind w:left="720" w:hanging="361"/>
        <w:spacing w:after="0" w:line="303" w:lineRule="auto"/>
        <w:tabs>
          <w:tab w:leader="none" w:pos="700" w:val="left"/>
        </w:tabs>
        <w:rPr>
          <w:sz w:val="20"/>
          <w:szCs w:val="20"/>
          <w:color w:val="auto"/>
        </w:rPr>
      </w:pPr>
      <w:r>
        <w:rPr>
          <w:rFonts w:ascii="Arial" w:cs="Arial" w:eastAsia="Arial" w:hAnsi="Arial"/>
          <w:sz w:val="13"/>
          <w:szCs w:val="13"/>
          <w:b w:val="1"/>
          <w:bCs w:val="1"/>
          <w:color w:val="auto"/>
        </w:rPr>
        <w:t>9.2.</w:t>
      </w:r>
      <w:r>
        <w:rPr>
          <w:sz w:val="20"/>
          <w:szCs w:val="20"/>
          <w:color w:val="auto"/>
        </w:rPr>
        <w:tab/>
      </w:r>
      <w:r>
        <w:rPr>
          <w:rFonts w:ascii="Arial" w:cs="Arial" w:eastAsia="Arial" w:hAnsi="Arial"/>
          <w:sz w:val="13"/>
          <w:szCs w:val="13"/>
          <w:b w:val="1"/>
          <w:bCs w:val="1"/>
          <w:u w:val="single" w:color="auto"/>
          <w:color w:val="auto"/>
        </w:rPr>
        <w:t>Material Breach</w:t>
      </w:r>
      <w:r>
        <w:rPr>
          <w:rFonts w:ascii="Arial" w:cs="Arial" w:eastAsia="Arial" w:hAnsi="Arial"/>
          <w:sz w:val="13"/>
          <w:szCs w:val="13"/>
          <w:color w:val="auto"/>
        </w:rPr>
        <w:t>. Either party may terminate this Agreement in the event the other party commits a material breach of this Agreement and has not cured such breach within [*] of</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written notice thereof from the non-breaching party.</w:t>
      </w:r>
    </w:p>
    <w:p>
      <w:pPr>
        <w:spacing w:after="0" w:line="106"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3"/>
          <w:szCs w:val="13"/>
          <w:b w:val="1"/>
          <w:bCs w:val="1"/>
          <w:color w:val="auto"/>
        </w:rPr>
        <w:t>9.3.</w:t>
      </w:r>
      <w:r>
        <w:rPr>
          <w:sz w:val="20"/>
          <w:szCs w:val="20"/>
          <w:color w:val="auto"/>
        </w:rPr>
        <w:tab/>
      </w:r>
      <w:r>
        <w:rPr>
          <w:rFonts w:ascii="Arial" w:cs="Arial" w:eastAsia="Arial" w:hAnsi="Arial"/>
          <w:sz w:val="13"/>
          <w:szCs w:val="13"/>
          <w:b w:val="1"/>
          <w:bCs w:val="1"/>
          <w:u w:val="single" w:color="auto"/>
          <w:color w:val="auto"/>
        </w:rPr>
        <w:t>Termination by SI-BONE</w:t>
      </w:r>
      <w:r>
        <w:rPr>
          <w:rFonts w:ascii="Arial" w:cs="Arial" w:eastAsia="Arial" w:hAnsi="Arial"/>
          <w:sz w:val="13"/>
          <w:szCs w:val="13"/>
          <w:color w:val="auto"/>
        </w:rPr>
        <w:t>. SI-BONE may terminate this Agreement upon written notice to Supplier:</w:t>
      </w:r>
    </w:p>
    <w:p>
      <w:pPr>
        <w:spacing w:after="0" w:line="189" w:lineRule="exact"/>
        <w:rPr>
          <w:sz w:val="20"/>
          <w:szCs w:val="20"/>
          <w:color w:val="auto"/>
        </w:rPr>
      </w:pPr>
    </w:p>
    <w:p>
      <w:pPr>
        <w:jc w:val="both"/>
        <w:ind w:left="960" w:hanging="235"/>
        <w:spacing w:after="0" w:line="268" w:lineRule="auto"/>
        <w:tabs>
          <w:tab w:leader="none" w:pos="971" w:val="left"/>
        </w:tabs>
        <w:numPr>
          <w:ilvl w:val="0"/>
          <w:numId w:val="59"/>
        </w:numPr>
        <w:rPr>
          <w:rFonts w:ascii="Arial" w:cs="Arial" w:eastAsia="Arial" w:hAnsi="Arial"/>
          <w:sz w:val="13"/>
          <w:szCs w:val="13"/>
          <w:color w:val="auto"/>
        </w:rPr>
      </w:pPr>
      <w:r>
        <w:rPr>
          <w:rFonts w:ascii="Arial" w:cs="Arial" w:eastAsia="Arial" w:hAnsi="Arial"/>
          <w:sz w:val="13"/>
          <w:szCs w:val="13"/>
          <w:color w:val="auto"/>
        </w:rPr>
        <w:t>if Supplier fails to deliver a shipment of conforming Products in the quantities and [*] of the mutually agreed delivery date for a SI-BONE Order submitted in accordance with this Agreement and such failure results in a delay or Product backorder of an aggregate total (together with any other delays during the same Supply Period) of more than [*] (a “</w:t>
      </w:r>
      <w:r>
        <w:rPr>
          <w:rFonts w:ascii="Arial" w:cs="Arial" w:eastAsia="Arial" w:hAnsi="Arial"/>
          <w:sz w:val="13"/>
          <w:szCs w:val="13"/>
          <w:b w:val="1"/>
          <w:bCs w:val="1"/>
          <w:i w:val="1"/>
          <w:iCs w:val="1"/>
          <w:color w:val="auto"/>
        </w:rPr>
        <w:t>Supply Failure</w:t>
      </w:r>
      <w:r>
        <w:rPr>
          <w:rFonts w:ascii="Arial" w:cs="Arial" w:eastAsia="Arial" w:hAnsi="Arial"/>
          <w:sz w:val="13"/>
          <w:szCs w:val="13"/>
          <w:color w:val="auto"/>
        </w:rPr>
        <w:t>”);</w:t>
      </w:r>
    </w:p>
    <w:p>
      <w:pPr>
        <w:spacing w:after="0" w:line="143" w:lineRule="exact"/>
        <w:rPr>
          <w:rFonts w:ascii="Arial" w:cs="Arial" w:eastAsia="Arial" w:hAnsi="Arial"/>
          <w:sz w:val="13"/>
          <w:szCs w:val="13"/>
          <w:color w:val="auto"/>
        </w:rPr>
      </w:pPr>
    </w:p>
    <w:p>
      <w:pPr>
        <w:ind w:left="960" w:hanging="235"/>
        <w:spacing w:after="0"/>
        <w:tabs>
          <w:tab w:leader="none" w:pos="9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if Supplier changes the site of manufacture of any Products to a site that has not been previously approved by SI-BONE in writing;</w:t>
      </w:r>
    </w:p>
    <w:p>
      <w:pPr>
        <w:spacing w:after="0" w:line="172" w:lineRule="exact"/>
        <w:rPr>
          <w:rFonts w:ascii="Arial" w:cs="Arial" w:eastAsia="Arial" w:hAnsi="Arial"/>
          <w:sz w:val="13"/>
          <w:szCs w:val="13"/>
          <w:color w:val="auto"/>
        </w:rPr>
      </w:pPr>
    </w:p>
    <w:p>
      <w:pPr>
        <w:ind w:left="980" w:hanging="255"/>
        <w:spacing w:after="0"/>
        <w:tabs>
          <w:tab w:leader="none" w:pos="9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 the event of a Change in Control of Supplier or Supplier sells all or substantially all of its assets relating to the manufacturing of the Products; or</w:t>
      </w:r>
    </w:p>
    <w:p>
      <w:pPr>
        <w:spacing w:after="0" w:line="172" w:lineRule="exact"/>
        <w:rPr>
          <w:rFonts w:ascii="Arial" w:cs="Arial" w:eastAsia="Arial" w:hAnsi="Arial"/>
          <w:sz w:val="13"/>
          <w:szCs w:val="13"/>
          <w:color w:val="auto"/>
        </w:rPr>
      </w:pPr>
    </w:p>
    <w:p>
      <w:pPr>
        <w:ind w:left="960" w:hanging="235"/>
        <w:spacing w:after="0"/>
        <w:tabs>
          <w:tab w:leader="none" w:pos="9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if Supplier breaches Section 8 hereof (Non-Interference Covenant).</w:t>
      </w:r>
    </w:p>
    <w:p>
      <w:pPr>
        <w:spacing w:after="0" w:line="157" w:lineRule="exact"/>
        <w:rPr>
          <w:sz w:val="20"/>
          <w:szCs w:val="20"/>
          <w:color w:val="auto"/>
        </w:rPr>
      </w:pPr>
    </w:p>
    <w:p>
      <w:pPr>
        <w:jc w:val="both"/>
        <w:ind w:left="720" w:hanging="361"/>
        <w:spacing w:after="0" w:line="281" w:lineRule="auto"/>
        <w:tabs>
          <w:tab w:leader="none" w:pos="700" w:val="left"/>
        </w:tabs>
        <w:rPr>
          <w:sz w:val="20"/>
          <w:szCs w:val="20"/>
          <w:color w:val="auto"/>
        </w:rPr>
      </w:pPr>
      <w:r>
        <w:rPr>
          <w:rFonts w:ascii="Arial" w:cs="Arial" w:eastAsia="Arial" w:hAnsi="Arial"/>
          <w:sz w:val="13"/>
          <w:szCs w:val="13"/>
          <w:b w:val="1"/>
          <w:bCs w:val="1"/>
          <w:color w:val="auto"/>
        </w:rPr>
        <w:t>9.4.</w:t>
      </w:r>
      <w:r>
        <w:rPr>
          <w:sz w:val="20"/>
          <w:szCs w:val="20"/>
          <w:color w:val="auto"/>
        </w:rPr>
        <w:tab/>
      </w:r>
      <w:r>
        <w:rPr>
          <w:rFonts w:ascii="Arial" w:cs="Arial" w:eastAsia="Arial" w:hAnsi="Arial"/>
          <w:sz w:val="13"/>
          <w:szCs w:val="13"/>
          <w:b w:val="1"/>
          <w:bCs w:val="1"/>
          <w:u w:val="single" w:color="auto"/>
          <w:color w:val="auto"/>
        </w:rPr>
        <w:t>Insolvency</w:t>
      </w:r>
      <w:r>
        <w:rPr>
          <w:rFonts w:ascii="Arial" w:cs="Arial" w:eastAsia="Arial" w:hAnsi="Arial"/>
          <w:sz w:val="13"/>
          <w:szCs w:val="13"/>
          <w:color w:val="auto"/>
        </w:rPr>
        <w:t>. Either party may terminate this Agreement if the other party files, or has filed against it, a petition for voluntary or involuntary bankruptcy or pursuant to any other</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insolvency law, or the other party makes or seeks to make a general assignment for the benefit of its creditors or applies for or consents to the appointment of a trustee, receiver or custodian for it or a substantial part of its property, and, in the case of an involuntary bankruptcy, such situation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10 of #23</w:t>
      </w:r>
    </w:p>
    <w:p>
      <w:pPr>
        <w:spacing w:after="0" w:line="92" w:lineRule="exact"/>
        <w:rPr>
          <w:sz w:val="20"/>
          <w:szCs w:val="20"/>
          <w:color w:val="auto"/>
        </w:rPr>
      </w:pPr>
    </w:p>
    <w:p>
      <w:pPr>
        <w:ind w:left="180" w:hanging="173"/>
        <w:spacing w:after="0"/>
        <w:tabs>
          <w:tab w:leader="none" w:pos="1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82" w:name="page83"/>
    <w:bookmarkEnd w:id="82"/>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20"/>
        <w:spacing w:after="0"/>
        <w:rPr>
          <w:sz w:val="20"/>
          <w:szCs w:val="20"/>
          <w:color w:val="auto"/>
        </w:rPr>
      </w:pPr>
      <w:r>
        <w:rPr>
          <w:rFonts w:ascii="Arial" w:cs="Arial" w:eastAsia="Arial" w:hAnsi="Arial"/>
          <w:sz w:val="13"/>
          <w:szCs w:val="13"/>
          <w:color w:val="auto"/>
        </w:rPr>
        <w:t>not cured within [*] from its occurrence, such termination to take effect upon delivery of notice of termination to the other party.</w:t>
      </w:r>
    </w:p>
    <w:p>
      <w:pPr>
        <w:spacing w:after="0" w:line="157" w:lineRule="exact"/>
        <w:rPr>
          <w:sz w:val="20"/>
          <w:szCs w:val="20"/>
          <w:color w:val="auto"/>
        </w:rPr>
      </w:pPr>
    </w:p>
    <w:p>
      <w:pPr>
        <w:jc w:val="both"/>
        <w:ind w:left="720" w:hanging="361"/>
        <w:spacing w:after="0" w:line="294" w:lineRule="auto"/>
        <w:tabs>
          <w:tab w:leader="none" w:pos="700" w:val="left"/>
        </w:tabs>
        <w:rPr>
          <w:sz w:val="20"/>
          <w:szCs w:val="20"/>
          <w:color w:val="auto"/>
        </w:rPr>
      </w:pPr>
      <w:r>
        <w:rPr>
          <w:rFonts w:ascii="Arial" w:cs="Arial" w:eastAsia="Arial" w:hAnsi="Arial"/>
          <w:sz w:val="13"/>
          <w:szCs w:val="13"/>
          <w:b w:val="1"/>
          <w:bCs w:val="1"/>
          <w:color w:val="auto"/>
        </w:rPr>
        <w:t>9.5.</w:t>
      </w:r>
      <w:r>
        <w:rPr>
          <w:sz w:val="20"/>
          <w:szCs w:val="20"/>
          <w:color w:val="auto"/>
        </w:rPr>
        <w:tab/>
      </w:r>
      <w:r>
        <w:rPr>
          <w:rFonts w:ascii="Arial" w:cs="Arial" w:eastAsia="Arial" w:hAnsi="Arial"/>
          <w:sz w:val="13"/>
          <w:szCs w:val="13"/>
          <w:b w:val="1"/>
          <w:bCs w:val="1"/>
          <w:u w:val="single" w:color="auto"/>
          <w:color w:val="auto"/>
        </w:rPr>
        <w:t>Last Purchase</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If this agreement is terminated by SI-BONE in accordance with 9.3, SI-BONE will have the option of placing a last purchase with the Supplier equal to the amount</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of the demand for up to a [*] period based on the then current forecast and unit prices, to be delivered by the Supplier within a mutually agreed upon time frame or a maximum of [*].</w:t>
      </w:r>
    </w:p>
    <w:p>
      <w:pPr>
        <w:spacing w:after="0" w:line="278" w:lineRule="exact"/>
        <w:rPr>
          <w:sz w:val="20"/>
          <w:szCs w:val="20"/>
          <w:color w:val="auto"/>
        </w:rPr>
      </w:pPr>
    </w:p>
    <w:p>
      <w:pPr>
        <w:jc w:val="both"/>
        <w:ind w:left="720" w:hanging="361"/>
        <w:spacing w:after="0" w:line="269" w:lineRule="auto"/>
        <w:tabs>
          <w:tab w:leader="none" w:pos="700" w:val="left"/>
        </w:tabs>
        <w:rPr>
          <w:sz w:val="20"/>
          <w:szCs w:val="20"/>
          <w:color w:val="auto"/>
        </w:rPr>
      </w:pPr>
      <w:r>
        <w:rPr>
          <w:rFonts w:ascii="Arial" w:cs="Arial" w:eastAsia="Arial" w:hAnsi="Arial"/>
          <w:sz w:val="13"/>
          <w:szCs w:val="13"/>
          <w:b w:val="1"/>
          <w:bCs w:val="1"/>
          <w:color w:val="auto"/>
        </w:rPr>
        <w:t>9.6.</w:t>
      </w:r>
      <w:r>
        <w:rPr>
          <w:sz w:val="20"/>
          <w:szCs w:val="20"/>
          <w:color w:val="auto"/>
        </w:rPr>
        <w:tab/>
      </w:r>
      <w:r>
        <w:rPr>
          <w:rFonts w:ascii="Arial" w:cs="Arial" w:eastAsia="Arial" w:hAnsi="Arial"/>
          <w:sz w:val="13"/>
          <w:szCs w:val="13"/>
          <w:b w:val="1"/>
          <w:bCs w:val="1"/>
          <w:u w:val="single" w:color="auto"/>
          <w:color w:val="auto"/>
        </w:rPr>
        <w:t>Effect of Termination</w:t>
      </w:r>
      <w:r>
        <w:rPr>
          <w:rFonts w:ascii="Arial" w:cs="Arial" w:eastAsia="Arial" w:hAnsi="Arial"/>
          <w:sz w:val="13"/>
          <w:szCs w:val="13"/>
          <w:color w:val="auto"/>
        </w:rPr>
        <w:t>. Immediately upon expiration or termination of this Agreement, Supplier will discontinue manufacturing the Products and the license under Section 7.1</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shall terminate; provided, that expiration or termination of this Agreement shall not relieve the parties of any obligation accruing prior of such expiration or termination. Upon termination or expiration of this Agreement, SI-BONE shall take delivery of and pay for all Products under any Order outstanding as of the date of termination only in the event of a termination by SI-BONE under Section 9.1 unless SI-BONE terminated the Agreement for cause, and Supplier will (i) fulfill all Orders submitted to Supplier prior to the effective date of termination and (ii) promptly return all SI-BONE documentation and property in Supplier’s possession.</w:t>
      </w:r>
    </w:p>
    <w:p>
      <w:pPr>
        <w:spacing w:after="0" w:line="129" w:lineRule="exact"/>
        <w:rPr>
          <w:sz w:val="20"/>
          <w:szCs w:val="20"/>
          <w:color w:val="auto"/>
        </w:rPr>
      </w:pPr>
    </w:p>
    <w:p>
      <w:pPr>
        <w:jc w:val="both"/>
        <w:ind w:left="720" w:hanging="361"/>
        <w:spacing w:after="0" w:line="281" w:lineRule="auto"/>
        <w:tabs>
          <w:tab w:leader="none" w:pos="700" w:val="left"/>
        </w:tabs>
        <w:rPr>
          <w:sz w:val="20"/>
          <w:szCs w:val="20"/>
          <w:color w:val="auto"/>
        </w:rPr>
      </w:pPr>
      <w:r>
        <w:rPr>
          <w:rFonts w:ascii="Arial" w:cs="Arial" w:eastAsia="Arial" w:hAnsi="Arial"/>
          <w:sz w:val="13"/>
          <w:szCs w:val="13"/>
          <w:b w:val="1"/>
          <w:bCs w:val="1"/>
          <w:color w:val="auto"/>
        </w:rPr>
        <w:t>9.7.</w:t>
      </w:r>
      <w:r>
        <w:rPr>
          <w:sz w:val="20"/>
          <w:szCs w:val="20"/>
          <w:color w:val="auto"/>
        </w:rPr>
        <w:tab/>
      </w:r>
      <w:r>
        <w:rPr>
          <w:rFonts w:ascii="Arial" w:cs="Arial" w:eastAsia="Arial" w:hAnsi="Arial"/>
          <w:sz w:val="13"/>
          <w:szCs w:val="13"/>
          <w:b w:val="1"/>
          <w:bCs w:val="1"/>
          <w:u w:val="single" w:color="auto"/>
          <w:color w:val="auto"/>
        </w:rPr>
        <w:t>Survival</w:t>
      </w:r>
      <w:r>
        <w:rPr>
          <w:rFonts w:ascii="Arial" w:cs="Arial" w:eastAsia="Arial" w:hAnsi="Arial"/>
          <w:sz w:val="13"/>
          <w:szCs w:val="13"/>
          <w:color w:val="auto"/>
        </w:rPr>
        <w:t>. All of the representations, warranties, and indemnifications made in this Agreement, and all terms and provisions hereof intended to be observed and performed by the</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parties after the termination hereof, including Sections 4.1, 4.3, 4.5, 4.6, 4.7, 4.9, 4.10, 4.12, 4.13, 4.15, 7.2, 7.3, 7.4, 8, 9, 10, 11 and 12 shall survive such termination and continue thereafter in full force and effect, subject to applicable statutes of limitations.</w:t>
      </w:r>
    </w:p>
    <w:p>
      <w:pPr>
        <w:spacing w:after="0" w:line="119" w:lineRule="exact"/>
        <w:rPr>
          <w:sz w:val="20"/>
          <w:szCs w:val="20"/>
          <w:color w:val="auto"/>
        </w:rPr>
      </w:pPr>
    </w:p>
    <w:p>
      <w:pPr>
        <w:ind w:left="240" w:hanging="239"/>
        <w:spacing w:after="0"/>
        <w:tabs>
          <w:tab w:leader="none" w:pos="24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CONFIDENTIALITY; PUBLICITY</w:t>
      </w:r>
      <w:r>
        <w:rPr>
          <w:rFonts w:ascii="Arial" w:cs="Arial" w:eastAsia="Arial" w:hAnsi="Arial"/>
          <w:sz w:val="13"/>
          <w:szCs w:val="13"/>
          <w:color w:val="auto"/>
        </w:rPr>
        <w:t>.</w:t>
      </w:r>
    </w:p>
    <w:p>
      <w:pPr>
        <w:spacing w:after="0" w:line="173" w:lineRule="exact"/>
        <w:rPr>
          <w:sz w:val="20"/>
          <w:szCs w:val="20"/>
          <w:color w:val="auto"/>
        </w:rPr>
      </w:pPr>
    </w:p>
    <w:p>
      <w:pPr>
        <w:jc w:val="both"/>
        <w:ind w:left="720" w:hanging="361"/>
        <w:spacing w:after="0" w:line="262" w:lineRule="auto"/>
        <w:rPr>
          <w:sz w:val="20"/>
          <w:szCs w:val="20"/>
          <w:color w:val="auto"/>
        </w:rPr>
      </w:pPr>
      <w:r>
        <w:rPr>
          <w:rFonts w:ascii="Arial" w:cs="Arial" w:eastAsia="Arial" w:hAnsi="Arial"/>
          <w:sz w:val="13"/>
          <w:szCs w:val="13"/>
          <w:b w:val="1"/>
          <w:bCs w:val="1"/>
          <w:color w:val="auto"/>
        </w:rPr>
        <w:t xml:space="preserve">10.1. </w:t>
      </w:r>
      <w:r>
        <w:rPr>
          <w:rFonts w:ascii="Arial" w:cs="Arial" w:eastAsia="Arial" w:hAnsi="Arial"/>
          <w:sz w:val="13"/>
          <w:szCs w:val="13"/>
          <w:b w:val="1"/>
          <w:bCs w:val="1"/>
          <w:u w:val="single" w:color="auto"/>
          <w:color w:val="auto"/>
        </w:rPr>
        <w:t>Confidential and Proprietary Information</w:t>
      </w:r>
      <w:r>
        <w:rPr>
          <w:rFonts w:ascii="Arial" w:cs="Arial" w:eastAsia="Arial" w:hAnsi="Arial"/>
          <w:sz w:val="13"/>
          <w:szCs w:val="13"/>
          <w:color w:val="auto"/>
        </w:rPr>
        <w:t>. SI-BONE and the Supplier will have access to each other’s Confidential and Proprietary Information. “</w:t>
      </w:r>
      <w:r>
        <w:rPr>
          <w:rFonts w:ascii="Arial" w:cs="Arial" w:eastAsia="Arial" w:hAnsi="Arial"/>
          <w:sz w:val="13"/>
          <w:szCs w:val="13"/>
          <w:b w:val="1"/>
          <w:bCs w:val="1"/>
          <w:i w:val="1"/>
          <w:iCs w:val="1"/>
          <w:color w:val="auto"/>
        </w:rPr>
        <w:t>Confidential and Proprietary</w:t>
      </w:r>
      <w:r>
        <w:rPr>
          <w:rFonts w:ascii="Arial" w:cs="Arial" w:eastAsia="Arial" w:hAnsi="Arial"/>
          <w:sz w:val="13"/>
          <w:szCs w:val="13"/>
          <w:b w:val="1"/>
          <w:bCs w:val="1"/>
          <w:color w:val="auto"/>
        </w:rPr>
        <w:t xml:space="preserve"> </w:t>
      </w:r>
      <w:r>
        <w:rPr>
          <w:rFonts w:ascii="Arial" w:cs="Arial" w:eastAsia="Arial" w:hAnsi="Arial"/>
          <w:sz w:val="13"/>
          <w:szCs w:val="13"/>
          <w:b w:val="1"/>
          <w:bCs w:val="1"/>
          <w:i w:val="1"/>
          <w:iCs w:val="1"/>
          <w:color w:val="auto"/>
        </w:rPr>
        <w:t>Information</w:t>
      </w:r>
      <w:r>
        <w:rPr>
          <w:rFonts w:ascii="Arial" w:cs="Arial" w:eastAsia="Arial" w:hAnsi="Arial"/>
          <w:sz w:val="13"/>
          <w:szCs w:val="13"/>
          <w:color w:val="auto"/>
        </w:rPr>
        <w:t>” means any trade secret as defined by the Uniform Trade Secrets Act (“</w:t>
      </w:r>
      <w:r>
        <w:rPr>
          <w:rFonts w:ascii="Arial" w:cs="Arial" w:eastAsia="Arial" w:hAnsi="Arial"/>
          <w:sz w:val="13"/>
          <w:szCs w:val="13"/>
          <w:b w:val="1"/>
          <w:bCs w:val="1"/>
          <w:i w:val="1"/>
          <w:iCs w:val="1"/>
          <w:color w:val="auto"/>
        </w:rPr>
        <w:t>Trade Secret</w:t>
      </w:r>
      <w:r>
        <w:rPr>
          <w:rFonts w:ascii="Arial" w:cs="Arial" w:eastAsia="Arial" w:hAnsi="Arial"/>
          <w:sz w:val="13"/>
          <w:szCs w:val="13"/>
          <w:color w:val="auto"/>
        </w:rPr>
        <w:t>”), other information viewed by the party disclosing it (the “</w:t>
      </w:r>
      <w:r>
        <w:rPr>
          <w:rFonts w:ascii="Arial" w:cs="Arial" w:eastAsia="Arial" w:hAnsi="Arial"/>
          <w:sz w:val="13"/>
          <w:szCs w:val="13"/>
          <w:b w:val="1"/>
          <w:bCs w:val="1"/>
          <w:i w:val="1"/>
          <w:iCs w:val="1"/>
          <w:color w:val="auto"/>
        </w:rPr>
        <w:t>Disclosing Party</w:t>
      </w:r>
      <w:r>
        <w:rPr>
          <w:rFonts w:ascii="Arial" w:cs="Arial" w:eastAsia="Arial" w:hAnsi="Arial"/>
          <w:sz w:val="13"/>
          <w:szCs w:val="13"/>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confidential and/or proprietary, and any and all information or proprietary materials (in every form and media) not generally known in the relevant trade or industry made available by either party to the party receiving such information (in such case, the “</w:t>
      </w:r>
      <w:r>
        <w:rPr>
          <w:rFonts w:ascii="Arial" w:cs="Arial" w:eastAsia="Arial" w:hAnsi="Arial"/>
          <w:sz w:val="13"/>
          <w:szCs w:val="13"/>
          <w:b w:val="1"/>
          <w:bCs w:val="1"/>
          <w:i w:val="1"/>
          <w:iCs w:val="1"/>
          <w:color w:val="auto"/>
        </w:rPr>
        <w:t>Receiving Party</w:t>
      </w:r>
      <w:r>
        <w:rPr>
          <w:rFonts w:ascii="Arial" w:cs="Arial" w:eastAsia="Arial" w:hAnsi="Arial"/>
          <w:sz w:val="13"/>
          <w:szCs w:val="13"/>
          <w:color w:val="auto"/>
        </w:rPr>
        <w:t>”) in connection with the efforts contemplated hereunder and which the Disclosing Party designates as confidential or may reasonably be understood as confidential, including, but not limited to (i) all Intellectual Property of either party; (ii) existing or contemplated products, services, designs, inventions, technology, processes, technical data, engineering, techniques, methodologies and concepts and any information related thereto; and (iii) information relating to business plans, sales, consultants, employees, or marketing methods and customer lists or requirements. The Receiving Party will maintain the information in confidence using the same standard of care it uses to maintain its own Confidential and Proprietary Information in confidence, but in any case, no less than reasonable commercial diligence, and will not use such information for itself or others except as provided in this Agreement. Such obligation of confidentiality and non-use shall not apply to information which (a) is known to the Receiving Party prior to the disclosure as demonstrated by documentary evidence, (b) is publicly known as of the date of the disclosure, (c) becomes publicly known after the date of disclosure through no fault of the Receiving Party, (d) is received by the Receiving Party from a third party who has, to the Receiving Party’s knowledge, no obligation of confidentiality to the Disclosing Party, or (v) is developed independently by the Receiving Party without reference to the Disclosing Party’s Confidential and Proprietary Information as demonstrated by documentary evidence. Such obligation of confidentiality and non-use shall survive any expiration or termination of this Agreement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11 of #23</w:t>
      </w:r>
    </w:p>
    <w:p>
      <w:pPr>
        <w:spacing w:after="0" w:line="92" w:lineRule="exact"/>
        <w:rPr>
          <w:sz w:val="20"/>
          <w:szCs w:val="20"/>
          <w:color w:val="auto"/>
        </w:rPr>
      </w:pPr>
    </w:p>
    <w:p>
      <w:pPr>
        <w:ind w:left="180" w:hanging="173"/>
        <w:spacing w:after="0"/>
        <w:tabs>
          <w:tab w:leader="none" w:pos="1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83" w:name="page84"/>
    <w:bookmarkEnd w:id="83"/>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720"/>
        <w:spacing w:after="0" w:line="272" w:lineRule="auto"/>
        <w:rPr>
          <w:sz w:val="20"/>
          <w:szCs w:val="20"/>
          <w:color w:val="auto"/>
        </w:rPr>
      </w:pPr>
      <w:r>
        <w:rPr>
          <w:rFonts w:ascii="Arial" w:cs="Arial" w:eastAsia="Arial" w:hAnsi="Arial"/>
          <w:sz w:val="13"/>
          <w:szCs w:val="13"/>
          <w:color w:val="auto"/>
        </w:rPr>
        <w:t xml:space="preserve">period of [*];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such restrictions shall survive indefinitely, or until public disclosure of the secret occurs through no fault or breach of the other party, for any information which is Trade Secret information of a party. The restrictions on disclosure contained in this Section 10.1 shall not apply to any information which is required to be disclosed by a valid court order or governmental law or regulation, provided that the Receiving Party gives the Disclosing Party prompt notice of any such requirement and cooperates with the Disclosing Party, at the Disclosing Party’s expense, in attempting to limit such disclosure and obtain confidential treatment thereof.</w:t>
      </w:r>
    </w:p>
    <w:p>
      <w:pPr>
        <w:spacing w:after="0" w:line="126" w:lineRule="exact"/>
        <w:rPr>
          <w:sz w:val="20"/>
          <w:szCs w:val="20"/>
          <w:color w:val="auto"/>
        </w:rPr>
      </w:pPr>
    </w:p>
    <w:p>
      <w:pPr>
        <w:jc w:val="both"/>
        <w:ind w:left="720" w:hanging="361"/>
        <w:spacing w:after="0" w:line="281" w:lineRule="auto"/>
        <w:rPr>
          <w:sz w:val="20"/>
          <w:szCs w:val="20"/>
          <w:color w:val="auto"/>
        </w:rPr>
      </w:pPr>
      <w:r>
        <w:rPr>
          <w:rFonts w:ascii="Arial" w:cs="Arial" w:eastAsia="Arial" w:hAnsi="Arial"/>
          <w:sz w:val="13"/>
          <w:szCs w:val="13"/>
          <w:b w:val="1"/>
          <w:bCs w:val="1"/>
          <w:color w:val="auto"/>
        </w:rPr>
        <w:t xml:space="preserve">10.2. </w:t>
      </w:r>
      <w:r>
        <w:rPr>
          <w:rFonts w:ascii="Arial" w:cs="Arial" w:eastAsia="Arial" w:hAnsi="Arial"/>
          <w:sz w:val="13"/>
          <w:szCs w:val="13"/>
          <w:b w:val="1"/>
          <w:bCs w:val="1"/>
          <w:u w:val="single" w:color="auto"/>
          <w:color w:val="auto"/>
        </w:rPr>
        <w:t>Misuse of Confidential and Proprietary Information</w:t>
      </w:r>
      <w:r>
        <w:rPr>
          <w:rFonts w:ascii="Arial" w:cs="Arial" w:eastAsia="Arial" w:hAnsi="Arial"/>
          <w:sz w:val="13"/>
          <w:szCs w:val="13"/>
          <w:color w:val="auto"/>
        </w:rPr>
        <w:t>. Each party understands and agrees that this provision prohibits it from rendering services to another party to the extent</w:t>
      </w:r>
      <w:r>
        <w:rPr>
          <w:rFonts w:ascii="Arial" w:cs="Arial" w:eastAsia="Arial" w:hAnsi="Arial"/>
          <w:sz w:val="13"/>
          <w:szCs w:val="13"/>
          <w:b w:val="1"/>
          <w:bCs w:val="1"/>
          <w:color w:val="auto"/>
        </w:rPr>
        <w:t xml:space="preserve"> </w:t>
      </w:r>
      <w:r>
        <w:rPr>
          <w:rFonts w:ascii="Arial" w:cs="Arial" w:eastAsia="Arial" w:hAnsi="Arial"/>
          <w:sz w:val="13"/>
          <w:szCs w:val="13"/>
          <w:color w:val="auto"/>
        </w:rPr>
        <w:t>that such party would use, disclose, or rely upon the other party’s trade secrets in the course of rendering such services or use disclose or rely upon Confidential and Proprietary Information in any way other than for the other party’s benefit and in the furtherance of the objectives of this Agreement.</w:t>
      </w:r>
    </w:p>
    <w:p>
      <w:pPr>
        <w:spacing w:after="0" w:line="119" w:lineRule="exact"/>
        <w:rPr>
          <w:sz w:val="20"/>
          <w:szCs w:val="20"/>
          <w:color w:val="auto"/>
        </w:rPr>
      </w:pPr>
    </w:p>
    <w:p>
      <w:pPr>
        <w:jc w:val="both"/>
        <w:ind w:left="720" w:hanging="361"/>
        <w:spacing w:after="0" w:line="281" w:lineRule="auto"/>
        <w:rPr>
          <w:sz w:val="20"/>
          <w:szCs w:val="20"/>
          <w:color w:val="auto"/>
        </w:rPr>
      </w:pPr>
      <w:r>
        <w:rPr>
          <w:rFonts w:ascii="Arial" w:cs="Arial" w:eastAsia="Arial" w:hAnsi="Arial"/>
          <w:sz w:val="13"/>
          <w:szCs w:val="13"/>
          <w:b w:val="1"/>
          <w:bCs w:val="1"/>
          <w:color w:val="auto"/>
        </w:rPr>
        <w:t xml:space="preserve">10.3. </w:t>
      </w:r>
      <w:r>
        <w:rPr>
          <w:rFonts w:ascii="Arial" w:cs="Arial" w:eastAsia="Arial" w:hAnsi="Arial"/>
          <w:sz w:val="13"/>
          <w:szCs w:val="13"/>
          <w:b w:val="1"/>
          <w:bCs w:val="1"/>
          <w:u w:val="single" w:color="auto"/>
          <w:color w:val="auto"/>
        </w:rPr>
        <w:t>Publicity</w:t>
      </w:r>
      <w:r>
        <w:rPr>
          <w:rFonts w:ascii="Arial" w:cs="Arial" w:eastAsia="Arial" w:hAnsi="Arial"/>
          <w:sz w:val="13"/>
          <w:szCs w:val="13"/>
          <w:color w:val="auto"/>
        </w:rPr>
        <w:t>. Except as otherwise provided in this Agreement or required by Law, neither party shall use the other’s name or refer to it directly or indirectly in an advertisement, news</w:t>
      </w:r>
      <w:r>
        <w:rPr>
          <w:rFonts w:ascii="Arial" w:cs="Arial" w:eastAsia="Arial" w:hAnsi="Arial"/>
          <w:sz w:val="13"/>
          <w:szCs w:val="13"/>
          <w:b w:val="1"/>
          <w:bCs w:val="1"/>
          <w:color w:val="auto"/>
        </w:rPr>
        <w:t xml:space="preserve"> </w:t>
      </w:r>
      <w:r>
        <w:rPr>
          <w:rFonts w:ascii="Arial" w:cs="Arial" w:eastAsia="Arial" w:hAnsi="Arial"/>
          <w:sz w:val="13"/>
          <w:szCs w:val="13"/>
          <w:color w:val="auto"/>
        </w:rPr>
        <w:t>release or release to any professional or trade publication without written approval from such party, which approval may not be unreasonably withheld or delayed. Neither party shall use the name of the other for advertising or promotional claims without the prior written consent of the other party.</w:t>
      </w:r>
    </w:p>
    <w:p>
      <w:pPr>
        <w:spacing w:after="0" w:line="119" w:lineRule="exact"/>
        <w:rPr>
          <w:sz w:val="20"/>
          <w:szCs w:val="20"/>
          <w:color w:val="auto"/>
        </w:rPr>
      </w:pPr>
    </w:p>
    <w:p>
      <w:pPr>
        <w:jc w:val="both"/>
        <w:ind w:left="720" w:hanging="361"/>
        <w:spacing w:after="0" w:line="281" w:lineRule="auto"/>
        <w:rPr>
          <w:sz w:val="20"/>
          <w:szCs w:val="20"/>
          <w:color w:val="auto"/>
        </w:rPr>
      </w:pPr>
      <w:r>
        <w:rPr>
          <w:rFonts w:ascii="Arial" w:cs="Arial" w:eastAsia="Arial" w:hAnsi="Arial"/>
          <w:sz w:val="13"/>
          <w:szCs w:val="13"/>
          <w:b w:val="1"/>
          <w:bCs w:val="1"/>
          <w:color w:val="auto"/>
        </w:rPr>
        <w:t xml:space="preserve">10.4. </w:t>
      </w:r>
      <w:r>
        <w:rPr>
          <w:rFonts w:ascii="Arial" w:cs="Arial" w:eastAsia="Arial" w:hAnsi="Arial"/>
          <w:sz w:val="13"/>
          <w:szCs w:val="13"/>
          <w:b w:val="1"/>
          <w:bCs w:val="1"/>
          <w:u w:val="single" w:color="auto"/>
          <w:color w:val="auto"/>
        </w:rPr>
        <w:t>Damages Inadequate</w:t>
      </w:r>
      <w:r>
        <w:rPr>
          <w:rFonts w:ascii="Arial" w:cs="Arial" w:eastAsia="Arial" w:hAnsi="Arial"/>
          <w:sz w:val="13"/>
          <w:szCs w:val="13"/>
          <w:color w:val="auto"/>
        </w:rPr>
        <w:t>. The parties acknowledge that monetary damages may be an inadequate remedy for any breach by a party of its obligations under this Section 10 and that</w:t>
      </w:r>
      <w:r>
        <w:rPr>
          <w:rFonts w:ascii="Arial" w:cs="Arial" w:eastAsia="Arial" w:hAnsi="Arial"/>
          <w:sz w:val="13"/>
          <w:szCs w:val="13"/>
          <w:b w:val="1"/>
          <w:bCs w:val="1"/>
          <w:color w:val="auto"/>
        </w:rPr>
        <w:t xml:space="preserve"> </w:t>
      </w:r>
      <w:r>
        <w:rPr>
          <w:rFonts w:ascii="Arial" w:cs="Arial" w:eastAsia="Arial" w:hAnsi="Arial"/>
          <w:sz w:val="13"/>
          <w:szCs w:val="13"/>
          <w:color w:val="auto"/>
        </w:rPr>
        <w:t>the non-breaching party shall be entitled to seek injunctive relief and specific performance to enforce the breaching party’s obligations, in addition to any other remedies the non-breaching party may be entitled to at law.</w:t>
      </w:r>
    </w:p>
    <w:p>
      <w:pPr>
        <w:spacing w:after="0" w:line="119" w:lineRule="exact"/>
        <w:rPr>
          <w:sz w:val="20"/>
          <w:szCs w:val="20"/>
          <w:color w:val="auto"/>
        </w:rPr>
      </w:pPr>
    </w:p>
    <w:p>
      <w:pPr>
        <w:ind w:left="240" w:hanging="239"/>
        <w:spacing w:after="0"/>
        <w:tabs>
          <w:tab w:leader="none" w:pos="240"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REMEDIES; INDEMNIFICATION</w:t>
      </w:r>
      <w:r>
        <w:rPr>
          <w:rFonts w:ascii="Arial" w:cs="Arial" w:eastAsia="Arial" w:hAnsi="Arial"/>
          <w:sz w:val="13"/>
          <w:szCs w:val="13"/>
          <w:color w:val="auto"/>
        </w:rPr>
        <w:t>.</w:t>
      </w:r>
    </w:p>
    <w:p>
      <w:pPr>
        <w:spacing w:after="0" w:line="173" w:lineRule="exact"/>
        <w:rPr>
          <w:sz w:val="20"/>
          <w:szCs w:val="20"/>
          <w:color w:val="auto"/>
        </w:rPr>
      </w:pPr>
    </w:p>
    <w:p>
      <w:pPr>
        <w:jc w:val="both"/>
        <w:ind w:left="720" w:hanging="361"/>
        <w:spacing w:after="0" w:line="277" w:lineRule="auto"/>
        <w:rPr>
          <w:sz w:val="20"/>
          <w:szCs w:val="20"/>
          <w:color w:val="auto"/>
        </w:rPr>
      </w:pPr>
      <w:r>
        <w:rPr>
          <w:rFonts w:ascii="Arial" w:cs="Arial" w:eastAsia="Arial" w:hAnsi="Arial"/>
          <w:sz w:val="13"/>
          <w:szCs w:val="13"/>
          <w:b w:val="1"/>
          <w:bCs w:val="1"/>
          <w:color w:val="auto"/>
        </w:rPr>
        <w:t xml:space="preserve">11.1. </w:t>
      </w:r>
      <w:r>
        <w:rPr>
          <w:rFonts w:ascii="Arial" w:cs="Arial" w:eastAsia="Arial" w:hAnsi="Arial"/>
          <w:sz w:val="13"/>
          <w:szCs w:val="13"/>
          <w:b w:val="1"/>
          <w:bCs w:val="1"/>
          <w:u w:val="single" w:color="auto"/>
          <w:color w:val="auto"/>
        </w:rPr>
        <w:t>Remedies for Nonconforming Products</w:t>
      </w:r>
      <w:r>
        <w:rPr>
          <w:rFonts w:ascii="Arial" w:cs="Arial" w:eastAsia="Arial" w:hAnsi="Arial"/>
          <w:sz w:val="13"/>
          <w:szCs w:val="13"/>
          <w:color w:val="auto"/>
        </w:rPr>
        <w:t>. In addition to any other remedies available to SI-BONE at law, in equity or hereunder, in the event Supplier delivers Nonconforming</w:t>
      </w:r>
      <w:r>
        <w:rPr>
          <w:rFonts w:ascii="Arial" w:cs="Arial" w:eastAsia="Arial" w:hAnsi="Arial"/>
          <w:sz w:val="13"/>
          <w:szCs w:val="13"/>
          <w:b w:val="1"/>
          <w:bCs w:val="1"/>
          <w:color w:val="auto"/>
        </w:rPr>
        <w:t xml:space="preserve"> </w:t>
      </w:r>
      <w:r>
        <w:rPr>
          <w:rFonts w:ascii="Arial" w:cs="Arial" w:eastAsia="Arial" w:hAnsi="Arial"/>
          <w:sz w:val="13"/>
          <w:szCs w:val="13"/>
          <w:color w:val="auto"/>
        </w:rPr>
        <w:t>Products to SI-BONE, SI-BONE may select, and Supplier shall provide, one of the following remedies: (a) the refund of the purchase price of the Nonconforming Products, (b) replacement with Products that conform to the Specifications, or (c) the cost of reconditioning or reworking any Nonconforming Products to conform in all material respects with the Specifications.</w:t>
      </w:r>
    </w:p>
    <w:p>
      <w:pPr>
        <w:spacing w:after="0" w:line="288" w:lineRule="exact"/>
        <w:rPr>
          <w:sz w:val="20"/>
          <w:szCs w:val="20"/>
          <w:color w:val="auto"/>
        </w:rPr>
      </w:pPr>
    </w:p>
    <w:p>
      <w:pPr>
        <w:jc w:val="both"/>
        <w:ind w:left="720" w:hanging="361"/>
        <w:spacing w:after="0" w:line="266" w:lineRule="auto"/>
        <w:rPr>
          <w:sz w:val="20"/>
          <w:szCs w:val="20"/>
          <w:color w:val="auto"/>
        </w:rPr>
      </w:pPr>
      <w:r>
        <w:rPr>
          <w:rFonts w:ascii="Arial" w:cs="Arial" w:eastAsia="Arial" w:hAnsi="Arial"/>
          <w:sz w:val="13"/>
          <w:szCs w:val="13"/>
          <w:b w:val="1"/>
          <w:bCs w:val="1"/>
          <w:color w:val="auto"/>
        </w:rPr>
        <w:t xml:space="preserve">11.2. </w:t>
      </w:r>
      <w:r>
        <w:rPr>
          <w:rFonts w:ascii="Arial" w:cs="Arial" w:eastAsia="Arial" w:hAnsi="Arial"/>
          <w:sz w:val="13"/>
          <w:szCs w:val="13"/>
          <w:b w:val="1"/>
          <w:bCs w:val="1"/>
          <w:u w:val="single" w:color="auto"/>
          <w:color w:val="auto"/>
        </w:rPr>
        <w:t>Indemnification by Supplier</w:t>
      </w:r>
      <w:r>
        <w:rPr>
          <w:rFonts w:ascii="Arial" w:cs="Arial" w:eastAsia="Arial" w:hAnsi="Arial"/>
          <w:sz w:val="13"/>
          <w:szCs w:val="13"/>
          <w:color w:val="auto"/>
        </w:rPr>
        <w:t>. Supplier agrees to indemnify, defend and hold SI-BONE, its affiliates, officers, directors, agents and employees (“</w:t>
      </w:r>
      <w:r>
        <w:rPr>
          <w:rFonts w:ascii="Arial" w:cs="Arial" w:eastAsia="Arial" w:hAnsi="Arial"/>
          <w:sz w:val="13"/>
          <w:szCs w:val="13"/>
          <w:b w:val="1"/>
          <w:bCs w:val="1"/>
          <w:i w:val="1"/>
          <w:iCs w:val="1"/>
          <w:color w:val="auto"/>
        </w:rPr>
        <w:t>SI-BONE Indemnitees</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harmless from and against all actions, liabilities, damages, claims and demands whatsoever, including, but not limited to, reasonable attorney fees and other expenses (“</w:t>
      </w:r>
      <w:r>
        <w:rPr>
          <w:rFonts w:ascii="Arial" w:cs="Arial" w:eastAsia="Arial" w:hAnsi="Arial"/>
          <w:sz w:val="13"/>
          <w:szCs w:val="13"/>
          <w:b w:val="1"/>
          <w:bCs w:val="1"/>
          <w:i w:val="1"/>
          <w:iCs w:val="1"/>
          <w:color w:val="auto"/>
        </w:rPr>
        <w:t>Claims</w:t>
      </w:r>
      <w:r>
        <w:rPr>
          <w:rFonts w:ascii="Arial" w:cs="Arial" w:eastAsia="Arial" w:hAnsi="Arial"/>
          <w:sz w:val="13"/>
          <w:szCs w:val="13"/>
          <w:color w:val="auto"/>
        </w:rPr>
        <w:t>”) that are brought or threatened against the SI-BONE Indemnitees and related to Supplier’s or Supplier Indemnitee’s: (a) breach of this Agreement; (b) violation of applicable laws and regulations; (c) breach of representations and warranties; (d) any claim of Intellectual Property infringement brought by third parties as a direct result of Supplier’s manufacturing processes or Supplier’s services provided hereunder, provided such infringement is not a direct result of the Specifications provided by SI-BONE; or (e) gross negligence, recklessness or willful misconduct. The duty to indemnify will not apply to the extent that any Loss arises from the gross negligence, recklessness, or willful misconduct of a SI-BONE Indemnitee or SI-BONE’s breach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12 of #23</w:t>
      </w:r>
    </w:p>
    <w:p>
      <w:pPr>
        <w:spacing w:after="0" w:line="92" w:lineRule="exact"/>
        <w:rPr>
          <w:sz w:val="20"/>
          <w:szCs w:val="20"/>
          <w:color w:val="auto"/>
        </w:rPr>
      </w:pPr>
    </w:p>
    <w:p>
      <w:pPr>
        <w:ind w:left="180" w:hanging="173"/>
        <w:spacing w:after="0"/>
        <w:tabs>
          <w:tab w:leader="none" w:pos="1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84" w:name="page85"/>
    <w:bookmarkEnd w:id="84"/>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20" w:hanging="361"/>
        <w:spacing w:after="0" w:line="267" w:lineRule="auto"/>
        <w:rPr>
          <w:sz w:val="20"/>
          <w:szCs w:val="20"/>
          <w:color w:val="auto"/>
        </w:rPr>
      </w:pPr>
      <w:r>
        <w:rPr>
          <w:rFonts w:ascii="Arial" w:cs="Arial" w:eastAsia="Arial" w:hAnsi="Arial"/>
          <w:sz w:val="13"/>
          <w:szCs w:val="13"/>
          <w:b w:val="1"/>
          <w:bCs w:val="1"/>
          <w:color w:val="auto"/>
        </w:rPr>
        <w:t xml:space="preserve">11.3. </w:t>
      </w:r>
      <w:r>
        <w:rPr>
          <w:rFonts w:ascii="Arial" w:cs="Arial" w:eastAsia="Arial" w:hAnsi="Arial"/>
          <w:sz w:val="13"/>
          <w:szCs w:val="13"/>
          <w:b w:val="1"/>
          <w:bCs w:val="1"/>
          <w:u w:val="single" w:color="auto"/>
          <w:color w:val="auto"/>
        </w:rPr>
        <w:t>Indemnification by SI-BONE</w:t>
      </w:r>
      <w:r>
        <w:rPr>
          <w:rFonts w:ascii="Arial" w:cs="Arial" w:eastAsia="Arial" w:hAnsi="Arial"/>
          <w:sz w:val="13"/>
          <w:szCs w:val="13"/>
          <w:color w:val="auto"/>
        </w:rPr>
        <w:t>. SI-BONE agrees to indemnify, defend and hold Supplier, its affiliates, officers, directors, agents and employees (“</w:t>
      </w:r>
      <w:r>
        <w:rPr>
          <w:rFonts w:ascii="Arial" w:cs="Arial" w:eastAsia="Arial" w:hAnsi="Arial"/>
          <w:sz w:val="13"/>
          <w:szCs w:val="13"/>
          <w:b w:val="1"/>
          <w:bCs w:val="1"/>
          <w:i w:val="1"/>
          <w:iCs w:val="1"/>
          <w:color w:val="auto"/>
        </w:rPr>
        <w:t>Supplier Indemnitees</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harmless from and against all Claims that are brought or threatened against the Supplier Indemnitees and related to: (a) SI-BONE’s breach of this Agreement; (b) SI-BONE’s violation of applicable laws and regulations; (c) defects or alleged defects in the design of the Products, provided such design defects are a result of specifications or instructions provided by SI-BONE and not Supplier’s manufacturing process; (d) infringement upon the Intellectual Property rights of third parties, provided such infringement is a direct result of the Specifications or instructions provided by SI-BONE; or (e) SI-BONE’s gross negligence, recklessness or willful misconduct. The duty to indemnify will not apply to the extent that any Claim arises from the gross negligence, recklessness, or willful misconduct of a Supplier Indemnitee or Supplier’s breach of this Agreement.</w:t>
      </w:r>
    </w:p>
    <w:p>
      <w:pPr>
        <w:spacing w:after="0" w:line="130" w:lineRule="exact"/>
        <w:rPr>
          <w:sz w:val="20"/>
          <w:szCs w:val="20"/>
          <w:color w:val="auto"/>
        </w:rPr>
      </w:pPr>
    </w:p>
    <w:p>
      <w:pPr>
        <w:jc w:val="both"/>
        <w:ind w:left="720" w:hanging="361"/>
        <w:spacing w:after="0" w:line="273" w:lineRule="auto"/>
        <w:rPr>
          <w:sz w:val="20"/>
          <w:szCs w:val="20"/>
          <w:color w:val="auto"/>
        </w:rPr>
      </w:pPr>
      <w:r>
        <w:rPr>
          <w:rFonts w:ascii="Arial" w:cs="Arial" w:eastAsia="Arial" w:hAnsi="Arial"/>
          <w:sz w:val="13"/>
          <w:szCs w:val="13"/>
          <w:b w:val="1"/>
          <w:bCs w:val="1"/>
          <w:color w:val="auto"/>
        </w:rPr>
        <w:t xml:space="preserve">11.4. </w:t>
      </w:r>
      <w:r>
        <w:rPr>
          <w:rFonts w:ascii="Arial" w:cs="Arial" w:eastAsia="Arial" w:hAnsi="Arial"/>
          <w:sz w:val="13"/>
          <w:szCs w:val="13"/>
          <w:b w:val="1"/>
          <w:bCs w:val="1"/>
          <w:u w:val="single" w:color="auto"/>
          <w:color w:val="auto"/>
        </w:rPr>
        <w:t>Indemnification Procedure</w:t>
      </w:r>
      <w:r>
        <w:rPr>
          <w:rFonts w:ascii="Arial" w:cs="Arial" w:eastAsia="Arial" w:hAnsi="Arial"/>
          <w:sz w:val="13"/>
          <w:szCs w:val="13"/>
          <w:color w:val="auto"/>
        </w:rPr>
        <w:t>. The party claiming indemnity (the “</w:t>
      </w:r>
      <w:r>
        <w:rPr>
          <w:rFonts w:ascii="Arial" w:cs="Arial" w:eastAsia="Arial" w:hAnsi="Arial"/>
          <w:sz w:val="13"/>
          <w:szCs w:val="13"/>
          <w:b w:val="1"/>
          <w:bCs w:val="1"/>
          <w:i w:val="1"/>
          <w:iCs w:val="1"/>
          <w:color w:val="auto"/>
        </w:rPr>
        <w:t>Indemnified Party</w:t>
      </w:r>
      <w:r>
        <w:rPr>
          <w:rFonts w:ascii="Arial" w:cs="Arial" w:eastAsia="Arial" w:hAnsi="Arial"/>
          <w:sz w:val="13"/>
          <w:szCs w:val="13"/>
          <w:color w:val="auto"/>
        </w:rPr>
        <w:t>”) shall provide the party from whom indemnity is being sought (the “</w:t>
      </w:r>
      <w:r>
        <w:rPr>
          <w:rFonts w:ascii="Arial" w:cs="Arial" w:eastAsia="Arial" w:hAnsi="Arial"/>
          <w:sz w:val="13"/>
          <w:szCs w:val="13"/>
          <w:b w:val="1"/>
          <w:bCs w:val="1"/>
          <w:i w:val="1"/>
          <w:iCs w:val="1"/>
          <w:color w:val="auto"/>
        </w:rPr>
        <w:t>Indemnifying Party</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with reasonable assistance, at the Indemnifying Party’s expense, in connection with the defense of the claim for which indemnity is being sought. The Indemnifying Party shall have the right to assume sole control over the defense of such claim and conduct the defense of the claim with counsel of its choice. The Indemnifying Party shall not settle any claim without the prior written consent of the Indemnified Party, not to be unreasonably withheld, unless the settlement involves only the payment of money.</w:t>
      </w:r>
    </w:p>
    <w:p>
      <w:pPr>
        <w:spacing w:after="0" w:line="125" w:lineRule="exact"/>
        <w:rPr>
          <w:sz w:val="20"/>
          <w:szCs w:val="20"/>
          <w:color w:val="auto"/>
        </w:rPr>
      </w:pPr>
    </w:p>
    <w:p>
      <w:pPr>
        <w:jc w:val="both"/>
        <w:ind w:left="720" w:hanging="361"/>
        <w:spacing w:after="0" w:line="269" w:lineRule="auto"/>
        <w:rPr>
          <w:sz w:val="20"/>
          <w:szCs w:val="20"/>
          <w:color w:val="auto"/>
        </w:rPr>
      </w:pPr>
      <w:r>
        <w:rPr>
          <w:rFonts w:ascii="Arial" w:cs="Arial" w:eastAsia="Arial" w:hAnsi="Arial"/>
          <w:sz w:val="13"/>
          <w:szCs w:val="13"/>
          <w:b w:val="1"/>
          <w:bCs w:val="1"/>
          <w:color w:val="auto"/>
        </w:rPr>
        <w:t xml:space="preserve">11.5. </w:t>
      </w:r>
      <w:r>
        <w:rPr>
          <w:rFonts w:ascii="Arial" w:cs="Arial" w:eastAsia="Arial" w:hAnsi="Arial"/>
          <w:sz w:val="13"/>
          <w:szCs w:val="13"/>
          <w:b w:val="1"/>
          <w:bCs w:val="1"/>
          <w:u w:val="single" w:color="auto"/>
          <w:color w:val="auto"/>
        </w:rPr>
        <w:t>Limitations of Damages</w:t>
      </w:r>
      <w:r>
        <w:rPr>
          <w:rFonts w:ascii="Arial" w:cs="Arial" w:eastAsia="Arial" w:hAnsi="Arial"/>
          <w:sz w:val="13"/>
          <w:szCs w:val="13"/>
          <w:color w:val="auto"/>
        </w:rPr>
        <w:t>. Notwithstanding anything to the contrary contained in this Agreement, neither party shall be liable to the other party or its Affiliates (except with respect</w:t>
      </w:r>
      <w:r>
        <w:rPr>
          <w:rFonts w:ascii="Arial" w:cs="Arial" w:eastAsia="Arial" w:hAnsi="Arial"/>
          <w:sz w:val="13"/>
          <w:szCs w:val="13"/>
          <w:b w:val="1"/>
          <w:bCs w:val="1"/>
          <w:color w:val="auto"/>
        </w:rPr>
        <w:t xml:space="preserve"> </w:t>
      </w:r>
      <w:r>
        <w:rPr>
          <w:rFonts w:ascii="Arial" w:cs="Arial" w:eastAsia="Arial" w:hAnsi="Arial"/>
          <w:sz w:val="13"/>
          <w:szCs w:val="13"/>
          <w:color w:val="auto"/>
        </w:rPr>
        <w:t>to either party’s breach of its obligations of Article 10, or indemnification obligations of Section 11.2 or 11.3 with respect to third party claims) for any indirect, special, incidental (including, without limitation, lost profits) or punitive damages of the other party or its Affiliates from any breach or default of a party’s obligations hereunder or the breach of any representation or warranty made hereunder. Except with respect to either party’s breach of its obligations of Article 10, or indemnification obligations of Section 11.2 or 11.3 with respect to third party claims, the collective liability of either party to the other under this Agreement shall be limited on an aggregate basis (not per claim or occurrence) to the</w:t>
      </w:r>
    </w:p>
    <w:p>
      <w:pPr>
        <w:spacing w:after="0" w:line="14" w:lineRule="exact"/>
        <w:rPr>
          <w:sz w:val="20"/>
          <w:szCs w:val="20"/>
          <w:color w:val="auto"/>
        </w:rPr>
      </w:pPr>
    </w:p>
    <w:p>
      <w:pPr>
        <w:jc w:val="both"/>
        <w:ind w:left="720"/>
        <w:spacing w:after="0" w:line="263" w:lineRule="auto"/>
        <w:rPr>
          <w:sz w:val="20"/>
          <w:szCs w:val="20"/>
          <w:color w:val="auto"/>
        </w:rPr>
      </w:pPr>
      <w:r>
        <w:rPr>
          <w:rFonts w:ascii="Arial" w:cs="Arial" w:eastAsia="Arial" w:hAnsi="Arial"/>
          <w:sz w:val="13"/>
          <w:szCs w:val="13"/>
          <w:color w:val="auto"/>
        </w:rPr>
        <w:t>lesser of the preceding [*] revenue of Supplier from SI-BONE or [*], except that with respect to damages or liabilities arising out of personal injury or death due to gross negligence or willful misconduct, such collective liability shall be limited to [*]. Upon payment(s) by the they indemnifying party to the indemnified party Supplier and/or Supplier Indemnitees to the SI-BONE and/or SI-BONE Indemnitees, or payment(s) by SI-BONE and/or the SI-BONE Indemnitees to Supplier and/or the Supplier Indemnitees, the party having made such payments shall be relieved and discharged from any further liability to the other party and/or its Indemnitees under this Agreement, or otherwise for contribution or to defend, indemnify, and/or hold harmless the other party and/or its Indemnitees.</w:t>
      </w:r>
    </w:p>
    <w:p>
      <w:pPr>
        <w:spacing w:after="0" w:line="131" w:lineRule="exact"/>
        <w:rPr>
          <w:sz w:val="20"/>
          <w:szCs w:val="20"/>
          <w:color w:val="auto"/>
        </w:rPr>
      </w:pPr>
    </w:p>
    <w:p>
      <w:pPr>
        <w:ind w:left="240" w:hanging="239"/>
        <w:spacing w:after="0"/>
        <w:tabs>
          <w:tab w:leader="none" w:pos="240"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MISCELLANEOUS</w:t>
      </w:r>
      <w:r>
        <w:rPr>
          <w:rFonts w:ascii="Arial" w:cs="Arial" w:eastAsia="Arial" w:hAnsi="Arial"/>
          <w:sz w:val="13"/>
          <w:szCs w:val="13"/>
          <w:color w:val="auto"/>
        </w:rPr>
        <w:t>.</w:t>
      </w:r>
    </w:p>
    <w:p>
      <w:pPr>
        <w:spacing w:after="0" w:line="173" w:lineRule="exact"/>
        <w:rPr>
          <w:sz w:val="20"/>
          <w:szCs w:val="20"/>
          <w:color w:val="auto"/>
        </w:rPr>
      </w:pPr>
    </w:p>
    <w:p>
      <w:pPr>
        <w:jc w:val="both"/>
        <w:ind w:left="720" w:hanging="361"/>
        <w:spacing w:after="0" w:line="273" w:lineRule="auto"/>
        <w:rPr>
          <w:sz w:val="20"/>
          <w:szCs w:val="20"/>
          <w:color w:val="auto"/>
        </w:rPr>
      </w:pPr>
      <w:r>
        <w:rPr>
          <w:rFonts w:ascii="Arial" w:cs="Arial" w:eastAsia="Arial" w:hAnsi="Arial"/>
          <w:sz w:val="13"/>
          <w:szCs w:val="13"/>
          <w:b w:val="1"/>
          <w:bCs w:val="1"/>
          <w:color w:val="auto"/>
        </w:rPr>
        <w:t xml:space="preserve">12.1. </w:t>
      </w:r>
      <w:r>
        <w:rPr>
          <w:rFonts w:ascii="Arial" w:cs="Arial" w:eastAsia="Arial" w:hAnsi="Arial"/>
          <w:sz w:val="13"/>
          <w:szCs w:val="13"/>
          <w:b w:val="1"/>
          <w:bCs w:val="1"/>
          <w:u w:val="single" w:color="auto"/>
          <w:color w:val="auto"/>
        </w:rPr>
        <w:t>Assignment; Binding Effect</w:t>
      </w:r>
      <w:r>
        <w:rPr>
          <w:rFonts w:ascii="Arial" w:cs="Arial" w:eastAsia="Arial" w:hAnsi="Arial"/>
          <w:sz w:val="13"/>
          <w:szCs w:val="13"/>
          <w:color w:val="auto"/>
        </w:rPr>
        <w:t>. This Agreement shall not be assignable or otherwise transferable by Supplier without the prior written consent of SI-BONE and shall be binding</w:t>
      </w:r>
      <w:r>
        <w:rPr>
          <w:rFonts w:ascii="Arial" w:cs="Arial" w:eastAsia="Arial" w:hAnsi="Arial"/>
          <w:sz w:val="13"/>
          <w:szCs w:val="13"/>
          <w:b w:val="1"/>
          <w:bCs w:val="1"/>
          <w:color w:val="auto"/>
        </w:rPr>
        <w:t xml:space="preserve"> </w:t>
      </w:r>
      <w:r>
        <w:rPr>
          <w:rFonts w:ascii="Arial" w:cs="Arial" w:eastAsia="Arial" w:hAnsi="Arial"/>
          <w:sz w:val="13"/>
          <w:szCs w:val="13"/>
          <w:color w:val="auto"/>
        </w:rPr>
        <w:t>upon and inure to the benefit of the parties and their respective successors and permitted assigns. This Agreement shall not be assignable or otherwise transferable by SI-BONE without the prior written consent of Supplier, provided that SI-BONE may assign this Agreement to any Affiliate of SI-BONE without Supplier’s consent or in connection with a merger, acquisition or sale of the stock of, or all or substantially all of the assets of, SI-BONE. Notwithstanding anything in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13 of #23</w:t>
      </w:r>
    </w:p>
    <w:p>
      <w:pPr>
        <w:spacing w:after="0" w:line="92" w:lineRule="exact"/>
        <w:rPr>
          <w:sz w:val="20"/>
          <w:szCs w:val="20"/>
          <w:color w:val="auto"/>
        </w:rPr>
      </w:pPr>
    </w:p>
    <w:p>
      <w:pPr>
        <w:ind w:left="180" w:hanging="173"/>
        <w:spacing w:after="0"/>
        <w:tabs>
          <w:tab w:leader="none" w:pos="1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85" w:name="page86"/>
    <w:bookmarkEnd w:id="85"/>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20"/>
        <w:spacing w:after="0"/>
        <w:rPr>
          <w:sz w:val="20"/>
          <w:szCs w:val="20"/>
          <w:color w:val="auto"/>
        </w:rPr>
      </w:pPr>
      <w:r>
        <w:rPr>
          <w:rFonts w:ascii="Arial" w:cs="Arial" w:eastAsia="Arial" w:hAnsi="Arial"/>
          <w:sz w:val="13"/>
          <w:szCs w:val="13"/>
          <w:color w:val="auto"/>
        </w:rPr>
        <w:t>parties acknowledge and agree that SI-BONE may perform its obligations under this Agreement through an Affiliate of SI-BONE.</w:t>
      </w:r>
    </w:p>
    <w:p>
      <w:pPr>
        <w:spacing w:after="0" w:line="157" w:lineRule="exact"/>
        <w:rPr>
          <w:sz w:val="20"/>
          <w:szCs w:val="20"/>
          <w:color w:val="auto"/>
        </w:rPr>
      </w:pPr>
    </w:p>
    <w:p>
      <w:pPr>
        <w:jc w:val="both"/>
        <w:ind w:left="720" w:hanging="361"/>
        <w:spacing w:after="0" w:line="273" w:lineRule="auto"/>
        <w:rPr>
          <w:sz w:val="20"/>
          <w:szCs w:val="20"/>
          <w:color w:val="auto"/>
        </w:rPr>
      </w:pPr>
      <w:r>
        <w:rPr>
          <w:rFonts w:ascii="Arial" w:cs="Arial" w:eastAsia="Arial" w:hAnsi="Arial"/>
          <w:sz w:val="13"/>
          <w:szCs w:val="13"/>
          <w:b w:val="1"/>
          <w:bCs w:val="1"/>
          <w:color w:val="auto"/>
        </w:rPr>
        <w:t xml:space="preserve">12.2. </w:t>
      </w:r>
      <w:r>
        <w:rPr>
          <w:rFonts w:ascii="Arial" w:cs="Arial" w:eastAsia="Arial" w:hAnsi="Arial"/>
          <w:sz w:val="13"/>
          <w:szCs w:val="13"/>
          <w:b w:val="1"/>
          <w:bCs w:val="1"/>
          <w:u w:val="single" w:color="auto"/>
          <w:color w:val="auto"/>
        </w:rPr>
        <w:t>Notices</w:t>
      </w:r>
      <w:r>
        <w:rPr>
          <w:rFonts w:ascii="Arial" w:cs="Arial" w:eastAsia="Arial" w:hAnsi="Arial"/>
          <w:sz w:val="13"/>
          <w:szCs w:val="13"/>
          <w:color w:val="auto"/>
        </w:rPr>
        <w:t>. All notices, requests, claims, demands and other communications hereunder shall be in writing and shall be deemed to have been duly given (a) when received if</w:t>
      </w:r>
      <w:r>
        <w:rPr>
          <w:rFonts w:ascii="Arial" w:cs="Arial" w:eastAsia="Arial" w:hAnsi="Arial"/>
          <w:sz w:val="13"/>
          <w:szCs w:val="13"/>
          <w:b w:val="1"/>
          <w:bCs w:val="1"/>
          <w:color w:val="auto"/>
        </w:rPr>
        <w:t xml:space="preserve"> </w:t>
      </w:r>
      <w:r>
        <w:rPr>
          <w:rFonts w:ascii="Arial" w:cs="Arial" w:eastAsia="Arial" w:hAnsi="Arial"/>
          <w:sz w:val="13"/>
          <w:szCs w:val="13"/>
          <w:color w:val="auto"/>
        </w:rPr>
        <w:t>delivered personally, including by recognized overnight delivery service, (b) when transmitted by facsimile or electronic mail (email), with confirmation of successful transmission, provided that such delivery is followed by physical delivery, (c) upon receipt, if sent by registered or certified mail (postage prepaid, return receipt requested) and (d) the next business day after it is sent, if sent for next-day delivery to a domestic address by overnight mail or courier, to the parties at the following addresses:</w:t>
      </w:r>
    </w:p>
    <w:p>
      <w:pPr>
        <w:spacing w:after="0" w:line="141" w:lineRule="exact"/>
        <w:rPr>
          <w:sz w:val="20"/>
          <w:szCs w:val="20"/>
          <w:color w:val="auto"/>
        </w:rPr>
      </w:pPr>
    </w:p>
    <w:p>
      <w:pPr>
        <w:ind w:left="960"/>
        <w:spacing w:after="0"/>
        <w:tabs>
          <w:tab w:leader="none" w:pos="2140" w:val="left"/>
        </w:tabs>
        <w:rPr>
          <w:sz w:val="20"/>
          <w:szCs w:val="20"/>
          <w:color w:val="auto"/>
        </w:rPr>
      </w:pPr>
      <w:r>
        <w:rPr>
          <w:rFonts w:ascii="Arial" w:cs="Arial" w:eastAsia="Arial" w:hAnsi="Arial"/>
          <w:sz w:val="13"/>
          <w:szCs w:val="13"/>
          <w:color w:val="auto"/>
        </w:rPr>
        <w:t>If to SI-BONE, to:</w:t>
        <w:tab/>
        <w:t>SI-BONE, Inc.</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471 El Camino Real</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Suite 101</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Santa Clara, CA 95050</w:t>
      </w:r>
    </w:p>
    <w:p>
      <w:pPr>
        <w:spacing w:after="0" w:line="12"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ATTN: General Counsel</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legal@si-bone.com</w:t>
      </w:r>
    </w:p>
    <w:p>
      <w:pPr>
        <w:spacing w:after="0" w:line="193" w:lineRule="exact"/>
        <w:rPr>
          <w:sz w:val="20"/>
          <w:szCs w:val="20"/>
          <w:color w:val="auto"/>
        </w:rPr>
      </w:pPr>
    </w:p>
    <w:p>
      <w:pPr>
        <w:ind w:left="960"/>
        <w:spacing w:after="0"/>
        <w:tabs>
          <w:tab w:leader="none" w:pos="2060" w:val="left"/>
        </w:tabs>
        <w:rPr>
          <w:sz w:val="20"/>
          <w:szCs w:val="20"/>
          <w:color w:val="auto"/>
        </w:rPr>
      </w:pPr>
      <w:r>
        <w:rPr>
          <w:rFonts w:ascii="Arial" w:cs="Arial" w:eastAsia="Arial" w:hAnsi="Arial"/>
          <w:sz w:val="13"/>
          <w:szCs w:val="13"/>
          <w:color w:val="auto"/>
        </w:rPr>
        <w:t>If to Supplier, to:</w:t>
        <w:tab/>
        <w:t>rms Company</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8600 Evergreen Blvd.</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Coon Rapids, MN 55433</w:t>
      </w:r>
    </w:p>
    <w:p>
      <w:pPr>
        <w:spacing w:after="0" w:line="12"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ATTN: Director of Sales</w:t>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however</w:t>
      </w:r>
      <w:r>
        <w:rPr>
          <w:rFonts w:ascii="Arial" w:cs="Arial" w:eastAsia="Arial" w:hAnsi="Arial"/>
          <w:sz w:val="13"/>
          <w:szCs w:val="13"/>
          <w:color w:val="auto"/>
        </w:rPr>
        <w:t>, that if any party shall have designated a different address by notice to the others, then to the last address so designated.</w:t>
      </w:r>
    </w:p>
    <w:p>
      <w:pPr>
        <w:spacing w:after="0" w:line="171" w:lineRule="exact"/>
        <w:rPr>
          <w:sz w:val="20"/>
          <w:szCs w:val="20"/>
          <w:color w:val="auto"/>
        </w:rPr>
      </w:pPr>
    </w:p>
    <w:p>
      <w:pPr>
        <w:jc w:val="both"/>
        <w:ind w:left="720" w:hanging="361"/>
        <w:spacing w:after="0" w:line="267" w:lineRule="auto"/>
        <w:rPr>
          <w:sz w:val="20"/>
          <w:szCs w:val="20"/>
          <w:color w:val="auto"/>
        </w:rPr>
      </w:pPr>
      <w:r>
        <w:rPr>
          <w:rFonts w:ascii="Arial" w:cs="Arial" w:eastAsia="Arial" w:hAnsi="Arial"/>
          <w:sz w:val="13"/>
          <w:szCs w:val="13"/>
          <w:b w:val="1"/>
          <w:bCs w:val="1"/>
          <w:color w:val="auto"/>
        </w:rPr>
        <w:t xml:space="preserve">12.3. </w:t>
      </w:r>
      <w:r>
        <w:rPr>
          <w:rFonts w:ascii="Arial" w:cs="Arial" w:eastAsia="Arial" w:hAnsi="Arial"/>
          <w:sz w:val="13"/>
          <w:szCs w:val="13"/>
          <w:b w:val="1"/>
          <w:bCs w:val="1"/>
          <w:u w:val="single" w:color="auto"/>
          <w:color w:val="auto"/>
        </w:rPr>
        <w:t>Severability</w:t>
      </w:r>
      <w:r>
        <w:rPr>
          <w:rFonts w:ascii="Arial" w:cs="Arial" w:eastAsia="Arial" w:hAnsi="Arial"/>
          <w:sz w:val="13"/>
          <w:szCs w:val="13"/>
          <w:color w:val="auto"/>
        </w:rPr>
        <w:t>. If any term, provision, covenant or restriction of this Agreement is held by a court of competent jurisdiction or other authority to be invalid, void, unenforceable or</w:t>
      </w:r>
      <w:r>
        <w:rPr>
          <w:rFonts w:ascii="Arial" w:cs="Arial" w:eastAsia="Arial" w:hAnsi="Arial"/>
          <w:sz w:val="13"/>
          <w:szCs w:val="13"/>
          <w:b w:val="1"/>
          <w:bCs w:val="1"/>
          <w:color w:val="auto"/>
        </w:rPr>
        <w:t xml:space="preserve"> </w:t>
      </w:r>
      <w:r>
        <w:rPr>
          <w:rFonts w:ascii="Arial" w:cs="Arial" w:eastAsia="Arial" w:hAnsi="Arial"/>
          <w:sz w:val="13"/>
          <w:szCs w:val="13"/>
          <w:color w:val="auto"/>
        </w:rPr>
        <w:t>against its regulatory policy such determination shall not affect the enforceability of any others or of the remainder of this Agreement; and in connection with such term, provision, covenant or restriction of this Agreement which is held invalid, void, unenforceable or against regulatory policy, the parties shall negotiate in good faith with a view to the substitution therefor of a suitable and equitable solution in order to carry out, so far as may be valid and enforceable, the intent and purpose of such invalid term, provision, covenant or restriction and, absent any agreement by the parties, such court of competent jurisdiction or other authority shall substitute therefore such term, provision, covenant or restriction as is legal, valid and enforceable but otherwise similar to the invalid term, provision, covenant or restriction.</w:t>
      </w:r>
    </w:p>
    <w:p>
      <w:pPr>
        <w:spacing w:after="0" w:line="130" w:lineRule="exact"/>
        <w:rPr>
          <w:sz w:val="20"/>
          <w:szCs w:val="20"/>
          <w:color w:val="auto"/>
        </w:rPr>
      </w:pPr>
    </w:p>
    <w:p>
      <w:pPr>
        <w:jc w:val="both"/>
        <w:ind w:left="720" w:hanging="361"/>
        <w:spacing w:after="0" w:line="273" w:lineRule="auto"/>
        <w:rPr>
          <w:sz w:val="20"/>
          <w:szCs w:val="20"/>
          <w:color w:val="auto"/>
        </w:rPr>
      </w:pPr>
      <w:r>
        <w:rPr>
          <w:rFonts w:ascii="Arial" w:cs="Arial" w:eastAsia="Arial" w:hAnsi="Arial"/>
          <w:sz w:val="13"/>
          <w:szCs w:val="13"/>
          <w:b w:val="1"/>
          <w:bCs w:val="1"/>
          <w:color w:val="auto"/>
        </w:rPr>
        <w:t xml:space="preserve">12.4. </w:t>
      </w:r>
      <w:r>
        <w:rPr>
          <w:rFonts w:ascii="Arial" w:cs="Arial" w:eastAsia="Arial" w:hAnsi="Arial"/>
          <w:sz w:val="13"/>
          <w:szCs w:val="13"/>
          <w:b w:val="1"/>
          <w:bCs w:val="1"/>
          <w:u w:val="single" w:color="auto"/>
          <w:color w:val="auto"/>
        </w:rPr>
        <w:t>Entire Agreement</w:t>
      </w:r>
      <w:r>
        <w:rPr>
          <w:rFonts w:ascii="Arial" w:cs="Arial" w:eastAsia="Arial" w:hAnsi="Arial"/>
          <w:sz w:val="13"/>
          <w:szCs w:val="13"/>
          <w:color w:val="auto"/>
        </w:rPr>
        <w:t>. This Agreement, including all exhibits and appendices hereto, embodies the entire agreement and understanding of the parties hereto in respect of the</w:t>
      </w:r>
      <w:r>
        <w:rPr>
          <w:rFonts w:ascii="Arial" w:cs="Arial" w:eastAsia="Arial" w:hAnsi="Arial"/>
          <w:sz w:val="13"/>
          <w:szCs w:val="13"/>
          <w:b w:val="1"/>
          <w:bCs w:val="1"/>
          <w:color w:val="auto"/>
        </w:rPr>
        <w:t xml:space="preserve"> </w:t>
      </w:r>
      <w:r>
        <w:rPr>
          <w:rFonts w:ascii="Arial" w:cs="Arial" w:eastAsia="Arial" w:hAnsi="Arial"/>
          <w:sz w:val="13"/>
          <w:szCs w:val="13"/>
          <w:color w:val="auto"/>
        </w:rPr>
        <w:t>transactions contemplated by this Agreement and supersedes all prior agreements, contracts, representations, warranties, promises, covenants, arrangements, communications, and understandings, oral or written, express or implied, between or among the parties with respect to the subject matter hereof, including, without limitation, the Original Agreement, which Original Agreement shall be deemed null and void, and of no further force or effect whatsoever following the date hereof.</w:t>
      </w:r>
    </w:p>
    <w:p>
      <w:pPr>
        <w:spacing w:after="0" w:line="125" w:lineRule="exact"/>
        <w:rPr>
          <w:sz w:val="20"/>
          <w:szCs w:val="20"/>
          <w:color w:val="auto"/>
        </w:rPr>
      </w:pPr>
    </w:p>
    <w:p>
      <w:pPr>
        <w:jc w:val="both"/>
        <w:ind w:left="720" w:hanging="361"/>
        <w:spacing w:after="0" w:line="303" w:lineRule="auto"/>
        <w:rPr>
          <w:sz w:val="20"/>
          <w:szCs w:val="20"/>
          <w:color w:val="auto"/>
        </w:rPr>
      </w:pPr>
      <w:r>
        <w:rPr>
          <w:rFonts w:ascii="Arial" w:cs="Arial" w:eastAsia="Arial" w:hAnsi="Arial"/>
          <w:sz w:val="13"/>
          <w:szCs w:val="13"/>
          <w:b w:val="1"/>
          <w:bCs w:val="1"/>
          <w:color w:val="auto"/>
        </w:rPr>
        <w:t xml:space="preserve">12.5. </w:t>
      </w:r>
      <w:r>
        <w:rPr>
          <w:rFonts w:ascii="Arial" w:cs="Arial" w:eastAsia="Arial" w:hAnsi="Arial"/>
          <w:sz w:val="13"/>
          <w:szCs w:val="13"/>
          <w:b w:val="1"/>
          <w:bCs w:val="1"/>
          <w:u w:val="single" w:color="auto"/>
          <w:color w:val="auto"/>
        </w:rPr>
        <w:t>No Third-Party Beneficiaries</w:t>
      </w:r>
      <w:r>
        <w:rPr>
          <w:rFonts w:ascii="Arial" w:cs="Arial" w:eastAsia="Arial" w:hAnsi="Arial"/>
          <w:sz w:val="13"/>
          <w:szCs w:val="13"/>
          <w:color w:val="auto"/>
        </w:rPr>
        <w:t>. This Agreement is solely for the benefit of the parties hereto and their respective Affiliates and no provision of this Agreement shall be deemed to</w:t>
      </w:r>
      <w:r>
        <w:rPr>
          <w:rFonts w:ascii="Arial" w:cs="Arial" w:eastAsia="Arial" w:hAnsi="Arial"/>
          <w:sz w:val="13"/>
          <w:szCs w:val="13"/>
          <w:b w:val="1"/>
          <w:bCs w:val="1"/>
          <w:color w:val="auto"/>
        </w:rPr>
        <w:t xml:space="preserve"> </w:t>
      </w:r>
      <w:r>
        <w:rPr>
          <w:rFonts w:ascii="Arial" w:cs="Arial" w:eastAsia="Arial" w:hAnsi="Arial"/>
          <w:sz w:val="13"/>
          <w:szCs w:val="13"/>
          <w:color w:val="auto"/>
        </w:rPr>
        <w:t>confer upon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14 of #23</w:t>
      </w:r>
    </w:p>
    <w:p>
      <w:pPr>
        <w:spacing w:after="0" w:line="92" w:lineRule="exact"/>
        <w:rPr>
          <w:sz w:val="20"/>
          <w:szCs w:val="20"/>
          <w:color w:val="auto"/>
        </w:rPr>
      </w:pPr>
    </w:p>
    <w:p>
      <w:pPr>
        <w:ind w:left="180" w:hanging="173"/>
        <w:spacing w:after="0"/>
        <w:tabs>
          <w:tab w:leader="none" w:pos="1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86" w:name="page87"/>
    <w:bookmarkEnd w:id="86"/>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20"/>
        <w:spacing w:after="0" w:line="258" w:lineRule="auto"/>
        <w:rPr>
          <w:sz w:val="20"/>
          <w:szCs w:val="20"/>
          <w:color w:val="auto"/>
        </w:rPr>
      </w:pPr>
      <w:r>
        <w:rPr>
          <w:rFonts w:ascii="Arial" w:cs="Arial" w:eastAsia="Arial" w:hAnsi="Arial"/>
          <w:sz w:val="13"/>
          <w:szCs w:val="13"/>
          <w:color w:val="auto"/>
        </w:rPr>
        <w:t>third parties (other than permitted assigns) any remedy, claim, liability, reimbursement, claim of action or other right in excess of those existing without reference to this Agreement.</w:t>
      </w:r>
    </w:p>
    <w:p>
      <w:pPr>
        <w:spacing w:after="0" w:line="307" w:lineRule="exact"/>
        <w:rPr>
          <w:sz w:val="20"/>
          <w:szCs w:val="20"/>
          <w:color w:val="auto"/>
        </w:rPr>
      </w:pPr>
    </w:p>
    <w:p>
      <w:pPr>
        <w:jc w:val="both"/>
        <w:ind w:left="720" w:hanging="361"/>
        <w:spacing w:after="0" w:line="303" w:lineRule="auto"/>
        <w:rPr>
          <w:sz w:val="20"/>
          <w:szCs w:val="20"/>
          <w:color w:val="auto"/>
        </w:rPr>
      </w:pPr>
      <w:r>
        <w:rPr>
          <w:rFonts w:ascii="Arial" w:cs="Arial" w:eastAsia="Arial" w:hAnsi="Arial"/>
          <w:sz w:val="13"/>
          <w:szCs w:val="13"/>
          <w:b w:val="1"/>
          <w:bCs w:val="1"/>
          <w:color w:val="auto"/>
        </w:rPr>
        <w:t xml:space="preserve">12.6. </w:t>
      </w:r>
      <w:r>
        <w:rPr>
          <w:rFonts w:ascii="Arial" w:cs="Arial" w:eastAsia="Arial" w:hAnsi="Arial"/>
          <w:sz w:val="13"/>
          <w:szCs w:val="13"/>
          <w:b w:val="1"/>
          <w:bCs w:val="1"/>
          <w:u w:val="single" w:color="auto"/>
          <w:color w:val="auto"/>
        </w:rPr>
        <w:t>Waiver</w:t>
      </w:r>
      <w:r>
        <w:rPr>
          <w:rFonts w:ascii="Arial" w:cs="Arial" w:eastAsia="Arial" w:hAnsi="Arial"/>
          <w:sz w:val="13"/>
          <w:szCs w:val="13"/>
          <w:color w:val="auto"/>
        </w:rPr>
        <w:t>. The failure of any party to enforce any condition or part of this Agreement at any time shall not be construed as a waiver of that condition or part, nor shall it forfeit any</w:t>
      </w:r>
      <w:r>
        <w:rPr>
          <w:rFonts w:ascii="Arial" w:cs="Arial" w:eastAsia="Arial" w:hAnsi="Arial"/>
          <w:sz w:val="13"/>
          <w:szCs w:val="13"/>
          <w:b w:val="1"/>
          <w:bCs w:val="1"/>
          <w:color w:val="auto"/>
        </w:rPr>
        <w:t xml:space="preserve"> </w:t>
      </w:r>
      <w:r>
        <w:rPr>
          <w:rFonts w:ascii="Arial" w:cs="Arial" w:eastAsia="Arial" w:hAnsi="Arial"/>
          <w:sz w:val="13"/>
          <w:szCs w:val="13"/>
          <w:color w:val="auto"/>
        </w:rPr>
        <w:t>rights to future enforcement thereof.</w:t>
      </w:r>
    </w:p>
    <w:p>
      <w:pPr>
        <w:spacing w:after="0" w:line="106" w:lineRule="exact"/>
        <w:rPr>
          <w:sz w:val="20"/>
          <w:szCs w:val="20"/>
          <w:color w:val="auto"/>
        </w:rPr>
      </w:pPr>
    </w:p>
    <w:p>
      <w:pPr>
        <w:jc w:val="both"/>
        <w:ind w:left="720" w:hanging="361"/>
        <w:spacing w:after="0" w:line="281" w:lineRule="auto"/>
        <w:rPr>
          <w:sz w:val="20"/>
          <w:szCs w:val="20"/>
          <w:color w:val="auto"/>
        </w:rPr>
      </w:pPr>
      <w:r>
        <w:rPr>
          <w:rFonts w:ascii="Arial" w:cs="Arial" w:eastAsia="Arial" w:hAnsi="Arial"/>
          <w:sz w:val="13"/>
          <w:szCs w:val="13"/>
          <w:b w:val="1"/>
          <w:bCs w:val="1"/>
          <w:color w:val="auto"/>
        </w:rPr>
        <w:t xml:space="preserve">12.7. </w:t>
      </w:r>
      <w:r>
        <w:rPr>
          <w:rFonts w:ascii="Arial" w:cs="Arial" w:eastAsia="Arial" w:hAnsi="Arial"/>
          <w:sz w:val="13"/>
          <w:szCs w:val="13"/>
          <w:b w:val="1"/>
          <w:bCs w:val="1"/>
          <w:u w:val="single" w:color="auto"/>
          <w:color w:val="auto"/>
        </w:rPr>
        <w:t>Governing Law; Jurisdiction</w:t>
      </w:r>
      <w:r>
        <w:rPr>
          <w:rFonts w:ascii="Arial" w:cs="Arial" w:eastAsia="Arial" w:hAnsi="Arial"/>
          <w:sz w:val="13"/>
          <w:szCs w:val="13"/>
          <w:color w:val="auto"/>
        </w:rPr>
        <w:t>. This Agreement (including any claim or controversy arising out of or relating to this Agreement) shall be governed by the law of the State of</w:t>
      </w:r>
      <w:r>
        <w:rPr>
          <w:rFonts w:ascii="Arial" w:cs="Arial" w:eastAsia="Arial" w:hAnsi="Arial"/>
          <w:sz w:val="13"/>
          <w:szCs w:val="13"/>
          <w:b w:val="1"/>
          <w:bCs w:val="1"/>
          <w:color w:val="auto"/>
        </w:rPr>
        <w:t xml:space="preserve"> </w:t>
      </w:r>
      <w:r>
        <w:rPr>
          <w:rFonts w:ascii="Arial" w:cs="Arial" w:eastAsia="Arial" w:hAnsi="Arial"/>
          <w:sz w:val="13"/>
          <w:szCs w:val="13"/>
          <w:color w:val="auto"/>
        </w:rPr>
        <w:t>Delaware without regard to conflict of law principles that would result in the application of any Law other than the Laws of the State of Delaware. Any proceeding to interpret or enforce this Agreement will be brought exclusively in the state and federal courts situated in the state of Delaware.</w:t>
      </w:r>
    </w:p>
    <w:p>
      <w:pPr>
        <w:spacing w:after="0" w:line="119" w:lineRule="exact"/>
        <w:rPr>
          <w:sz w:val="20"/>
          <w:szCs w:val="20"/>
          <w:color w:val="auto"/>
        </w:rPr>
      </w:pPr>
    </w:p>
    <w:p>
      <w:pPr>
        <w:jc w:val="both"/>
        <w:ind w:left="720" w:hanging="361"/>
        <w:spacing w:after="0" w:line="269" w:lineRule="auto"/>
        <w:rPr>
          <w:sz w:val="20"/>
          <w:szCs w:val="20"/>
          <w:color w:val="auto"/>
        </w:rPr>
      </w:pPr>
      <w:r>
        <w:rPr>
          <w:rFonts w:ascii="Arial" w:cs="Arial" w:eastAsia="Arial" w:hAnsi="Arial"/>
          <w:sz w:val="13"/>
          <w:szCs w:val="13"/>
          <w:b w:val="1"/>
          <w:bCs w:val="1"/>
          <w:color w:val="auto"/>
        </w:rPr>
        <w:t xml:space="preserve">12.8. </w:t>
      </w:r>
      <w:r>
        <w:rPr>
          <w:rFonts w:ascii="Arial" w:cs="Arial" w:eastAsia="Arial" w:hAnsi="Arial"/>
          <w:sz w:val="13"/>
          <w:szCs w:val="13"/>
          <w:b w:val="1"/>
          <w:bCs w:val="1"/>
          <w:u w:val="single" w:color="auto"/>
          <w:color w:val="auto"/>
        </w:rPr>
        <w:t>Injunctive Relief</w:t>
      </w:r>
      <w:r>
        <w:rPr>
          <w:rFonts w:ascii="Arial" w:cs="Arial" w:eastAsia="Arial" w:hAnsi="Arial"/>
          <w:sz w:val="13"/>
          <w:szCs w:val="13"/>
          <w:color w:val="auto"/>
        </w:rPr>
        <w:t>. The parties acknowledge that damages would be an inadequate remedy for any material breach of Sections 7, 8, or 10. Accordingly, notwithstanding anything</w:t>
      </w:r>
      <w:r>
        <w:rPr>
          <w:rFonts w:ascii="Arial" w:cs="Arial" w:eastAsia="Arial" w:hAnsi="Arial"/>
          <w:sz w:val="13"/>
          <w:szCs w:val="13"/>
          <w:b w:val="1"/>
          <w:bCs w:val="1"/>
          <w:color w:val="auto"/>
        </w:rPr>
        <w:t xml:space="preserve"> </w:t>
      </w:r>
      <w:r>
        <w:rPr>
          <w:rFonts w:ascii="Arial" w:cs="Arial" w:eastAsia="Arial" w:hAnsi="Arial"/>
          <w:sz w:val="13"/>
          <w:szCs w:val="13"/>
          <w:color w:val="auto"/>
        </w:rPr>
        <w:t>to the contrary in this Agreement, either party will have the right to obtain injunctive relief in any court of competent jurisdiction to enforce Sections 7, 8, or 10 in the event of a party’s failure to perform its obligations thereunder, as well as the right to pursue any and all other rights and remedies available at law or in equity for such a breach. The breaching party hereby expressly waives the defense that a remedy in damages will be adequate and any requirement in an action for specific performance or injunction for the posting of a bond by the party seeking injunctive relief.</w:t>
      </w:r>
    </w:p>
    <w:p>
      <w:pPr>
        <w:spacing w:after="0" w:line="129" w:lineRule="exact"/>
        <w:rPr>
          <w:sz w:val="20"/>
          <w:szCs w:val="20"/>
          <w:color w:val="auto"/>
        </w:rPr>
      </w:pPr>
    </w:p>
    <w:p>
      <w:pPr>
        <w:jc w:val="both"/>
        <w:ind w:left="720" w:hanging="361"/>
        <w:spacing w:after="0" w:line="303" w:lineRule="auto"/>
        <w:rPr>
          <w:sz w:val="20"/>
          <w:szCs w:val="20"/>
          <w:color w:val="auto"/>
        </w:rPr>
      </w:pPr>
      <w:r>
        <w:rPr>
          <w:rFonts w:ascii="Arial" w:cs="Arial" w:eastAsia="Arial" w:hAnsi="Arial"/>
          <w:sz w:val="13"/>
          <w:szCs w:val="13"/>
          <w:b w:val="1"/>
          <w:bCs w:val="1"/>
          <w:color w:val="auto"/>
        </w:rPr>
        <w:t xml:space="preserve">12.9. </w:t>
      </w:r>
      <w:r>
        <w:rPr>
          <w:rFonts w:ascii="Arial" w:cs="Arial" w:eastAsia="Arial" w:hAnsi="Arial"/>
          <w:sz w:val="13"/>
          <w:szCs w:val="13"/>
          <w:b w:val="1"/>
          <w:bCs w:val="1"/>
          <w:u w:val="single" w:color="auto"/>
          <w:color w:val="auto"/>
        </w:rPr>
        <w:t>Counterparts</w:t>
      </w:r>
      <w:r>
        <w:rPr>
          <w:rFonts w:ascii="Arial" w:cs="Arial" w:eastAsia="Arial" w:hAnsi="Arial"/>
          <w:sz w:val="13"/>
          <w:szCs w:val="13"/>
          <w:color w:val="auto"/>
        </w:rPr>
        <w:t>. This Agreement may be executed manually or by facsimile by the parties, in any number of counterparts, each of which shall be considered one and the same</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and shall become effective when a counterpart hereof shall have been signed by each of the parties and delivered to each of the other parties.</w:t>
      </w:r>
    </w:p>
    <w:p>
      <w:pPr>
        <w:spacing w:after="0" w:line="106" w:lineRule="exact"/>
        <w:rPr>
          <w:sz w:val="20"/>
          <w:szCs w:val="20"/>
          <w:color w:val="auto"/>
        </w:rPr>
      </w:pPr>
    </w:p>
    <w:p>
      <w:pPr>
        <w:jc w:val="both"/>
        <w:ind w:left="720" w:hanging="361"/>
        <w:spacing w:after="0" w:line="281" w:lineRule="auto"/>
        <w:rPr>
          <w:sz w:val="20"/>
          <w:szCs w:val="20"/>
          <w:color w:val="auto"/>
        </w:rPr>
      </w:pPr>
      <w:r>
        <w:rPr>
          <w:rFonts w:ascii="Arial" w:cs="Arial" w:eastAsia="Arial" w:hAnsi="Arial"/>
          <w:sz w:val="13"/>
          <w:szCs w:val="13"/>
          <w:b w:val="1"/>
          <w:bCs w:val="1"/>
          <w:color w:val="auto"/>
        </w:rPr>
        <w:t>12.10.</w:t>
      </w:r>
      <w:r>
        <w:rPr>
          <w:sz w:val="20"/>
          <w:szCs w:val="20"/>
          <w:color w:val="auto"/>
        </w:rPr>
        <w:t xml:space="preserve"> </w:t>
      </w:r>
      <w:r>
        <w:rPr>
          <w:rFonts w:ascii="Arial" w:cs="Arial" w:eastAsia="Arial" w:hAnsi="Arial"/>
          <w:sz w:val="13"/>
          <w:szCs w:val="13"/>
          <w:b w:val="1"/>
          <w:bCs w:val="1"/>
          <w:u w:val="single" w:color="auto"/>
          <w:color w:val="auto"/>
        </w:rPr>
        <w:t>Construction</w:t>
      </w:r>
      <w:r>
        <w:rPr>
          <w:rFonts w:ascii="Arial" w:cs="Arial" w:eastAsia="Arial" w:hAnsi="Arial"/>
          <w:sz w:val="13"/>
          <w:szCs w:val="13"/>
          <w:color w:val="auto"/>
        </w:rPr>
        <w:t>. The language in all parts of this Agreement shall be construed, in all cases, according to its fair meaning. The parties acknowledge that each party and its</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counsel have reviewed and revised this Agreement and that any rule of construction to the effect that any ambiguities are to be resolved against the drafting party shall not be employed in the interpretation of this Agreement.</w:t>
      </w:r>
    </w:p>
    <w:p>
      <w:pPr>
        <w:spacing w:after="0" w:line="119" w:lineRule="exact"/>
        <w:rPr>
          <w:sz w:val="20"/>
          <w:szCs w:val="20"/>
          <w:color w:val="auto"/>
        </w:rPr>
      </w:pPr>
    </w:p>
    <w:p>
      <w:pPr>
        <w:jc w:val="both"/>
        <w:ind w:left="720" w:hanging="361"/>
        <w:spacing w:after="0" w:line="277" w:lineRule="auto"/>
        <w:rPr>
          <w:sz w:val="20"/>
          <w:szCs w:val="20"/>
          <w:color w:val="auto"/>
        </w:rPr>
      </w:pPr>
      <w:r>
        <w:rPr>
          <w:rFonts w:ascii="Arial" w:cs="Arial" w:eastAsia="Arial" w:hAnsi="Arial"/>
          <w:sz w:val="13"/>
          <w:szCs w:val="13"/>
          <w:b w:val="1"/>
          <w:bCs w:val="1"/>
          <w:color w:val="auto"/>
        </w:rPr>
        <w:t>12.11.</w:t>
      </w:r>
      <w:r>
        <w:rPr>
          <w:sz w:val="20"/>
          <w:szCs w:val="20"/>
          <w:color w:val="auto"/>
        </w:rPr>
        <w:t xml:space="preserve"> </w:t>
      </w:r>
      <w:r>
        <w:rPr>
          <w:rFonts w:ascii="Arial" w:cs="Arial" w:eastAsia="Arial" w:hAnsi="Arial"/>
          <w:sz w:val="13"/>
          <w:szCs w:val="13"/>
          <w:b w:val="1"/>
          <w:bCs w:val="1"/>
          <w:u w:val="single" w:color="auto"/>
          <w:color w:val="auto"/>
        </w:rPr>
        <w:t>Other Terms and Conditions</w:t>
      </w:r>
      <w:r>
        <w:rPr>
          <w:rFonts w:ascii="Arial" w:cs="Arial" w:eastAsia="Arial" w:hAnsi="Arial"/>
          <w:sz w:val="13"/>
          <w:szCs w:val="13"/>
          <w:color w:val="auto"/>
        </w:rPr>
        <w:t>. Other terms and conditions not inconsistent with terms and conditions in this Agreement covering Products to be supplied under this</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Agreement will be provided in Orders by SI-BONE and in order acknowledgments and invoices issued by Supplier. In the event of any conflict of terms in these documents, SI-BONE and Supplier agree to negotiate in good faith to resolve such differences, unless such terms conflict with the terms of this Agreement, in which case the terms of this Agreement shall control.</w:t>
      </w:r>
    </w:p>
    <w:p>
      <w:pPr>
        <w:spacing w:after="0" w:line="288" w:lineRule="exact"/>
        <w:rPr>
          <w:sz w:val="20"/>
          <w:szCs w:val="20"/>
          <w:color w:val="auto"/>
        </w:rPr>
      </w:pPr>
    </w:p>
    <w:p>
      <w:pPr>
        <w:jc w:val="both"/>
        <w:ind w:left="720" w:hanging="361"/>
        <w:spacing w:after="0" w:line="294" w:lineRule="auto"/>
        <w:rPr>
          <w:sz w:val="20"/>
          <w:szCs w:val="20"/>
          <w:color w:val="auto"/>
        </w:rPr>
      </w:pPr>
      <w:r>
        <w:rPr>
          <w:rFonts w:ascii="Arial" w:cs="Arial" w:eastAsia="Arial" w:hAnsi="Arial"/>
          <w:sz w:val="13"/>
          <w:szCs w:val="13"/>
          <w:b w:val="1"/>
          <w:bCs w:val="1"/>
          <w:color w:val="auto"/>
        </w:rPr>
        <w:t>12.12.</w:t>
      </w:r>
      <w:r>
        <w:rPr>
          <w:sz w:val="20"/>
          <w:szCs w:val="20"/>
          <w:color w:val="auto"/>
        </w:rPr>
        <w:t xml:space="preserve"> </w:t>
      </w:r>
      <w:r>
        <w:rPr>
          <w:rFonts w:ascii="Arial" w:cs="Arial" w:eastAsia="Arial" w:hAnsi="Arial"/>
          <w:sz w:val="13"/>
          <w:szCs w:val="13"/>
          <w:b w:val="1"/>
          <w:bCs w:val="1"/>
          <w:u w:val="single" w:color="auto"/>
          <w:color w:val="auto"/>
        </w:rPr>
        <w:t>Further Assurances</w:t>
      </w:r>
      <w:r>
        <w:rPr>
          <w:rFonts w:ascii="Arial" w:cs="Arial" w:eastAsia="Arial" w:hAnsi="Arial"/>
          <w:sz w:val="13"/>
          <w:szCs w:val="13"/>
          <w:color w:val="auto"/>
        </w:rPr>
        <w:t>. SI-BONE and Supplier covenant and agree that subsequent to the execution and delivery of this Agreement and without any additional consideration,</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each of SI-BONE and Supplier shall execute and deliver any further legal instruments and perform such acts which are or may become necessary to effectuate the purposes of this Agreement.</w:t>
      </w:r>
    </w:p>
    <w:p>
      <w:pPr>
        <w:spacing w:after="0" w:line="278" w:lineRule="exact"/>
        <w:rPr>
          <w:sz w:val="20"/>
          <w:szCs w:val="20"/>
          <w:color w:val="auto"/>
        </w:rPr>
      </w:pPr>
    </w:p>
    <w:p>
      <w:pPr>
        <w:jc w:val="both"/>
        <w:ind w:left="720" w:hanging="361"/>
        <w:spacing w:after="0" w:line="281" w:lineRule="auto"/>
        <w:rPr>
          <w:sz w:val="20"/>
          <w:szCs w:val="20"/>
          <w:color w:val="auto"/>
        </w:rPr>
      </w:pPr>
      <w:r>
        <w:rPr>
          <w:rFonts w:ascii="Arial" w:cs="Arial" w:eastAsia="Arial" w:hAnsi="Arial"/>
          <w:sz w:val="13"/>
          <w:szCs w:val="13"/>
          <w:b w:val="1"/>
          <w:bCs w:val="1"/>
          <w:color w:val="auto"/>
        </w:rPr>
        <w:t>12.13.</w:t>
      </w:r>
      <w:r>
        <w:rPr>
          <w:sz w:val="20"/>
          <w:szCs w:val="20"/>
          <w:color w:val="auto"/>
        </w:rPr>
        <w:t xml:space="preserve"> </w:t>
      </w:r>
      <w:r>
        <w:rPr>
          <w:rFonts w:ascii="Arial" w:cs="Arial" w:eastAsia="Arial" w:hAnsi="Arial"/>
          <w:sz w:val="13"/>
          <w:szCs w:val="13"/>
          <w:b w:val="1"/>
          <w:bCs w:val="1"/>
          <w:u w:val="single" w:color="auto"/>
          <w:color w:val="auto"/>
        </w:rPr>
        <w:t>Relationship</w:t>
      </w:r>
      <w:r>
        <w:rPr>
          <w:rFonts w:ascii="Arial" w:cs="Arial" w:eastAsia="Arial" w:hAnsi="Arial"/>
          <w:sz w:val="13"/>
          <w:szCs w:val="13"/>
          <w:color w:val="auto"/>
        </w:rPr>
        <w:t>. Supplier is an independent contractor engaged by SI-BONE for the provision of the Products. Nothing in this Agreement shall constitute either party as an</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employee, agent or general representative of the other, nor shall either SI-BONE or Supplier have the right or authority to assume, create or incur any liability or any obligation of any kind, express or implied, against, or in the name of or on behalf of,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15 of #23</w:t>
      </w:r>
    </w:p>
    <w:p>
      <w:pPr>
        <w:spacing w:after="0" w:line="92" w:lineRule="exact"/>
        <w:rPr>
          <w:sz w:val="20"/>
          <w:szCs w:val="20"/>
          <w:color w:val="auto"/>
        </w:rPr>
      </w:pPr>
    </w:p>
    <w:p>
      <w:pPr>
        <w:ind w:left="180" w:hanging="173"/>
        <w:spacing w:after="0"/>
        <w:tabs>
          <w:tab w:leader="none" w:pos="1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87" w:name="page88"/>
    <w:bookmarkEnd w:id="87"/>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[REMAINDER OF THE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16 of #23</w:t>
      </w:r>
    </w:p>
    <w:p>
      <w:pPr>
        <w:spacing w:after="0" w:line="92" w:lineRule="exact"/>
        <w:rPr>
          <w:sz w:val="20"/>
          <w:szCs w:val="20"/>
          <w:color w:val="auto"/>
        </w:rPr>
      </w:pPr>
    </w:p>
    <w:p>
      <w:pPr>
        <w:ind w:left="180" w:hanging="173"/>
        <w:spacing w:after="0"/>
        <w:tabs>
          <w:tab w:leader="none" w:pos="1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88" w:name="page89"/>
    <w:bookmarkEnd w:id="88"/>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169"/>
        <w:spacing w:after="0" w:line="303" w:lineRule="auto"/>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hereto have caused this Manufacturing, Quality and Supply Agreement to be executed by their respective duly authorized officers as of the date set</w:t>
      </w:r>
      <w:r>
        <w:rPr>
          <w:rFonts w:ascii="Arial" w:cs="Arial" w:eastAsia="Arial" w:hAnsi="Arial"/>
          <w:sz w:val="13"/>
          <w:szCs w:val="13"/>
          <w:b w:val="1"/>
          <w:bCs w:val="1"/>
          <w:color w:val="auto"/>
        </w:rPr>
        <w:t xml:space="preserve"> </w:t>
      </w:r>
      <w:r>
        <w:rPr>
          <w:rFonts w:ascii="Arial" w:cs="Arial" w:eastAsia="Arial" w:hAnsi="Arial"/>
          <w:sz w:val="13"/>
          <w:szCs w:val="13"/>
          <w:color w:val="auto"/>
        </w:rPr>
        <w:t>forth below their names.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0" w:type="dxa"/>
            <w:vAlign w:val="bottom"/>
          </w:tcPr>
          <w:p>
            <w:pPr>
              <w:spacing w:after="0"/>
              <w:rPr>
                <w:sz w:val="15"/>
                <w:szCs w:val="15"/>
                <w:color w:val="auto"/>
              </w:rPr>
            </w:pPr>
          </w:p>
        </w:tc>
        <w:tc>
          <w:tcPr>
            <w:tcW w:w="1340" w:type="dxa"/>
            <w:vAlign w:val="bottom"/>
          </w:tcPr>
          <w:p>
            <w:pPr>
              <w:ind w:left="20"/>
              <w:spacing w:after="0"/>
              <w:rPr>
                <w:sz w:val="20"/>
                <w:szCs w:val="20"/>
                <w:color w:val="auto"/>
              </w:rPr>
            </w:pPr>
            <w:r>
              <w:rPr>
                <w:rFonts w:ascii="Arial" w:cs="Arial" w:eastAsia="Arial" w:hAnsi="Arial"/>
                <w:sz w:val="13"/>
                <w:szCs w:val="13"/>
                <w:b w:val="1"/>
                <w:bCs w:val="1"/>
                <w:color w:val="auto"/>
              </w:rPr>
              <w:t>SI-BONE, Inc.</w:t>
            </w:r>
          </w:p>
        </w:tc>
        <w:tc>
          <w:tcPr>
            <w:tcW w:w="420" w:type="dxa"/>
            <w:vAlign w:val="bottom"/>
          </w:tcPr>
          <w:p>
            <w:pPr>
              <w:spacing w:after="0"/>
              <w:rPr>
                <w:sz w:val="15"/>
                <w:szCs w:val="15"/>
                <w:color w:val="auto"/>
              </w:rPr>
            </w:pPr>
          </w:p>
        </w:tc>
        <w:tc>
          <w:tcPr>
            <w:tcW w:w="1620" w:type="dxa"/>
            <w:vAlign w:val="bottom"/>
          </w:tcPr>
          <w:p>
            <w:pPr>
              <w:jc w:val="center"/>
              <w:ind w:right="613"/>
              <w:spacing w:after="0"/>
              <w:rPr>
                <w:sz w:val="20"/>
                <w:szCs w:val="20"/>
                <w:color w:val="auto"/>
              </w:rPr>
            </w:pPr>
            <w:r>
              <w:rPr>
                <w:rFonts w:ascii="Arial" w:cs="Arial" w:eastAsia="Arial" w:hAnsi="Arial"/>
                <w:sz w:val="13"/>
                <w:szCs w:val="13"/>
                <w:b w:val="1"/>
                <w:bCs w:val="1"/>
                <w:color w:val="auto"/>
              </w:rPr>
              <w:t>rms Company</w:t>
            </w:r>
          </w:p>
        </w:tc>
      </w:tr>
      <w:tr>
        <w:trPr>
          <w:trHeight w:val="342"/>
        </w:trPr>
        <w:tc>
          <w:tcPr>
            <w:tcW w:w="1740" w:type="dxa"/>
            <w:vAlign w:val="bottom"/>
            <w:gridSpan w:val="2"/>
          </w:tcPr>
          <w:p>
            <w:pPr>
              <w:spacing w:after="0"/>
              <w:rPr>
                <w:sz w:val="20"/>
                <w:szCs w:val="20"/>
                <w:color w:val="auto"/>
              </w:rPr>
            </w:pPr>
            <w:r>
              <w:rPr>
                <w:rFonts w:ascii="Arial" w:cs="Arial" w:eastAsia="Arial" w:hAnsi="Arial"/>
                <w:sz w:val="13"/>
                <w:szCs w:val="13"/>
                <w:color w:val="auto"/>
              </w:rPr>
              <w:t>By:  /s/ Michael Blanchard</w:t>
            </w:r>
          </w:p>
        </w:tc>
        <w:tc>
          <w:tcPr>
            <w:tcW w:w="4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Arial" w:cs="Arial" w:eastAsia="Arial" w:hAnsi="Arial"/>
                <w:sz w:val="13"/>
                <w:szCs w:val="13"/>
                <w:color w:val="auto"/>
              </w:rPr>
              <w:t>By:  /s/ Richard Riddle</w:t>
            </w:r>
          </w:p>
        </w:tc>
      </w:tr>
      <w:tr>
        <w:trPr>
          <w:trHeight w:val="403"/>
        </w:trPr>
        <w:tc>
          <w:tcPr>
            <w:tcW w:w="400" w:type="dxa"/>
            <w:vAlign w:val="bottom"/>
          </w:tcPr>
          <w:p>
            <w:pPr>
              <w:spacing w:after="0"/>
              <w:rPr>
                <w:sz w:val="20"/>
                <w:szCs w:val="20"/>
                <w:color w:val="auto"/>
              </w:rPr>
            </w:pPr>
            <w:r>
              <w:rPr>
                <w:rFonts w:ascii="Arial" w:cs="Arial" w:eastAsia="Arial" w:hAnsi="Arial"/>
                <w:sz w:val="13"/>
                <w:szCs w:val="13"/>
                <w:color w:val="auto"/>
                <w:w w:val="99"/>
              </w:rPr>
              <w:t>Name:</w:t>
            </w:r>
          </w:p>
        </w:tc>
        <w:tc>
          <w:tcPr>
            <w:tcW w:w="1340" w:type="dxa"/>
            <w:vAlign w:val="bottom"/>
          </w:tcPr>
          <w:p>
            <w:pPr>
              <w:ind w:left="140"/>
              <w:spacing w:after="0"/>
              <w:rPr>
                <w:sz w:val="20"/>
                <w:szCs w:val="20"/>
                <w:color w:val="auto"/>
              </w:rPr>
            </w:pPr>
            <w:r>
              <w:rPr>
                <w:rFonts w:ascii="Arial" w:cs="Arial" w:eastAsia="Arial" w:hAnsi="Arial"/>
                <w:sz w:val="13"/>
                <w:szCs w:val="13"/>
                <w:color w:val="auto"/>
              </w:rPr>
              <w:t>Michael Blanchard</w:t>
            </w:r>
          </w:p>
        </w:tc>
        <w:tc>
          <w:tcPr>
            <w:tcW w:w="420" w:type="dxa"/>
            <w:vAlign w:val="bottom"/>
          </w:tcPr>
          <w:p>
            <w:pPr>
              <w:spacing w:after="0"/>
              <w:rPr>
                <w:sz w:val="24"/>
                <w:szCs w:val="24"/>
                <w:color w:val="auto"/>
              </w:rPr>
            </w:pPr>
          </w:p>
        </w:tc>
        <w:tc>
          <w:tcPr>
            <w:tcW w:w="1620" w:type="dxa"/>
            <w:vAlign w:val="bottom"/>
          </w:tcPr>
          <w:p>
            <w:pPr>
              <w:ind w:left="80"/>
              <w:spacing w:after="0"/>
              <w:rPr>
                <w:sz w:val="20"/>
                <w:szCs w:val="20"/>
                <w:color w:val="auto"/>
              </w:rPr>
            </w:pPr>
            <w:r>
              <w:rPr>
                <w:rFonts w:ascii="Arial" w:cs="Arial" w:eastAsia="Arial" w:hAnsi="Arial"/>
                <w:sz w:val="13"/>
                <w:szCs w:val="13"/>
                <w:color w:val="auto"/>
              </w:rPr>
              <w:t>Name: Richard Riddle</w:t>
            </w:r>
          </w:p>
        </w:tc>
      </w:tr>
      <w:tr>
        <w:trPr>
          <w:trHeight w:val="403"/>
        </w:trPr>
        <w:tc>
          <w:tcPr>
            <w:tcW w:w="400" w:type="dxa"/>
            <w:vAlign w:val="bottom"/>
          </w:tcPr>
          <w:p>
            <w:pPr>
              <w:spacing w:after="0"/>
              <w:rPr>
                <w:sz w:val="20"/>
                <w:szCs w:val="20"/>
                <w:color w:val="auto"/>
              </w:rPr>
            </w:pPr>
            <w:r>
              <w:rPr>
                <w:rFonts w:ascii="Arial" w:cs="Arial" w:eastAsia="Arial" w:hAnsi="Arial"/>
                <w:sz w:val="13"/>
                <w:szCs w:val="13"/>
                <w:color w:val="auto"/>
              </w:rPr>
              <w:t>Title:</w:t>
            </w:r>
          </w:p>
        </w:tc>
        <w:tc>
          <w:tcPr>
            <w:tcW w:w="1760" w:type="dxa"/>
            <w:vAlign w:val="bottom"/>
            <w:gridSpan w:val="2"/>
          </w:tcPr>
          <w:p>
            <w:pPr>
              <w:ind w:left="40"/>
              <w:spacing w:after="0"/>
              <w:rPr>
                <w:sz w:val="20"/>
                <w:szCs w:val="20"/>
                <w:color w:val="auto"/>
              </w:rPr>
            </w:pPr>
            <w:r>
              <w:rPr>
                <w:rFonts w:ascii="Arial" w:cs="Arial" w:eastAsia="Arial" w:hAnsi="Arial"/>
                <w:sz w:val="13"/>
                <w:szCs w:val="13"/>
                <w:color w:val="auto"/>
              </w:rPr>
              <w:t>Vice President, Operations</w:t>
            </w:r>
          </w:p>
        </w:tc>
        <w:tc>
          <w:tcPr>
            <w:tcW w:w="1620" w:type="dxa"/>
            <w:vAlign w:val="bottom"/>
          </w:tcPr>
          <w:p>
            <w:pPr>
              <w:ind w:left="320"/>
              <w:spacing w:after="0"/>
              <w:rPr>
                <w:sz w:val="20"/>
                <w:szCs w:val="20"/>
                <w:color w:val="auto"/>
              </w:rPr>
            </w:pPr>
            <w:r>
              <w:rPr>
                <w:rFonts w:ascii="Arial" w:cs="Arial" w:eastAsia="Arial" w:hAnsi="Arial"/>
                <w:sz w:val="13"/>
                <w:szCs w:val="13"/>
                <w:color w:val="auto"/>
              </w:rPr>
              <w:t>Title: Director of Sales</w:t>
            </w:r>
          </w:p>
        </w:tc>
      </w:tr>
      <w:tr>
        <w:trPr>
          <w:trHeight w:val="403"/>
        </w:trPr>
        <w:tc>
          <w:tcPr>
            <w:tcW w:w="400" w:type="dxa"/>
            <w:vAlign w:val="bottom"/>
          </w:tcPr>
          <w:p>
            <w:pPr>
              <w:spacing w:after="0"/>
              <w:rPr>
                <w:sz w:val="20"/>
                <w:szCs w:val="20"/>
                <w:color w:val="auto"/>
              </w:rPr>
            </w:pPr>
            <w:r>
              <w:rPr>
                <w:rFonts w:ascii="Arial" w:cs="Arial" w:eastAsia="Arial" w:hAnsi="Arial"/>
                <w:sz w:val="13"/>
                <w:szCs w:val="13"/>
                <w:color w:val="auto"/>
              </w:rPr>
              <w:t>Date:</w:t>
            </w:r>
          </w:p>
        </w:tc>
        <w:tc>
          <w:tcPr>
            <w:tcW w:w="1340" w:type="dxa"/>
            <w:vAlign w:val="bottom"/>
          </w:tcPr>
          <w:p>
            <w:pPr>
              <w:jc w:val="right"/>
              <w:ind w:right="613"/>
              <w:spacing w:after="0"/>
              <w:rPr>
                <w:sz w:val="20"/>
                <w:szCs w:val="20"/>
                <w:color w:val="auto"/>
              </w:rPr>
            </w:pPr>
            <w:r>
              <w:rPr>
                <w:rFonts w:ascii="Arial" w:cs="Arial" w:eastAsia="Arial" w:hAnsi="Arial"/>
                <w:sz w:val="13"/>
                <w:szCs w:val="13"/>
                <w:color w:val="auto"/>
              </w:rPr>
              <w:t>6/11/2021</w:t>
            </w:r>
          </w:p>
        </w:tc>
        <w:tc>
          <w:tcPr>
            <w:tcW w:w="420" w:type="dxa"/>
            <w:vAlign w:val="bottom"/>
          </w:tcPr>
          <w:p>
            <w:pPr>
              <w:ind w:left="80"/>
              <w:spacing w:after="0"/>
              <w:rPr>
                <w:sz w:val="20"/>
                <w:szCs w:val="20"/>
                <w:color w:val="auto"/>
              </w:rPr>
            </w:pPr>
            <w:r>
              <w:rPr>
                <w:rFonts w:ascii="Arial" w:cs="Arial" w:eastAsia="Arial" w:hAnsi="Arial"/>
                <w:sz w:val="13"/>
                <w:szCs w:val="13"/>
                <w:color w:val="auto"/>
              </w:rPr>
              <w:t>Date:</w:t>
            </w:r>
          </w:p>
        </w:tc>
        <w:tc>
          <w:tcPr>
            <w:tcW w:w="1620" w:type="dxa"/>
            <w:vAlign w:val="bottom"/>
          </w:tcPr>
          <w:p>
            <w:pPr>
              <w:jc w:val="right"/>
              <w:ind w:right="793"/>
              <w:spacing w:after="0"/>
              <w:rPr>
                <w:sz w:val="20"/>
                <w:szCs w:val="20"/>
                <w:color w:val="auto"/>
              </w:rPr>
            </w:pPr>
            <w:r>
              <w:rPr>
                <w:rFonts w:ascii="Arial" w:cs="Arial" w:eastAsia="Arial" w:hAnsi="Arial"/>
                <w:sz w:val="13"/>
                <w:szCs w:val="13"/>
                <w:color w:val="auto"/>
              </w:rPr>
              <w:t>6/11/2021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17 of #NUM_PAGES#</w:t>
      </w:r>
    </w:p>
    <w:p>
      <w:pPr>
        <w:spacing w:after="0" w:line="92" w:lineRule="exact"/>
        <w:rPr>
          <w:sz w:val="20"/>
          <w:szCs w:val="20"/>
          <w:color w:val="auto"/>
        </w:rPr>
      </w:pPr>
    </w:p>
    <w:p>
      <w:pPr>
        <w:ind w:left="180" w:hanging="173"/>
        <w:spacing w:after="0"/>
        <w:tabs>
          <w:tab w:leader="none" w:pos="1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89" w:name="page90"/>
    <w:bookmarkEnd w:id="89"/>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EXHIBIT 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PRICING ADDENDUM-iFuse-3D</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18 of #NUM_PAGES#</w:t>
      </w:r>
    </w:p>
    <w:p>
      <w:pPr>
        <w:spacing w:after="0" w:line="12" w:lineRule="exact"/>
        <w:rPr>
          <w:sz w:val="20"/>
          <w:szCs w:val="20"/>
          <w:color w:val="auto"/>
        </w:rPr>
      </w:pPr>
    </w:p>
    <w:p>
      <w:pPr>
        <w:ind w:left="180" w:hanging="173"/>
        <w:spacing w:after="0"/>
        <w:tabs>
          <w:tab w:leader="none" w:pos="1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90" w:name="page91"/>
    <w:bookmarkEnd w:id="90"/>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PRICING ADDENDUM-iFuse-TORQ</w:t>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19 of #NUM_PAGES#</w:t>
      </w:r>
    </w:p>
    <w:p>
      <w:pPr>
        <w:spacing w:after="0" w:line="12" w:lineRule="exact"/>
        <w:rPr>
          <w:sz w:val="20"/>
          <w:szCs w:val="20"/>
          <w:color w:val="auto"/>
        </w:rPr>
      </w:pPr>
    </w:p>
    <w:p>
      <w:pPr>
        <w:ind w:left="180" w:hanging="173"/>
        <w:spacing w:after="0"/>
        <w:tabs>
          <w:tab w:leader="none" w:pos="1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91" w:name="page92"/>
    <w:bookmarkEnd w:id="91"/>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EXHIBIT B</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APPROVED VENDORS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20 of #NUM_PAGES#</w:t>
      </w:r>
    </w:p>
    <w:p>
      <w:pPr>
        <w:spacing w:after="0" w:line="12" w:lineRule="exact"/>
        <w:rPr>
          <w:sz w:val="20"/>
          <w:szCs w:val="20"/>
          <w:color w:val="auto"/>
        </w:rPr>
      </w:pPr>
    </w:p>
    <w:p>
      <w:pPr>
        <w:ind w:left="180" w:hanging="173"/>
        <w:spacing w:after="0"/>
        <w:tabs>
          <w:tab w:leader="none" w:pos="1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92" w:name="page93"/>
    <w:bookmarkEnd w:id="92"/>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EXHIBIT 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APPROVED SUBCONTRACTORS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21 of #NUM_PAGES#</w:t>
      </w:r>
    </w:p>
    <w:p>
      <w:pPr>
        <w:spacing w:after="0" w:line="12" w:lineRule="exact"/>
        <w:rPr>
          <w:sz w:val="20"/>
          <w:szCs w:val="20"/>
          <w:color w:val="auto"/>
        </w:rPr>
      </w:pPr>
    </w:p>
    <w:p>
      <w:pPr>
        <w:ind w:left="180" w:hanging="173"/>
        <w:spacing w:after="0"/>
        <w:tabs>
          <w:tab w:leader="none" w:pos="1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93" w:name="page94"/>
    <w:bookmarkEnd w:id="93"/>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EXHIBIT 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INTELLECTUAL PROPERTY</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22 of #NUM_PAGES#</w:t>
      </w:r>
    </w:p>
    <w:p>
      <w:pPr>
        <w:spacing w:after="0" w:line="12" w:lineRule="exact"/>
        <w:rPr>
          <w:sz w:val="20"/>
          <w:szCs w:val="20"/>
          <w:color w:val="auto"/>
        </w:rPr>
      </w:pPr>
    </w:p>
    <w:p>
      <w:pPr>
        <w:ind w:left="180" w:hanging="173"/>
        <w:spacing w:after="0"/>
        <w:tabs>
          <w:tab w:leader="none" w:pos="1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94" w:name="page95"/>
    <w:bookmarkEnd w:id="94"/>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EXHIBIT 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PRODUCT SPECIFICATIONS-iFuse-3D</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auto"/>
        </w:rPr>
        <w:t>Note: Future revision updates to be applied through mutual signed agreement of both parties through the change control process.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PRODUCT SPECIFICATIONS-iFuse-TORQ</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23 of #NUM_PAGES#</w:t>
      </w:r>
    </w:p>
    <w:p>
      <w:pPr>
        <w:spacing w:after="0" w:line="12" w:lineRule="exact"/>
        <w:rPr>
          <w:sz w:val="20"/>
          <w:szCs w:val="20"/>
          <w:color w:val="auto"/>
        </w:rPr>
      </w:pPr>
    </w:p>
    <w:p>
      <w:pPr>
        <w:ind w:left="180" w:hanging="173"/>
        <w:spacing w:after="0"/>
        <w:tabs>
          <w:tab w:leader="none" w:pos="1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95" w:name="page96"/>
    <w:bookmarkEnd w:id="95"/>
    <w:p>
      <w:pPr>
        <w:spacing w:after="0"/>
        <w:rPr>
          <w:sz w:val="20"/>
          <w:szCs w:val="20"/>
          <w:color w:val="auto"/>
        </w:rPr>
      </w:pPr>
      <w:r>
        <w:rPr>
          <w:rFonts w:ascii="Arial" w:cs="Arial" w:eastAsia="Arial" w:hAnsi="Arial"/>
          <w:sz w:val="13"/>
          <w:szCs w:val="13"/>
          <w:b w:val="1"/>
          <w:bCs w:val="1"/>
          <w:color w:val="auto"/>
        </w:rPr>
        <w:t>CONFIDENTIAL &amp; PROPRIETARY 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EXHIBIT 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SUPPLIER’S INVENTORY REQUIREMENTS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iFuse 3D Implant Products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iFuse TORQ Products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24 of #NUM_PAGES#</w:t>
      </w:r>
    </w:p>
    <w:p>
      <w:pPr>
        <w:spacing w:after="0" w:line="12" w:lineRule="exact"/>
        <w:rPr>
          <w:sz w:val="20"/>
          <w:szCs w:val="20"/>
          <w:color w:val="auto"/>
        </w:rPr>
      </w:pPr>
    </w:p>
    <w:p>
      <w:pPr>
        <w:ind w:left="180" w:hanging="173"/>
        <w:spacing w:after="0"/>
        <w:tabs>
          <w:tab w:leader="none" w:pos="1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is omitted because it is both (i) not material and (ii) is the type of information that SI-BONE, Inc. treats as</w:t>
      </w:r>
    </w:p>
    <w:p>
      <w:pPr>
        <w:spacing w:after="0" w:line="11" w:lineRule="exact"/>
        <w:rPr>
          <w:rFonts w:ascii="Arial" w:cs="Arial" w:eastAsia="Arial" w:hAnsi="Arial"/>
          <w:sz w:val="13"/>
          <w:szCs w:val="13"/>
          <w:color w:val="auto"/>
        </w:rPr>
      </w:pPr>
    </w:p>
    <w:p>
      <w:pPr>
        <w:ind w:left="4980"/>
        <w:spacing w:after="0"/>
        <w:rPr>
          <w:rFonts w:ascii="Arial" w:cs="Arial" w:eastAsia="Arial" w:hAnsi="Arial"/>
          <w:sz w:val="13"/>
          <w:szCs w:val="13"/>
          <w:color w:val="auto"/>
        </w:rPr>
      </w:pPr>
      <w:r>
        <w:rPr>
          <w:rFonts w:ascii="Arial" w:cs="Arial" w:eastAsia="Arial" w:hAnsi="Arial"/>
          <w:sz w:val="13"/>
          <w:szCs w:val="13"/>
          <w:color w:val="auto"/>
        </w:rPr>
        <w:t>private or confidential.</w:t>
      </w:r>
    </w:p>
    <w:p>
      <w:pPr>
        <w:sectPr>
          <w:pgSz w:w="11900" w:h="16838" w:orient="portrait"/>
          <w:cols w:equalWidth="0" w:num="1">
            <w:col w:w="11280"/>
          </w:cols>
          <w:pgMar w:left="300" w:top="124" w:right="319" w:bottom="1440" w:gutter="0" w:footer="0" w:header="0"/>
        </w:sectPr>
      </w:pPr>
    </w:p>
    <w:bookmarkStart w:id="96" w:name="page97"/>
    <w:bookmarkEnd w:id="96"/>
    <w:p>
      <w:pPr>
        <w:jc w:val="right"/>
        <w:spacing w:after="0"/>
        <w:rPr>
          <w:sz w:val="20"/>
          <w:szCs w:val="20"/>
          <w:color w:val="auto"/>
        </w:rPr>
      </w:pPr>
      <w:r>
        <w:rPr>
          <w:rFonts w:ascii="Arial" w:cs="Arial" w:eastAsia="Arial" w:hAnsi="Arial"/>
          <w:sz w:val="13"/>
          <w:szCs w:val="13"/>
          <w:b w:val="1"/>
          <w:bCs w:val="1"/>
          <w:color w:val="auto"/>
        </w:rPr>
        <w:t>Exhibit 31.1</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I, Laura A. Francis, certify that:</w:t>
      </w:r>
    </w:p>
    <w:p>
      <w:pPr>
        <w:spacing w:after="0" w:line="193" w:lineRule="exact"/>
        <w:rPr>
          <w:sz w:val="20"/>
          <w:szCs w:val="20"/>
          <w:color w:val="auto"/>
        </w:rPr>
      </w:pPr>
    </w:p>
    <w:p>
      <w:pPr>
        <w:ind w:left="480" w:hanging="238"/>
        <w:spacing w:after="0"/>
        <w:tabs>
          <w:tab w:leader="none" w:pos="4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I have reviewed this Form 10-Q of SI-BONE, Inc.;</w:t>
      </w:r>
    </w:p>
    <w:p>
      <w:pPr>
        <w:spacing w:after="0" w:line="192" w:lineRule="exact"/>
        <w:rPr>
          <w:rFonts w:ascii="Arial" w:cs="Arial" w:eastAsia="Arial" w:hAnsi="Arial"/>
          <w:sz w:val="13"/>
          <w:szCs w:val="13"/>
          <w:color w:val="auto"/>
        </w:rPr>
      </w:pPr>
    </w:p>
    <w:p>
      <w:pPr>
        <w:ind w:left="480" w:hanging="238"/>
        <w:spacing w:after="0" w:line="294" w:lineRule="auto"/>
        <w:tabs>
          <w:tab w:leader="none" w:pos="4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3"/>
          <w:szCs w:val="13"/>
          <w:color w:val="auto"/>
        </w:rPr>
      </w:pPr>
    </w:p>
    <w:p>
      <w:pPr>
        <w:ind w:left="480" w:hanging="238"/>
        <w:spacing w:after="0" w:line="294" w:lineRule="auto"/>
        <w:tabs>
          <w:tab w:leader="none" w:pos="4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3"/>
          <w:szCs w:val="13"/>
          <w:color w:val="auto"/>
        </w:rPr>
      </w:pPr>
    </w:p>
    <w:p>
      <w:pPr>
        <w:ind w:left="480" w:hanging="238"/>
        <w:spacing w:after="0" w:line="294" w:lineRule="auto"/>
        <w:tabs>
          <w:tab w:leader="none" w:pos="4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3"/>
          <w:szCs w:val="13"/>
          <w:color w:val="auto"/>
        </w:rPr>
      </w:pPr>
    </w:p>
    <w:p>
      <w:pPr>
        <w:ind w:left="780" w:hanging="296"/>
        <w:spacing w:after="0" w:line="338" w:lineRule="auto"/>
        <w:tabs>
          <w:tab w:leader="none" w:pos="773" w:val="left"/>
        </w:tabs>
        <w:numPr>
          <w:ilvl w:val="1"/>
          <w:numId w:val="7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780" w:hanging="296"/>
        <w:spacing w:after="0" w:line="294" w:lineRule="auto"/>
        <w:tabs>
          <w:tab w:leader="none" w:pos="771" w:val="left"/>
        </w:tabs>
        <w:numPr>
          <w:ilvl w:val="1"/>
          <w:numId w:val="7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3"/>
          <w:szCs w:val="13"/>
          <w:color w:val="auto"/>
        </w:rPr>
      </w:pPr>
    </w:p>
    <w:p>
      <w:pPr>
        <w:ind w:left="780" w:hanging="296"/>
        <w:spacing w:after="0" w:line="294" w:lineRule="auto"/>
        <w:tabs>
          <w:tab w:leader="none" w:pos="773" w:val="left"/>
        </w:tabs>
        <w:numPr>
          <w:ilvl w:val="1"/>
          <w:numId w:val="7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3"/>
          <w:szCs w:val="13"/>
          <w:color w:val="auto"/>
        </w:rPr>
      </w:pPr>
    </w:p>
    <w:p>
      <w:pPr>
        <w:ind w:left="780" w:hanging="296"/>
        <w:spacing w:after="0" w:line="294" w:lineRule="auto"/>
        <w:tabs>
          <w:tab w:leader="none" w:pos="771" w:val="left"/>
        </w:tabs>
        <w:numPr>
          <w:ilvl w:val="1"/>
          <w:numId w:val="7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7" w:lineRule="exact"/>
        <w:rPr>
          <w:rFonts w:ascii="Arial" w:cs="Arial" w:eastAsia="Arial" w:hAnsi="Arial"/>
          <w:sz w:val="13"/>
          <w:szCs w:val="13"/>
          <w:color w:val="auto"/>
        </w:rPr>
      </w:pPr>
    </w:p>
    <w:p>
      <w:pPr>
        <w:ind w:left="480" w:hanging="238"/>
        <w:spacing w:after="0" w:line="294" w:lineRule="auto"/>
        <w:tabs>
          <w:tab w:leader="none" w:pos="4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3"/>
          <w:szCs w:val="13"/>
          <w:color w:val="auto"/>
        </w:rPr>
      </w:pPr>
    </w:p>
    <w:p>
      <w:pPr>
        <w:ind w:left="780" w:hanging="296"/>
        <w:spacing w:after="0" w:line="294" w:lineRule="auto"/>
        <w:tabs>
          <w:tab w:leader="none" w:pos="773" w:val="left"/>
        </w:tabs>
        <w:numPr>
          <w:ilvl w:val="1"/>
          <w:numId w:val="7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3"/>
          <w:szCs w:val="13"/>
          <w:color w:val="auto"/>
        </w:rPr>
      </w:pPr>
    </w:p>
    <w:p>
      <w:pPr>
        <w:ind w:left="780" w:hanging="296"/>
        <w:spacing w:after="0"/>
        <w:tabs>
          <w:tab w:leader="none" w:pos="780" w:val="left"/>
        </w:tabs>
        <w:numPr>
          <w:ilvl w:val="1"/>
          <w:numId w:val="7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42"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4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Laura A. Francis</w:t>
            </w:r>
          </w:p>
        </w:tc>
      </w:tr>
      <w:tr>
        <w:trPr>
          <w:trHeight w:val="161"/>
        </w:trPr>
        <w:tc>
          <w:tcPr>
            <w:tcW w:w="420" w:type="dxa"/>
            <w:vAlign w:val="bottom"/>
          </w:tcPr>
          <w:p>
            <w:pPr>
              <w:spacing w:after="0"/>
              <w:rPr>
                <w:sz w:val="20"/>
                <w:szCs w:val="20"/>
                <w:color w:val="auto"/>
              </w:rPr>
            </w:pPr>
            <w:r>
              <w:rPr>
                <w:rFonts w:ascii="Arial" w:cs="Arial" w:eastAsia="Arial" w:hAnsi="Arial"/>
                <w:sz w:val="13"/>
                <w:szCs w:val="13"/>
                <w:color w:val="auto"/>
              </w:rPr>
              <w:t>Date:</w:t>
            </w:r>
          </w:p>
        </w:tc>
        <w:tc>
          <w:tcPr>
            <w:tcW w:w="4240" w:type="dxa"/>
            <w:vAlign w:val="bottom"/>
          </w:tcPr>
          <w:p>
            <w:pPr>
              <w:ind w:left="120"/>
              <w:spacing w:after="0"/>
              <w:rPr>
                <w:sz w:val="20"/>
                <w:szCs w:val="20"/>
                <w:color w:val="auto"/>
              </w:rPr>
            </w:pPr>
            <w:r>
              <w:rPr>
                <w:rFonts w:ascii="Arial" w:cs="Arial" w:eastAsia="Arial" w:hAnsi="Arial"/>
                <w:sz w:val="13"/>
                <w:szCs w:val="13"/>
                <w:color w:val="auto"/>
              </w:rPr>
              <w:t>August 4, 2021</w:t>
            </w:r>
          </w:p>
        </w:tc>
        <w:tc>
          <w:tcPr>
            <w:tcW w:w="4720" w:type="dxa"/>
            <w:vAlign w:val="bottom"/>
          </w:tcPr>
          <w:p>
            <w:pPr>
              <w:jc w:val="center"/>
              <w:spacing w:after="0"/>
              <w:rPr>
                <w:sz w:val="20"/>
                <w:szCs w:val="20"/>
                <w:color w:val="auto"/>
              </w:rPr>
            </w:pPr>
            <w:r>
              <w:rPr>
                <w:rFonts w:ascii="Arial" w:cs="Arial" w:eastAsia="Arial" w:hAnsi="Arial"/>
                <w:sz w:val="13"/>
                <w:szCs w:val="13"/>
                <w:color w:val="auto"/>
                <w:w w:val="94"/>
              </w:rPr>
              <w:t>Laura A. Francis</w:t>
            </w:r>
          </w:p>
        </w:tc>
      </w:tr>
      <w:tr>
        <w:trPr>
          <w:trHeight w:val="171"/>
        </w:trPr>
        <w:tc>
          <w:tcPr>
            <w:tcW w:w="4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720" w:type="dxa"/>
            <w:vAlign w:val="bottom"/>
          </w:tcPr>
          <w:p>
            <w:pPr>
              <w:jc w:val="center"/>
              <w:spacing w:after="0"/>
              <w:rPr>
                <w:sz w:val="20"/>
                <w:szCs w:val="20"/>
                <w:color w:val="auto"/>
              </w:rPr>
            </w:pPr>
            <w:r>
              <w:rPr>
                <w:rFonts w:ascii="Arial" w:cs="Arial" w:eastAsia="Arial" w:hAnsi="Arial"/>
                <w:sz w:val="13"/>
                <w:szCs w:val="13"/>
                <w:color w:val="auto"/>
                <w:w w:val="98"/>
              </w:rPr>
              <w:t>Chief Executive Officer</w:t>
            </w:r>
          </w:p>
        </w:tc>
      </w:tr>
      <w:tr>
        <w:trPr>
          <w:trHeight w:val="172"/>
        </w:trPr>
        <w:tc>
          <w:tcPr>
            <w:tcW w:w="4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720" w:type="dxa"/>
            <w:vAlign w:val="bottom"/>
          </w:tcPr>
          <w:p>
            <w:pPr>
              <w:jc w:val="center"/>
              <w:spacing w:after="0"/>
              <w:rPr>
                <w:sz w:val="20"/>
                <w:szCs w:val="20"/>
                <w:color w:val="auto"/>
              </w:rPr>
            </w:pPr>
            <w:r>
              <w:rPr>
                <w:rFonts w:ascii="Arial" w:cs="Arial" w:eastAsia="Arial" w:hAnsi="Arial"/>
                <w:sz w:val="13"/>
                <w:szCs w:val="13"/>
                <w:color w:val="auto"/>
                <w:w w:val="98"/>
              </w:rPr>
              <w:t>(Principal Executive Officer)</w:t>
            </w:r>
          </w:p>
        </w:tc>
      </w:tr>
    </w:tbl>
    <w:p>
      <w:pPr>
        <w:sectPr>
          <w:pgSz w:w="11900" w:h="16838" w:orient="portrait"/>
          <w:cols w:equalWidth="0" w:num="1">
            <w:col w:w="11280"/>
          </w:cols>
          <w:pgMar w:left="300" w:top="610" w:right="319" w:bottom="1440" w:gutter="0" w:footer="0" w:header="0"/>
        </w:sectPr>
      </w:pPr>
    </w:p>
    <w:bookmarkStart w:id="97" w:name="page98"/>
    <w:bookmarkEnd w:id="97"/>
    <w:p>
      <w:pPr>
        <w:jc w:val="right"/>
        <w:spacing w:after="0"/>
        <w:rPr>
          <w:sz w:val="20"/>
          <w:szCs w:val="20"/>
          <w:color w:val="auto"/>
        </w:rPr>
      </w:pPr>
      <w:r>
        <w:rPr>
          <w:rFonts w:ascii="Arial" w:cs="Arial" w:eastAsia="Arial" w:hAnsi="Arial"/>
          <w:sz w:val="13"/>
          <w:szCs w:val="13"/>
          <w:b w:val="1"/>
          <w:bCs w:val="1"/>
          <w:color w:val="auto"/>
        </w:rPr>
        <w:t>Exhibit 31.2</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I, Anshul Maheshwari, certify that:</w:t>
      </w:r>
    </w:p>
    <w:p>
      <w:pPr>
        <w:spacing w:after="0" w:line="283" w:lineRule="exact"/>
        <w:rPr>
          <w:sz w:val="20"/>
          <w:szCs w:val="20"/>
          <w:color w:val="auto"/>
        </w:rPr>
      </w:pPr>
    </w:p>
    <w:p>
      <w:pPr>
        <w:ind w:left="480" w:hanging="238"/>
        <w:spacing w:after="0"/>
        <w:tabs>
          <w:tab w:leader="none" w:pos="4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I have reviewed this Form 10-Q of SI-BONE, Inc.;</w:t>
      </w:r>
    </w:p>
    <w:p>
      <w:pPr>
        <w:spacing w:after="0" w:line="192" w:lineRule="exact"/>
        <w:rPr>
          <w:rFonts w:ascii="Arial" w:cs="Arial" w:eastAsia="Arial" w:hAnsi="Arial"/>
          <w:sz w:val="13"/>
          <w:szCs w:val="13"/>
          <w:color w:val="auto"/>
        </w:rPr>
      </w:pPr>
    </w:p>
    <w:p>
      <w:pPr>
        <w:ind w:left="480" w:hanging="238"/>
        <w:spacing w:after="0" w:line="294" w:lineRule="auto"/>
        <w:tabs>
          <w:tab w:leader="none" w:pos="4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3"/>
          <w:szCs w:val="13"/>
          <w:color w:val="auto"/>
        </w:rPr>
      </w:pPr>
    </w:p>
    <w:p>
      <w:pPr>
        <w:ind w:left="480" w:hanging="238"/>
        <w:spacing w:after="0" w:line="294" w:lineRule="auto"/>
        <w:tabs>
          <w:tab w:leader="none" w:pos="4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3"/>
          <w:szCs w:val="13"/>
          <w:color w:val="auto"/>
        </w:rPr>
      </w:pPr>
    </w:p>
    <w:p>
      <w:pPr>
        <w:ind w:left="480" w:hanging="238"/>
        <w:spacing w:after="0" w:line="294" w:lineRule="auto"/>
        <w:tabs>
          <w:tab w:leader="none" w:pos="4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3"/>
          <w:szCs w:val="13"/>
          <w:color w:val="auto"/>
        </w:rPr>
      </w:pPr>
    </w:p>
    <w:p>
      <w:pPr>
        <w:ind w:left="780" w:hanging="296"/>
        <w:spacing w:after="0" w:line="338" w:lineRule="auto"/>
        <w:tabs>
          <w:tab w:leader="none" w:pos="773" w:val="left"/>
        </w:tabs>
        <w:numPr>
          <w:ilvl w:val="1"/>
          <w:numId w:val="7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780" w:hanging="296"/>
        <w:spacing w:after="0" w:line="294" w:lineRule="auto"/>
        <w:tabs>
          <w:tab w:leader="none" w:pos="771" w:val="left"/>
        </w:tabs>
        <w:numPr>
          <w:ilvl w:val="1"/>
          <w:numId w:val="7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3"/>
          <w:szCs w:val="13"/>
          <w:color w:val="auto"/>
        </w:rPr>
      </w:pPr>
    </w:p>
    <w:p>
      <w:pPr>
        <w:ind w:left="780" w:hanging="296"/>
        <w:spacing w:after="0" w:line="294" w:lineRule="auto"/>
        <w:tabs>
          <w:tab w:leader="none" w:pos="773" w:val="left"/>
        </w:tabs>
        <w:numPr>
          <w:ilvl w:val="1"/>
          <w:numId w:val="7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3"/>
          <w:szCs w:val="13"/>
          <w:color w:val="auto"/>
        </w:rPr>
      </w:pPr>
    </w:p>
    <w:p>
      <w:pPr>
        <w:ind w:left="780" w:hanging="296"/>
        <w:spacing w:after="0" w:line="294" w:lineRule="auto"/>
        <w:tabs>
          <w:tab w:leader="none" w:pos="771" w:val="left"/>
        </w:tabs>
        <w:numPr>
          <w:ilvl w:val="1"/>
          <w:numId w:val="7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3"/>
          <w:szCs w:val="13"/>
          <w:color w:val="auto"/>
        </w:rPr>
      </w:pPr>
    </w:p>
    <w:p>
      <w:pPr>
        <w:ind w:left="480" w:hanging="238"/>
        <w:spacing w:after="0" w:line="294" w:lineRule="auto"/>
        <w:tabs>
          <w:tab w:leader="none" w:pos="4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3"/>
          <w:szCs w:val="13"/>
          <w:color w:val="auto"/>
        </w:rPr>
      </w:pPr>
    </w:p>
    <w:p>
      <w:pPr>
        <w:ind w:left="780" w:hanging="296"/>
        <w:spacing w:after="0" w:line="294" w:lineRule="auto"/>
        <w:tabs>
          <w:tab w:leader="none" w:pos="773" w:val="left"/>
        </w:tabs>
        <w:numPr>
          <w:ilvl w:val="1"/>
          <w:numId w:val="7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3"/>
          <w:szCs w:val="13"/>
          <w:color w:val="auto"/>
        </w:rPr>
      </w:pPr>
    </w:p>
    <w:p>
      <w:pPr>
        <w:ind w:left="780" w:hanging="296"/>
        <w:spacing w:after="0"/>
        <w:tabs>
          <w:tab w:leader="none" w:pos="780" w:val="left"/>
        </w:tabs>
        <w:numPr>
          <w:ilvl w:val="1"/>
          <w:numId w:val="7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Anshul Maheshwari</w:t>
            </w:r>
          </w:p>
        </w:tc>
      </w:tr>
      <w:tr>
        <w:trPr>
          <w:trHeight w:val="161"/>
        </w:trPr>
        <w:tc>
          <w:tcPr>
            <w:tcW w:w="440" w:type="dxa"/>
            <w:vAlign w:val="bottom"/>
          </w:tcPr>
          <w:p>
            <w:pPr>
              <w:spacing w:after="0"/>
              <w:rPr>
                <w:sz w:val="20"/>
                <w:szCs w:val="20"/>
                <w:color w:val="auto"/>
              </w:rPr>
            </w:pPr>
            <w:r>
              <w:rPr>
                <w:rFonts w:ascii="Arial" w:cs="Arial" w:eastAsia="Arial" w:hAnsi="Arial"/>
                <w:sz w:val="13"/>
                <w:szCs w:val="13"/>
                <w:color w:val="auto"/>
              </w:rPr>
              <w:t>Date:</w:t>
            </w:r>
          </w:p>
        </w:tc>
        <w:tc>
          <w:tcPr>
            <w:tcW w:w="4440" w:type="dxa"/>
            <w:vAlign w:val="bottom"/>
          </w:tcPr>
          <w:p>
            <w:pPr>
              <w:ind w:left="160"/>
              <w:spacing w:after="0"/>
              <w:rPr>
                <w:sz w:val="20"/>
                <w:szCs w:val="20"/>
                <w:color w:val="auto"/>
              </w:rPr>
            </w:pPr>
            <w:r>
              <w:rPr>
                <w:rFonts w:ascii="Arial" w:cs="Arial" w:eastAsia="Arial" w:hAnsi="Arial"/>
                <w:sz w:val="13"/>
                <w:szCs w:val="13"/>
                <w:color w:val="auto"/>
              </w:rPr>
              <w:t>August 4, 2021</w:t>
            </w:r>
          </w:p>
        </w:tc>
        <w:tc>
          <w:tcPr>
            <w:tcW w:w="4860" w:type="dxa"/>
            <w:vAlign w:val="bottom"/>
          </w:tcPr>
          <w:p>
            <w:pPr>
              <w:jc w:val="center"/>
              <w:spacing w:after="0"/>
              <w:rPr>
                <w:sz w:val="20"/>
                <w:szCs w:val="20"/>
                <w:color w:val="auto"/>
              </w:rPr>
            </w:pPr>
            <w:r>
              <w:rPr>
                <w:rFonts w:ascii="Arial" w:cs="Arial" w:eastAsia="Arial" w:hAnsi="Arial"/>
                <w:sz w:val="13"/>
                <w:szCs w:val="13"/>
                <w:color w:val="auto"/>
                <w:w w:val="96"/>
              </w:rPr>
              <w:t>Anshul Maheshwari</w:t>
            </w:r>
          </w:p>
        </w:tc>
      </w:tr>
      <w:tr>
        <w:trPr>
          <w:trHeight w:val="171"/>
        </w:trPr>
        <w:tc>
          <w:tcPr>
            <w:tcW w:w="4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860" w:type="dxa"/>
            <w:vAlign w:val="bottom"/>
          </w:tcPr>
          <w:p>
            <w:pPr>
              <w:jc w:val="center"/>
              <w:spacing w:after="0"/>
              <w:rPr>
                <w:sz w:val="20"/>
                <w:szCs w:val="20"/>
                <w:color w:val="auto"/>
              </w:rPr>
            </w:pPr>
            <w:r>
              <w:rPr>
                <w:rFonts w:ascii="Arial" w:cs="Arial" w:eastAsia="Arial" w:hAnsi="Arial"/>
                <w:sz w:val="13"/>
                <w:szCs w:val="13"/>
                <w:color w:val="auto"/>
                <w:w w:val="98"/>
              </w:rPr>
              <w:t>Chief Financial Officer</w:t>
            </w:r>
          </w:p>
        </w:tc>
      </w:tr>
      <w:tr>
        <w:trPr>
          <w:trHeight w:val="172"/>
        </w:trPr>
        <w:tc>
          <w:tcPr>
            <w:tcW w:w="4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860" w:type="dxa"/>
            <w:vAlign w:val="bottom"/>
          </w:tcPr>
          <w:p>
            <w:pPr>
              <w:jc w:val="center"/>
              <w:spacing w:after="0"/>
              <w:rPr>
                <w:sz w:val="20"/>
                <w:szCs w:val="20"/>
                <w:color w:val="auto"/>
              </w:rPr>
            </w:pPr>
            <w:r>
              <w:rPr>
                <w:rFonts w:ascii="Arial" w:cs="Arial" w:eastAsia="Arial" w:hAnsi="Arial"/>
                <w:sz w:val="13"/>
                <w:szCs w:val="13"/>
                <w:color w:val="auto"/>
                <w:w w:val="98"/>
              </w:rPr>
              <w:t>(Principal Financial Officer)</w:t>
            </w:r>
          </w:p>
        </w:tc>
      </w:tr>
    </w:tbl>
    <w:p>
      <w:pPr>
        <w:sectPr>
          <w:pgSz w:w="11900" w:h="16838" w:orient="portrait"/>
          <w:cols w:equalWidth="0" w:num="1">
            <w:col w:w="11280"/>
          </w:cols>
          <w:pgMar w:left="300" w:top="610" w:right="319" w:bottom="1440" w:gutter="0" w:footer="0" w:header="0"/>
        </w:sectPr>
      </w:pPr>
    </w:p>
    <w:bookmarkStart w:id="98" w:name="page99"/>
    <w:bookmarkEnd w:id="98"/>
    <w:p>
      <w:pPr>
        <w:jc w:val="right"/>
        <w:spacing w:after="0"/>
        <w:rPr>
          <w:sz w:val="20"/>
          <w:szCs w:val="20"/>
          <w:color w:val="auto"/>
        </w:rPr>
      </w:pPr>
      <w:r>
        <w:rPr>
          <w:rFonts w:ascii="Arial" w:cs="Arial" w:eastAsia="Arial" w:hAnsi="Arial"/>
          <w:sz w:val="13"/>
          <w:szCs w:val="13"/>
          <w:b w:val="1"/>
          <w:bCs w:val="1"/>
          <w:color w:val="auto"/>
        </w:rPr>
        <w:t>Exhibit 32.1</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EXECUTIVE OFFICER AND PRINCIPAL FINANCIAL OFFICER</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certify that, to the best of his or her knowledge:</w:t>
      </w:r>
    </w:p>
    <w:p>
      <w:pPr>
        <w:spacing w:after="0" w:line="129" w:lineRule="exact"/>
        <w:rPr>
          <w:sz w:val="20"/>
          <w:szCs w:val="20"/>
          <w:color w:val="auto"/>
        </w:rPr>
      </w:pPr>
    </w:p>
    <w:p>
      <w:pPr>
        <w:ind w:firstLine="1"/>
        <w:spacing w:after="0" w:line="294" w:lineRule="auto"/>
        <w:tabs>
          <w:tab w:leader="none" w:pos="142"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Company’s Quarterly Report on Form 10-Q for the period ended June 30, 2021, to which this Certification is attached as Exhibit 32.1 (the “Periodic Report”), fully complies with the requirements of Section 13(a) or Section 15(d) of the Exchange Act; and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Arial" w:cs="Arial" w:eastAsia="Arial" w:hAnsi="Arial"/>
                <w:sz w:val="13"/>
                <w:szCs w:val="13"/>
                <w:color w:val="auto"/>
              </w:rPr>
              <w:t>2.   The</w:t>
            </w:r>
          </w:p>
        </w:tc>
        <w:tc>
          <w:tcPr>
            <w:tcW w:w="1480" w:type="dxa"/>
            <w:vAlign w:val="bottom"/>
          </w:tcPr>
          <w:p>
            <w:pPr>
              <w:ind w:left="80"/>
              <w:spacing w:after="0"/>
              <w:rPr>
                <w:sz w:val="20"/>
                <w:szCs w:val="20"/>
                <w:color w:val="auto"/>
              </w:rPr>
            </w:pPr>
            <w:r>
              <w:rPr>
                <w:rFonts w:ascii="Arial" w:cs="Arial" w:eastAsia="Arial" w:hAnsi="Arial"/>
                <w:sz w:val="13"/>
                <w:szCs w:val="13"/>
                <w:color w:val="auto"/>
              </w:rPr>
              <w:t>information   contained</w:t>
            </w:r>
          </w:p>
        </w:tc>
        <w:tc>
          <w:tcPr>
            <w:tcW w:w="9260" w:type="dxa"/>
            <w:vAlign w:val="bottom"/>
            <w:gridSpan w:val="3"/>
          </w:tcPr>
          <w:p>
            <w:pPr>
              <w:ind w:left="80"/>
              <w:spacing w:after="0"/>
              <w:rPr>
                <w:sz w:val="20"/>
                <w:szCs w:val="20"/>
                <w:color w:val="auto"/>
              </w:rPr>
            </w:pPr>
            <w:r>
              <w:rPr>
                <w:rFonts w:ascii="Arial" w:cs="Arial" w:eastAsia="Arial" w:hAnsi="Arial"/>
                <w:sz w:val="13"/>
                <w:szCs w:val="13"/>
                <w:color w:val="auto"/>
              </w:rPr>
              <w:t>in   the   Periodic   Report   fairly   presents,   in   all   material   respects,   the   financial   condition   and   results   of   operations   of   the   Company.</w:t>
            </w:r>
          </w:p>
        </w:tc>
      </w:tr>
      <w:tr>
        <w:trPr>
          <w:trHeight w:val="715"/>
        </w:trPr>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060" w:type="dxa"/>
            <w:vAlign w:val="bottom"/>
            <w:gridSpan w:val="2"/>
          </w:tcPr>
          <w:p>
            <w:pPr>
              <w:jc w:val="center"/>
              <w:ind w:right="800"/>
              <w:spacing w:after="0"/>
              <w:rPr>
                <w:sz w:val="20"/>
                <w:szCs w:val="20"/>
                <w:color w:val="auto"/>
              </w:rPr>
            </w:pPr>
            <w:r>
              <w:rPr>
                <w:rFonts w:ascii="Arial" w:cs="Arial" w:eastAsia="Arial" w:hAnsi="Arial"/>
                <w:sz w:val="13"/>
                <w:szCs w:val="13"/>
                <w:color w:val="auto"/>
                <w:w w:val="94"/>
              </w:rPr>
              <w:t>/s/ Laura A. Francis</w:t>
            </w:r>
          </w:p>
        </w:tc>
      </w:tr>
      <w:tr>
        <w:trPr>
          <w:trHeight w:val="161"/>
        </w:trPr>
        <w:tc>
          <w:tcPr>
            <w:tcW w:w="540" w:type="dxa"/>
            <w:vAlign w:val="bottom"/>
          </w:tcPr>
          <w:p>
            <w:pPr>
              <w:ind w:left="20"/>
              <w:spacing w:after="0"/>
              <w:rPr>
                <w:sz w:val="20"/>
                <w:szCs w:val="20"/>
                <w:color w:val="auto"/>
              </w:rPr>
            </w:pPr>
            <w:r>
              <w:rPr>
                <w:rFonts w:ascii="Arial" w:cs="Arial" w:eastAsia="Arial" w:hAnsi="Arial"/>
                <w:sz w:val="13"/>
                <w:szCs w:val="13"/>
                <w:color w:val="auto"/>
              </w:rPr>
              <w:t>Date:</w:t>
            </w:r>
          </w:p>
        </w:tc>
        <w:tc>
          <w:tcPr>
            <w:tcW w:w="1480" w:type="dxa"/>
            <w:vAlign w:val="bottom"/>
          </w:tcPr>
          <w:p>
            <w:pPr>
              <w:ind w:left="80"/>
              <w:spacing w:after="0"/>
              <w:rPr>
                <w:sz w:val="20"/>
                <w:szCs w:val="20"/>
                <w:color w:val="auto"/>
              </w:rPr>
            </w:pPr>
            <w:r>
              <w:rPr>
                <w:rFonts w:ascii="Arial" w:cs="Arial" w:eastAsia="Arial" w:hAnsi="Arial"/>
                <w:sz w:val="13"/>
                <w:szCs w:val="13"/>
                <w:color w:val="auto"/>
              </w:rPr>
              <w:t>August 4, 2021</w:t>
            </w:r>
          </w:p>
        </w:tc>
        <w:tc>
          <w:tcPr>
            <w:tcW w:w="3200" w:type="dxa"/>
            <w:vAlign w:val="bottom"/>
          </w:tcPr>
          <w:p>
            <w:pPr>
              <w:spacing w:after="0"/>
              <w:rPr>
                <w:sz w:val="13"/>
                <w:szCs w:val="13"/>
                <w:color w:val="auto"/>
              </w:rPr>
            </w:pPr>
          </w:p>
        </w:tc>
        <w:tc>
          <w:tcPr>
            <w:tcW w:w="52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4"/>
              </w:rPr>
              <w:t>Laura A. Francis</w:t>
            </w:r>
          </w:p>
        </w:tc>
        <w:tc>
          <w:tcPr>
            <w:tcW w:w="800" w:type="dxa"/>
            <w:vAlign w:val="bottom"/>
          </w:tcPr>
          <w:p>
            <w:pPr>
              <w:spacing w:after="0"/>
              <w:rPr>
                <w:sz w:val="13"/>
                <w:szCs w:val="13"/>
                <w:color w:val="auto"/>
              </w:rPr>
            </w:pPr>
          </w:p>
        </w:tc>
      </w:tr>
      <w:tr>
        <w:trPr>
          <w:trHeight w:val="171"/>
        </w:trPr>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060" w:type="dxa"/>
            <w:vAlign w:val="bottom"/>
            <w:gridSpan w:val="2"/>
          </w:tcPr>
          <w:p>
            <w:pPr>
              <w:jc w:val="center"/>
              <w:ind w:right="820"/>
              <w:spacing w:after="0"/>
              <w:rPr>
                <w:sz w:val="20"/>
                <w:szCs w:val="20"/>
                <w:color w:val="auto"/>
              </w:rPr>
            </w:pPr>
            <w:r>
              <w:rPr>
                <w:rFonts w:ascii="Arial" w:cs="Arial" w:eastAsia="Arial" w:hAnsi="Arial"/>
                <w:sz w:val="13"/>
                <w:szCs w:val="13"/>
                <w:color w:val="auto"/>
                <w:w w:val="96"/>
              </w:rPr>
              <w:t>Chief Executive Officer</w:t>
            </w:r>
          </w:p>
        </w:tc>
      </w:tr>
      <w:tr>
        <w:trPr>
          <w:trHeight w:val="172"/>
        </w:trPr>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060" w:type="dxa"/>
            <w:vAlign w:val="bottom"/>
            <w:gridSpan w:val="2"/>
          </w:tcPr>
          <w:p>
            <w:pPr>
              <w:ind w:left="1920"/>
              <w:spacing w:after="0"/>
              <w:rPr>
                <w:sz w:val="20"/>
                <w:szCs w:val="20"/>
                <w:color w:val="auto"/>
              </w:rPr>
            </w:pPr>
            <w:r>
              <w:rPr>
                <w:rFonts w:ascii="Arial" w:cs="Arial" w:eastAsia="Arial" w:hAnsi="Arial"/>
                <w:sz w:val="13"/>
                <w:szCs w:val="13"/>
                <w:color w:val="auto"/>
              </w:rPr>
              <w:t>(Principal Executive Officer)</w:t>
            </w:r>
          </w:p>
        </w:tc>
      </w:tr>
      <w:tr>
        <w:trPr>
          <w:trHeight w:val="332"/>
        </w:trPr>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060" w:type="dxa"/>
            <w:vAlign w:val="bottom"/>
            <w:gridSpan w:val="2"/>
          </w:tcPr>
          <w:p>
            <w:pPr>
              <w:jc w:val="center"/>
              <w:ind w:right="820"/>
              <w:spacing w:after="0"/>
              <w:rPr>
                <w:sz w:val="20"/>
                <w:szCs w:val="20"/>
                <w:color w:val="auto"/>
              </w:rPr>
            </w:pPr>
            <w:r>
              <w:rPr>
                <w:rFonts w:ascii="Arial" w:cs="Arial" w:eastAsia="Arial" w:hAnsi="Arial"/>
                <w:sz w:val="13"/>
                <w:szCs w:val="13"/>
                <w:color w:val="auto"/>
                <w:w w:val="94"/>
              </w:rPr>
              <w:t>/s/ Anshul Maheshwari</w:t>
            </w:r>
          </w:p>
        </w:tc>
      </w:tr>
      <w:tr>
        <w:trPr>
          <w:trHeight w:val="161"/>
        </w:trPr>
        <w:tc>
          <w:tcPr>
            <w:tcW w:w="540" w:type="dxa"/>
            <w:vAlign w:val="bottom"/>
          </w:tcPr>
          <w:p>
            <w:pPr>
              <w:ind w:left="20"/>
              <w:spacing w:after="0"/>
              <w:rPr>
                <w:sz w:val="20"/>
                <w:szCs w:val="20"/>
                <w:color w:val="auto"/>
              </w:rPr>
            </w:pPr>
            <w:r>
              <w:rPr>
                <w:rFonts w:ascii="Arial" w:cs="Arial" w:eastAsia="Arial" w:hAnsi="Arial"/>
                <w:sz w:val="13"/>
                <w:szCs w:val="13"/>
                <w:color w:val="auto"/>
              </w:rPr>
              <w:t>Date:</w:t>
            </w:r>
          </w:p>
        </w:tc>
        <w:tc>
          <w:tcPr>
            <w:tcW w:w="1480" w:type="dxa"/>
            <w:vAlign w:val="bottom"/>
          </w:tcPr>
          <w:p>
            <w:pPr>
              <w:ind w:left="80"/>
              <w:spacing w:after="0"/>
              <w:rPr>
                <w:sz w:val="20"/>
                <w:szCs w:val="20"/>
                <w:color w:val="auto"/>
              </w:rPr>
            </w:pPr>
            <w:r>
              <w:rPr>
                <w:rFonts w:ascii="Arial" w:cs="Arial" w:eastAsia="Arial" w:hAnsi="Arial"/>
                <w:sz w:val="13"/>
                <w:szCs w:val="13"/>
                <w:color w:val="auto"/>
              </w:rPr>
              <w:t>August 4, 2021</w:t>
            </w:r>
          </w:p>
        </w:tc>
        <w:tc>
          <w:tcPr>
            <w:tcW w:w="3200" w:type="dxa"/>
            <w:vAlign w:val="bottom"/>
          </w:tcPr>
          <w:p>
            <w:pPr>
              <w:spacing w:after="0"/>
              <w:rPr>
                <w:sz w:val="13"/>
                <w:szCs w:val="13"/>
                <w:color w:val="auto"/>
              </w:rPr>
            </w:pPr>
          </w:p>
        </w:tc>
        <w:tc>
          <w:tcPr>
            <w:tcW w:w="52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5"/>
              </w:rPr>
              <w:t>Anshul Maheshwari</w:t>
            </w:r>
          </w:p>
        </w:tc>
        <w:tc>
          <w:tcPr>
            <w:tcW w:w="800" w:type="dxa"/>
            <w:vAlign w:val="bottom"/>
          </w:tcPr>
          <w:p>
            <w:pPr>
              <w:spacing w:after="0"/>
              <w:rPr>
                <w:sz w:val="13"/>
                <w:szCs w:val="13"/>
                <w:color w:val="auto"/>
              </w:rPr>
            </w:pPr>
          </w:p>
        </w:tc>
      </w:tr>
      <w:tr>
        <w:trPr>
          <w:trHeight w:val="171"/>
        </w:trPr>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060" w:type="dxa"/>
            <w:vAlign w:val="bottom"/>
            <w:gridSpan w:val="2"/>
          </w:tcPr>
          <w:p>
            <w:pPr>
              <w:jc w:val="center"/>
              <w:ind w:right="820"/>
              <w:spacing w:after="0"/>
              <w:rPr>
                <w:sz w:val="20"/>
                <w:szCs w:val="20"/>
                <w:color w:val="auto"/>
              </w:rPr>
            </w:pPr>
            <w:r>
              <w:rPr>
                <w:rFonts w:ascii="Arial" w:cs="Arial" w:eastAsia="Arial" w:hAnsi="Arial"/>
                <w:sz w:val="13"/>
                <w:szCs w:val="13"/>
                <w:color w:val="auto"/>
                <w:w w:val="96"/>
              </w:rPr>
              <w:t>Chief Financial Officer</w:t>
            </w:r>
          </w:p>
        </w:tc>
      </w:tr>
      <w:tr>
        <w:trPr>
          <w:trHeight w:val="172"/>
        </w:trPr>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060" w:type="dxa"/>
            <w:vAlign w:val="bottom"/>
            <w:gridSpan w:val="2"/>
          </w:tcPr>
          <w:p>
            <w:pPr>
              <w:jc w:val="center"/>
              <w:ind w:right="820"/>
              <w:spacing w:after="0"/>
              <w:rPr>
                <w:sz w:val="20"/>
                <w:szCs w:val="20"/>
                <w:color w:val="auto"/>
              </w:rPr>
            </w:pPr>
            <w:r>
              <w:rPr>
                <w:rFonts w:ascii="Arial" w:cs="Arial" w:eastAsia="Arial" w:hAnsi="Arial"/>
                <w:sz w:val="13"/>
                <w:szCs w:val="13"/>
                <w:color w:val="auto"/>
                <w:w w:val="97"/>
              </w:rPr>
              <w:t>(Principal Financial Officer)</w:t>
            </w:r>
          </w:p>
        </w:tc>
      </w:tr>
    </w:tbl>
    <w:p>
      <w:pPr>
        <w:spacing w:after="0" w:line="221"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80"/>
      </w:cols>
      <w:pgMar w:left="300" w:top="70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1)"/>
      <w:numFmt w:val="lowerRoman"/>
      <w:start w:val="2"/>
    </w:lvl>
  </w:abstractNum>
  <w:abstractNum w:abstractNumId="5">
    <w:nsid w:val="2A487CB0"/>
    <w:multiLevelType w:val="hybridMultilevel"/>
    <w:lvl w:ilvl="0">
      <w:lvlJc w:val="left"/>
      <w:lvlText w:val="%1."/>
      <w:numFmt w:val="decimal"/>
      <w:start w:val="5"/>
    </w:lvl>
  </w:abstractNum>
  <w:abstractNum w:abstractNumId="6">
    <w:nsid w:val="1D4ED43B"/>
    <w:multiLevelType w:val="hybridMultilevel"/>
    <w:lvl w:ilvl="0">
      <w:lvlJc w:val="left"/>
      <w:lvlText w:val="%1."/>
      <w:numFmt w:val="decimal"/>
      <w:start w:val="6"/>
    </w:lvl>
  </w:abstractNum>
  <w:abstractNum w:abstractNumId="7">
    <w:nsid w:val="725A06FB"/>
    <w:multiLevelType w:val="hybridMultilevel"/>
    <w:lvl w:ilvl="0">
      <w:lvlJc w:val="left"/>
      <w:lvlText w:val="%1."/>
      <w:numFmt w:val="decimal"/>
      <w:start w:val="7"/>
    </w:lvl>
  </w:abstractNum>
  <w:abstractNum w:abstractNumId="8">
    <w:nsid w:val="2CD89A32"/>
    <w:multiLevelType w:val="hybridMultilevel"/>
    <w:lvl w:ilvl="0">
      <w:lvlJc w:val="left"/>
      <w:lvlText w:val="%1."/>
      <w:numFmt w:val="decimal"/>
      <w:start w:val="8"/>
    </w:lvl>
  </w:abstractNum>
  <w:abstractNum w:abstractNumId="9">
    <w:nsid w:val="57E4CCAF"/>
    <w:multiLevelType w:val="hybridMultilevel"/>
    <w:lvl w:ilvl="0">
      <w:lvlJc w:val="left"/>
      <w:lvlText w:val="(%1)"/>
      <w:numFmt w:val="decimal"/>
      <w:start w:val="1"/>
    </w:lvl>
  </w:abstractNum>
  <w:abstractNum w:abstractNumId="10">
    <w:nsid w:val="7A6D8D3C"/>
    <w:multiLevelType w:val="hybridMultilevel"/>
    <w:lvl w:ilvl="0">
      <w:lvlJc w:val="left"/>
      <w:lvlText w:val="(%1)"/>
      <w:numFmt w:val="upperLetter"/>
      <w:start w:val="2"/>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lvl w:ilvl="1">
      <w:lvlJc w:val="left"/>
      <w:lvlText w:val="%2"/>
      <w:numFmt w:val="decimal"/>
      <w:start w:val="104"/>
    </w:lvl>
  </w:abstractNum>
  <w:abstractNum w:abstractNumId="37">
    <w:nsid w:val="354FE9F9"/>
    <w:multiLevelType w:val="hybridMultilevel"/>
    <w:lvl w:ilvl="0">
      <w:lvlJc w:val="left"/>
      <w:lvlText w:val="**"/>
      <w:numFmt w:val="bullet"/>
      <w:start w:val="1"/>
    </w:lvl>
    <w:lvl w:ilvl="1">
      <w:lvlJc w:val="left"/>
      <w:lvlText w:val="%2"/>
      <w:numFmt w:val="decimal"/>
      <w:start w:val="1"/>
    </w:lvl>
  </w:abstractNum>
  <w:abstractNum w:abstractNumId="38">
    <w:nsid w:val="15B5AF5C"/>
    <w:multiLevelType w:val="hybridMultilevel"/>
    <w:lvl w:ilvl="0">
      <w:lvlJc w:val="left"/>
      <w:lvlText w:val="%1."/>
      <w:numFmt w:val="decimal"/>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1."/>
      <w:numFmt w:val="decimal"/>
      <w:start w:val="2"/>
    </w:lvl>
  </w:abstractNum>
  <w:abstractNum w:abstractNumId="42">
    <w:nsid w:val="3F6AB60F"/>
    <w:multiLevelType w:val="hybridMultilevel"/>
    <w:lvl w:ilvl="0">
      <w:lvlJc w:val="left"/>
      <w:lvlText w:val="%1."/>
      <w:numFmt w:val="decimal"/>
      <w:start w:val="3"/>
    </w:lvl>
  </w:abstractNum>
  <w:abstractNum w:abstractNumId="43">
    <w:nsid w:val="61574095"/>
    <w:multiLevelType w:val="hybridMultilevel"/>
    <w:lvl w:ilvl="0">
      <w:lvlJc w:val="left"/>
      <w:lvlText w:val="%1."/>
      <w:numFmt w:val="decimal"/>
      <w:start w:val="4"/>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1."/>
      <w:numFmt w:val="lowerLetter"/>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1)"/>
      <w:numFmt w:val="lowerLetter"/>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1."/>
      <w:numFmt w:val="decimal"/>
      <w:start w:val="5"/>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1."/>
      <w:numFmt w:val="decimal"/>
      <w:start w:val="6"/>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1."/>
      <w:numFmt w:val="decimal"/>
      <w:start w:val="7"/>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1."/>
      <w:numFmt w:val="decimal"/>
      <w:start w:val="8"/>
    </w:lvl>
  </w:abstractNum>
  <w:abstractNum w:abstractNumId="57">
    <w:nsid w:val="6590700B"/>
    <w:multiLevelType w:val="hybridMultilevel"/>
    <w:lvl w:ilvl="0">
      <w:lvlJc w:val="left"/>
      <w:lvlText w:val="%1."/>
      <w:numFmt w:val="decimal"/>
      <w:start w:val="9"/>
    </w:lvl>
  </w:abstractNum>
  <w:abstractNum w:abstractNumId="58">
    <w:nsid w:val="15014ACB"/>
    <w:multiLevelType w:val="hybridMultilevel"/>
    <w:lvl w:ilvl="0">
      <w:lvlJc w:val="left"/>
      <w:lvlText w:val="%1."/>
      <w:numFmt w:val="lowerLetter"/>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1."/>
      <w:numFmt w:val="decimal"/>
      <w:start w:val="10"/>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1."/>
      <w:numFmt w:val="decimal"/>
      <w:start w:val="11"/>
    </w:lvl>
  </w:abstractNum>
  <w:abstractNum w:abstractNumId="63">
    <w:nsid w:val="42C296BD"/>
    <w:multiLevelType w:val="hybridMultilevel"/>
    <w:lvl w:ilvl="0">
      <w:lvlJc w:val="left"/>
      <w:lvlText w:val="[*]"/>
      <w:numFmt w:val="bullet"/>
      <w:start w:val="1"/>
    </w:lvl>
  </w:abstractNum>
  <w:abstractNum w:abstractNumId="64">
    <w:nsid w:val="168E121F"/>
    <w:multiLevelType w:val="hybridMultilevel"/>
    <w:lvl w:ilvl="0">
      <w:lvlJc w:val="left"/>
      <w:lvlText w:val="%1."/>
      <w:numFmt w:val="decimal"/>
      <w:start w:val="12"/>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
      <w:numFmt w:val="bullet"/>
      <w:start w:val="1"/>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
      <w:numFmt w:val="bullet"/>
      <w:start w:val="1"/>
    </w:lvl>
  </w:abstractNum>
  <w:abstractNum w:abstractNumId="73">
    <w:nsid w:val="11447B73"/>
    <w:multiLevelType w:val="hybridMultilevel"/>
    <w:lvl w:ilvl="0">
      <w:lvlJc w:val="left"/>
      <w:lvlText w:val="[*]"/>
      <w:numFmt w:val="bullet"/>
      <w:start w:val="1"/>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
      <w:numFmt w:val="bullet"/>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lvl w:ilvl="1">
      <w:lvlJc w:val="left"/>
      <w:lvlText w:val="%2)"/>
      <w:numFmt w:val="lowerLetter"/>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83" Type="http://schemas.openxmlformats.org/officeDocument/2006/relationships/hyperlink" Target="http://www.sec.gov/Archives/edgar/data/1459839/000119312518303020/d641574dex31.htm" TargetMode="External"/><Relationship Id="rId84" Type="http://schemas.openxmlformats.org/officeDocument/2006/relationships/hyperlink" Target="http://www.sec.gov/Archives/edgar/data/1459839/000119312518293978/d452987dex34.htm" TargetMode="External"/><Relationship Id="rId85" Type="http://schemas.openxmlformats.org/officeDocument/2006/relationships/hyperlink" Target="http://www.sec.gov/Archives/edgar/data/1459839/000119312518293978/d452987dex41.htm" TargetMode="External"/><Relationship Id="rId86" Type="http://schemas.openxmlformats.org/officeDocument/2006/relationships/hyperlink" Target="https://www.sec.gov/Archives/edgar/data/1459839/000145983921000035/maheshwarianshulcfo4122021.htm" TargetMode="External"/><Relationship Id="rId87" Type="http://schemas.openxmlformats.org/officeDocument/2006/relationships/hyperlink" Target="https://www.sec.gov/Archives/edgar/data/1459839/000145983921000045/lohhelen-sibnboardofferlet.htm" TargetMode="External"/><Relationship Id="rId88" Type="http://schemas.openxmlformats.org/officeDocument/2006/relationships/hyperlink" Target="https://www.sec.gov/Archives/edgar/data/1459839/000145983921000035/amendedandrestatedpartici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2021-08-04T16:37:25Z</dcterms:created>
  <dcterms:modified xsi:type="dcterms:W3CDTF">2021-08-04T16:37:25Z</dcterms:modified>
</cp:coreProperties>
</file>