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February 25, 2025</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1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9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SI-BONE,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0880"/>
          </w:cols>
          <w:pgMar w:left="500" w:top="871" w:right="519" w:bottom="1440" w:gutter="0" w:footer="0" w:header="0"/>
        </w:sectPr>
      </w:pPr>
    </w:p>
    <w:p>
      <w:pPr>
        <w:spacing w:after="0" w:line="26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26-2216351</w:t>
      </w:r>
    </w:p>
    <w:p>
      <w:pPr>
        <w:spacing w:after="0" w:line="28" w:lineRule="exact"/>
        <w:rPr>
          <w:sz w:val="24"/>
          <w:szCs w:val="24"/>
          <w:color w:val="auto"/>
        </w:rPr>
      </w:pPr>
    </w:p>
    <w:p>
      <w:pPr>
        <w:sectPr>
          <w:pgSz w:w="11900" w:h="16838" w:orient="portrait"/>
          <w:cols w:equalWidth="0" w:num="2">
            <w:col w:w="7140" w:space="720"/>
            <w:col w:w="3020"/>
          </w:cols>
          <w:pgMar w:left="500" w:top="871" w:right="51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500" w:space="720"/>
            <w:col w:w="3660"/>
          </w:cols>
          <w:pgMar w:left="500" w:top="871" w:right="519" w:bottom="1440" w:gutter="0" w:footer="0" w:header="0"/>
          <w:type w:val="continuous"/>
        </w:sectPr>
      </w:pP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SI-BONE, Inc. 2018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SI-BONE, Inc. 2018 Employee Stock Purchase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(Full titles of the plans)</w:t>
      </w:r>
    </w:p>
    <w:p>
      <w:pPr>
        <w:spacing w:after="0" w:line="1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Anshul Maheshwari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471 El Camino Real, Suite 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and address of agent for service) (Telephone number, including area code, of agent for service)</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 Hemington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3175 Hanover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843-5000</w:t>
      </w:r>
    </w:p>
    <w:p>
      <w:pPr>
        <w:spacing w:after="0" w:line="229" w:lineRule="exact"/>
        <w:rPr>
          <w:sz w:val="24"/>
          <w:szCs w:val="24"/>
          <w:color w:val="auto"/>
        </w:rPr>
      </w:pPr>
    </w:p>
    <w:p>
      <w:pPr>
        <w:jc w:val="cente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1120" w:type="dxa"/>
        <w:tblCellMar>
          <w:top w:w="0" w:type="dxa"/>
          <w:left w:w="0" w:type="dxa"/>
          <w:bottom w:w="0" w:type="dxa"/>
          <w:right w:w="0" w:type="dxa"/>
        </w:tblCellMar>
      </w:tblPr>
      <w:tr>
        <w:trPr>
          <w:trHeight w:val="188"/>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20" w:type="dxa"/>
            <w:vAlign w:val="bottom"/>
          </w:tcPr>
          <w:p>
            <w:pPr>
              <w:ind w:left="1340"/>
              <w:spacing w:after="0"/>
              <w:rPr>
                <w:sz w:val="20"/>
                <w:szCs w:val="20"/>
                <w:color w:val="auto"/>
              </w:rPr>
            </w:pPr>
            <w:r>
              <w:rPr>
                <w:rFonts w:ascii="Wingdings" w:cs="Wingdings" w:eastAsia="Wingdings" w:hAnsi="Wingdings"/>
                <w:sz w:val="14"/>
                <w:szCs w:val="14"/>
                <w:b w:val="1"/>
                <w:bCs w:val="1"/>
                <w:color w:val="auto"/>
              </w:rPr>
              <w:t>o</w:t>
            </w:r>
          </w:p>
        </w:tc>
        <w:tc>
          <w:tcPr>
            <w:tcW w:w="2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60"/>
              <w:spacing w:after="0"/>
              <w:rPr>
                <w:sz w:val="20"/>
                <w:szCs w:val="20"/>
                <w:color w:val="auto"/>
              </w:rPr>
            </w:pPr>
            <w:r>
              <w:rPr>
                <w:rFonts w:ascii="Wingdings" w:cs="Wingdings" w:eastAsia="Wingdings" w:hAnsi="Wingdings"/>
                <w:sz w:val="14"/>
                <w:szCs w:val="14"/>
                <w:b w:val="1"/>
                <w:bCs w:val="1"/>
                <w:color w:val="auto"/>
                <w:w w:val="94"/>
              </w:rPr>
              <w:t>x</w:t>
            </w: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20" w:type="dxa"/>
            <w:vAlign w:val="bottom"/>
          </w:tcPr>
          <w:p>
            <w:pPr>
              <w:ind w:left="1340"/>
              <w:spacing w:after="0"/>
              <w:rPr>
                <w:sz w:val="20"/>
                <w:szCs w:val="20"/>
                <w:color w:val="auto"/>
              </w:rPr>
            </w:pPr>
            <w:r>
              <w:rPr>
                <w:rFonts w:ascii="Wingdings" w:cs="Wingdings" w:eastAsia="Wingdings" w:hAnsi="Wingdings"/>
                <w:sz w:val="14"/>
                <w:szCs w:val="14"/>
                <w:b w:val="1"/>
                <w:bCs w:val="1"/>
                <w:color w:val="auto"/>
              </w:rPr>
              <w:t>o</w:t>
            </w:r>
          </w:p>
        </w:tc>
        <w:tc>
          <w:tcPr>
            <w:tcW w:w="2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60"/>
              <w:spacing w:after="0"/>
              <w:rPr>
                <w:sz w:val="20"/>
                <w:szCs w:val="20"/>
                <w:color w:val="auto"/>
              </w:rPr>
            </w:pPr>
            <w:r>
              <w:rPr>
                <w:rFonts w:ascii="Wingdings" w:cs="Wingdings" w:eastAsia="Wingdings" w:hAnsi="Wingdings"/>
                <w:sz w:val="14"/>
                <w:szCs w:val="14"/>
                <w:b w:val="1"/>
                <w:bCs w:val="1"/>
                <w:color w:val="auto"/>
              </w:rPr>
              <w:t>o</w:t>
            </w:r>
          </w:p>
        </w:tc>
      </w:tr>
      <w:tr>
        <w:trPr>
          <w:trHeight w:val="203"/>
        </w:trPr>
        <w:tc>
          <w:tcPr>
            <w:tcW w:w="2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60"/>
              <w:spacing w:after="0"/>
              <w:rPr>
                <w:sz w:val="20"/>
                <w:szCs w:val="20"/>
                <w:color w:val="auto"/>
              </w:rPr>
            </w:pPr>
            <w:r>
              <w:rPr>
                <w:rFonts w:ascii="Wingdings" w:cs="Wingdings" w:eastAsia="Wingdings" w:hAnsi="Wingdings"/>
                <w:sz w:val="14"/>
                <w:szCs w:val="14"/>
                <w:b w:val="1"/>
                <w:bCs w:val="1"/>
                <w:color w:val="auto"/>
              </w:rPr>
              <w:t>o</w:t>
            </w:r>
          </w:p>
        </w:tc>
      </w:tr>
    </w:tbl>
    <w:p>
      <w:pPr>
        <w:spacing w:after="0" w:line="338" w:lineRule="exact"/>
        <w:rPr>
          <w:sz w:val="24"/>
          <w:szCs w:val="24"/>
          <w:color w:val="auto"/>
        </w:rPr>
      </w:pPr>
    </w:p>
    <w:p>
      <w:pPr>
        <w:jc w:val="center"/>
        <w:ind w:left="520" w:right="1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0880"/>
          </w:cols>
          <w:pgMar w:left="500" w:top="871" w:right="5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Pursuant to General Instruction E of Form S-8, SI-BONE,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 filing this Registration Statement for the purpose of registering</w:t>
      </w:r>
    </w:p>
    <w:p>
      <w:pPr>
        <w:jc w:val="both"/>
        <w:ind w:firstLine="8"/>
        <w:spacing w:after="0" w:line="234" w:lineRule="auto"/>
        <w:tabs>
          <w:tab w:leader="none" w:pos="2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2,104,324 shares of its common stock, issuable to eligible persons under its 2018 Equity Incentive Plan (the “2018 Plan”), which common stock is in addition to the shares of common stock previously registered on the Registrant’s Form S-8 registration statements filed on October 19, 2018 (File No. 333-227907), March 22, 2019 (File No. 333-230473), March 11, 2020 (File No. 333-237091), March 10, 2021 (File No. 333-254086), March 1, 2022 (File No. 333-263189), March 2, 2023 (File No. 333-270230), and February 27, 2024 (File No. 333-277402) (the “</w:t>
      </w:r>
      <w:r>
        <w:rPr>
          <w:rFonts w:ascii="Times New Roman" w:cs="Times New Roman" w:eastAsia="Times New Roman" w:hAnsi="Times New Roman"/>
          <w:sz w:val="18"/>
          <w:szCs w:val="18"/>
          <w:b w:val="1"/>
          <w:bCs w:val="1"/>
          <w:i w:val="1"/>
          <w:iCs w:val="1"/>
          <w:color w:val="auto"/>
        </w:rPr>
        <w:t>Prior Forms S-8</w:t>
      </w:r>
      <w:r>
        <w:rPr>
          <w:rFonts w:ascii="Times New Roman" w:cs="Times New Roman" w:eastAsia="Times New Roman" w:hAnsi="Times New Roman"/>
          <w:sz w:val="18"/>
          <w:szCs w:val="18"/>
          <w:color w:val="auto"/>
        </w:rPr>
        <w:t>”) and (b) an additional 420,865 shares of its common stock, issuable to eligible persons under its 2018 Employee Stock Purchase Plan (the “2018 ESPP”), which common stock is in addition to the shares of common stock previously registered on the Prior Forms S-8. The contents of the Prior Forms S-8 are incorporated by reference in this Registration Statement.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CERTAIN DOCUMENTS BY REFERENCE</w:t>
      </w:r>
    </w:p>
    <w:p>
      <w:pPr>
        <w:spacing w:after="0" w:line="212" w:lineRule="exact"/>
        <w:rPr>
          <w:sz w:val="20"/>
          <w:szCs w:val="20"/>
          <w:color w:val="auto"/>
        </w:rPr>
      </w:pPr>
    </w:p>
    <w:p>
      <w:pPr>
        <w:ind w:firstLine="648"/>
        <w:spacing w:after="0" w:line="318" w:lineRule="auto"/>
        <w:rPr>
          <w:sz w:val="20"/>
          <w:szCs w:val="20"/>
          <w:color w:val="auto"/>
        </w:rPr>
      </w:pPr>
      <w:r>
        <w:rPr>
          <w:rFonts w:ascii="Times New Roman" w:cs="Times New Roman" w:eastAsia="Times New Roman" w:hAnsi="Times New Roman"/>
          <w:sz w:val="18"/>
          <w:szCs w:val="18"/>
          <w:color w:val="auto"/>
        </w:rPr>
        <w:t>The following documents filed by the Registrant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are incorporated by reference into this Registration Statement:</w:t>
      </w:r>
    </w:p>
    <w:p>
      <w:pPr>
        <w:spacing w:after="0" w:line="117" w:lineRule="exact"/>
        <w:rPr>
          <w:sz w:val="20"/>
          <w:szCs w:val="20"/>
          <w:color w:val="auto"/>
        </w:rPr>
      </w:pPr>
    </w:p>
    <w:p>
      <w:pPr>
        <w:jc w:val="both"/>
        <w:ind w:left="40" w:firstLine="656"/>
        <w:spacing w:after="0" w:line="297" w:lineRule="auto"/>
        <w:tabs>
          <w:tab w:leader="none" w:pos="1094" w:val="left"/>
        </w:tabs>
        <w:numPr>
          <w:ilvl w:val="0"/>
          <w:numId w:val="2"/>
        </w:numPr>
        <w:rPr>
          <w:rFonts w:ascii="Times New Roman" w:cs="Times New Roman" w:eastAsia="Times New Roman" w:hAnsi="Times New Roman"/>
          <w:sz w:val="18"/>
          <w:szCs w:val="18"/>
          <w:color w:val="0000FF"/>
        </w:rPr>
      </w:pPr>
      <w:hyperlink r:id="rId8">
        <w:r>
          <w:rPr>
            <w:rFonts w:ascii="Times New Roman" w:cs="Times New Roman" w:eastAsia="Times New Roman" w:hAnsi="Times New Roman"/>
            <w:sz w:val="18"/>
            <w:szCs w:val="18"/>
            <w:color w:val="auto"/>
          </w:rPr>
          <w:t xml:space="preserve">The contents of the earlier registration statements on Form S-8 relating to the 2018 Plan and 2018 ESPP, filed with the SEC on </w:t>
        </w:r>
        <w:r>
          <w:rPr>
            <w:rFonts w:ascii="Times New Roman" w:cs="Times New Roman" w:eastAsia="Times New Roman" w:hAnsi="Times New Roman"/>
            <w:sz w:val="18"/>
            <w:szCs w:val="18"/>
            <w:u w:val="single" w:color="auto"/>
            <w:color w:val="0000FF"/>
          </w:rPr>
          <w:t>October 19,</w:t>
        </w:r>
      </w:hyperlink>
      <w:r>
        <w:rPr>
          <w:rFonts w:ascii="Times New Roman" w:cs="Times New Roman" w:eastAsia="Times New Roman" w:hAnsi="Times New Roman"/>
          <w:sz w:val="18"/>
          <w:szCs w:val="18"/>
          <w:color w:val="auto"/>
        </w:rPr>
        <w:t xml:space="preserve"> </w:t>
      </w:r>
      <w:hyperlink r:id="rId8">
        <w:r>
          <w:rPr>
            <w:rFonts w:ascii="Times New Roman" w:cs="Times New Roman" w:eastAsia="Times New Roman" w:hAnsi="Times New Roman"/>
            <w:sz w:val="18"/>
            <w:szCs w:val="18"/>
            <w:u w:val="single" w:color="auto"/>
            <w:color w:val="0000FF"/>
          </w:rPr>
          <w:t>2018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333-227907),</w:t>
        </w:r>
        <w:r>
          <w:rPr>
            <w:rFonts w:ascii="Times New Roman" w:cs="Times New Roman" w:eastAsia="Times New Roman" w:hAnsi="Times New Roman"/>
            <w:sz w:val="18"/>
            <w:szCs w:val="18"/>
            <w:color w:val="0000FF"/>
          </w:rPr>
          <w:t xml:space="preserve"> </w:t>
        </w:r>
      </w:hyperlink>
      <w:hyperlink r:id="rId9">
        <w:r>
          <w:rPr>
            <w:rFonts w:ascii="Times New Roman" w:cs="Times New Roman" w:eastAsia="Times New Roman" w:hAnsi="Times New Roman"/>
            <w:sz w:val="18"/>
            <w:szCs w:val="18"/>
            <w:u w:val="single" w:color="auto"/>
            <w:color w:val="0000FF"/>
          </w:rPr>
          <w:t xml:space="preserve">March 22, 2019 </w:t>
        </w:r>
      </w:hyperlink>
      <w:hyperlink r:id="rId8">
        <w:r>
          <w:rPr>
            <w:rFonts w:ascii="Times New Roman" w:cs="Times New Roman" w:eastAsia="Times New Roman" w:hAnsi="Times New Roman"/>
            <w:sz w:val="18"/>
            <w:szCs w:val="18"/>
            <w:color w:val="000000"/>
          </w:rPr>
          <w:t>(File No. 333-230473),</w:t>
        </w:r>
        <w:r>
          <w:rPr>
            <w:rFonts w:ascii="Times New Roman" w:cs="Times New Roman" w:eastAsia="Times New Roman" w:hAnsi="Times New Roman"/>
            <w:sz w:val="18"/>
            <w:szCs w:val="18"/>
            <w:color w:val="0000FF"/>
          </w:rPr>
          <w:t xml:space="preserve"> </w:t>
        </w:r>
      </w:hyperlink>
      <w:hyperlink r:id="rId10">
        <w:r>
          <w:rPr>
            <w:rFonts w:ascii="Times New Roman" w:cs="Times New Roman" w:eastAsia="Times New Roman" w:hAnsi="Times New Roman"/>
            <w:sz w:val="18"/>
            <w:szCs w:val="18"/>
            <w:u w:val="single" w:color="auto"/>
            <w:color w:val="0000FF"/>
          </w:rPr>
          <w:t xml:space="preserve">March 11, 2020 </w:t>
        </w:r>
      </w:hyperlink>
      <w:hyperlink r:id="rId8">
        <w:r>
          <w:rPr>
            <w:rFonts w:ascii="Times New Roman" w:cs="Times New Roman" w:eastAsia="Times New Roman" w:hAnsi="Times New Roman"/>
            <w:sz w:val="18"/>
            <w:szCs w:val="18"/>
            <w:color w:val="000000"/>
          </w:rPr>
          <w:t>(File No. 333-237091),</w:t>
        </w:r>
        <w:r>
          <w:rPr>
            <w:rFonts w:ascii="Times New Roman" w:cs="Times New Roman" w:eastAsia="Times New Roman" w:hAnsi="Times New Roman"/>
            <w:sz w:val="18"/>
            <w:szCs w:val="18"/>
            <w:color w:val="0000FF"/>
          </w:rPr>
          <w:t xml:space="preserve"> </w:t>
        </w:r>
      </w:hyperlink>
      <w:hyperlink r:id="rId11">
        <w:r>
          <w:rPr>
            <w:rFonts w:ascii="Times New Roman" w:cs="Times New Roman" w:eastAsia="Times New Roman" w:hAnsi="Times New Roman"/>
            <w:sz w:val="18"/>
            <w:szCs w:val="18"/>
            <w:u w:val="single" w:color="auto"/>
            <w:color w:val="0000FF"/>
          </w:rPr>
          <w:t xml:space="preserve">March 10, 2021 </w:t>
        </w:r>
      </w:hyperlink>
      <w:hyperlink r:id="rId8">
        <w:r>
          <w:rPr>
            <w:rFonts w:ascii="Times New Roman" w:cs="Times New Roman" w:eastAsia="Times New Roman" w:hAnsi="Times New Roman"/>
            <w:sz w:val="18"/>
            <w:szCs w:val="18"/>
            <w:color w:val="000000"/>
          </w:rPr>
          <w:t>(File No. 333-254086),</w:t>
        </w:r>
      </w:hyperlink>
      <w:r>
        <w:rPr>
          <w:rFonts w:ascii="Times New Roman" w:cs="Times New Roman" w:eastAsia="Times New Roman" w:hAnsi="Times New Roman"/>
          <w:sz w:val="18"/>
          <w:szCs w:val="18"/>
          <w:color w:val="0000FF"/>
        </w:rPr>
        <w:t xml:space="preserve"> </w:t>
      </w:r>
      <w:hyperlink r:id="rId12">
        <w:r>
          <w:rPr>
            <w:rFonts w:ascii="Times New Roman" w:cs="Times New Roman" w:eastAsia="Times New Roman" w:hAnsi="Times New Roman"/>
            <w:sz w:val="18"/>
            <w:szCs w:val="18"/>
            <w:u w:val="single" w:color="auto"/>
            <w:color w:val="0000FF"/>
          </w:rPr>
          <w:t>March 1, 2022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 333-263189),</w:t>
      </w:r>
      <w:r>
        <w:rPr>
          <w:rFonts w:ascii="Times New Roman" w:cs="Times New Roman" w:eastAsia="Times New Roman" w:hAnsi="Times New Roman"/>
          <w:sz w:val="18"/>
          <w:szCs w:val="18"/>
          <w:color w:val="0000FF"/>
        </w:rPr>
        <w:t xml:space="preserve"> </w:t>
      </w:r>
      <w:hyperlink r:id="rId13">
        <w:r>
          <w:rPr>
            <w:rFonts w:ascii="Times New Roman" w:cs="Times New Roman" w:eastAsia="Times New Roman" w:hAnsi="Times New Roman"/>
            <w:sz w:val="18"/>
            <w:szCs w:val="18"/>
            <w:u w:val="single" w:color="auto"/>
            <w:color w:val="0000FF"/>
          </w:rPr>
          <w:t xml:space="preserve">March 2, 2023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 333-270230), and</w:t>
      </w:r>
      <w:r>
        <w:rPr>
          <w:rFonts w:ascii="Times New Roman" w:cs="Times New Roman" w:eastAsia="Times New Roman" w:hAnsi="Times New Roman"/>
          <w:sz w:val="18"/>
          <w:szCs w:val="18"/>
          <w:color w:val="0000FF"/>
        </w:rPr>
        <w:t xml:space="preserve"> </w:t>
      </w:r>
      <w:hyperlink r:id="rId14">
        <w:r>
          <w:rPr>
            <w:rFonts w:ascii="Times New Roman" w:cs="Times New Roman" w:eastAsia="Times New Roman" w:hAnsi="Times New Roman"/>
            <w:sz w:val="18"/>
            <w:szCs w:val="18"/>
            <w:u w:val="single" w:color="auto"/>
            <w:color w:val="0000FF"/>
          </w:rPr>
          <w:t xml:space="preserve">February 27, 2024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 333-277402).</w:t>
      </w:r>
    </w:p>
    <w:p>
      <w:pPr>
        <w:spacing w:after="0" w:line="203" w:lineRule="exact"/>
        <w:rPr>
          <w:rFonts w:ascii="Times New Roman" w:cs="Times New Roman" w:eastAsia="Times New Roman" w:hAnsi="Times New Roman"/>
          <w:sz w:val="18"/>
          <w:szCs w:val="18"/>
          <w:color w:val="0000FF"/>
        </w:rPr>
      </w:pPr>
    </w:p>
    <w:p>
      <w:pPr>
        <w:ind w:left="1100" w:hanging="404"/>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2024, filed with the SEC on </w:t>
      </w:r>
      <w:hyperlink r:id="rId15">
        <w:r>
          <w:rPr>
            <w:rFonts w:ascii="Times New Roman" w:cs="Times New Roman" w:eastAsia="Times New Roman" w:hAnsi="Times New Roman"/>
            <w:sz w:val="18"/>
            <w:szCs w:val="18"/>
            <w:u w:val="single" w:color="auto"/>
            <w:color w:val="0000FF"/>
          </w:rPr>
          <w:t>February 25, 2025</w:t>
        </w:r>
      </w:hyperlink>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jc w:val="both"/>
        <w:ind w:left="40" w:firstLine="656"/>
        <w:spacing w:after="0" w:line="292" w:lineRule="auto"/>
        <w:tabs>
          <w:tab w:leader="none" w:pos="11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a registration statement on </w:t>
      </w:r>
      <w:hyperlink r:id="rId16">
        <w:r>
          <w:rPr>
            <w:rFonts w:ascii="Times New Roman" w:cs="Times New Roman" w:eastAsia="Times New Roman" w:hAnsi="Times New Roman"/>
            <w:sz w:val="18"/>
            <w:szCs w:val="18"/>
            <w:u w:val="single" w:color="auto"/>
            <w:color w:val="0000FF"/>
          </w:rPr>
          <w:t>Form 8-A filed on October 11, 2018</w:t>
        </w:r>
      </w:hyperlink>
      <w:r>
        <w:rPr>
          <w:rFonts w:ascii="Times New Roman" w:cs="Times New Roman" w:eastAsia="Times New Roman" w:hAnsi="Times New Roman"/>
          <w:sz w:val="18"/>
          <w:szCs w:val="18"/>
          <w:color w:val="auto"/>
        </w:rPr>
        <w:t xml:space="preserve"> (File No. 001-38701) under the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including any amendment or report filed for the purpose of updating such description, including the Description of SI-BONE, Inc. Common stock filed as Exhibit 4.3 to the Registrant's Form 10-K filed with the SEC on May 5, 2020.</w:t>
      </w:r>
    </w:p>
    <w:p>
      <w:pPr>
        <w:spacing w:after="0" w:line="207" w:lineRule="exact"/>
        <w:rPr>
          <w:rFonts w:ascii="Times New Roman" w:cs="Times New Roman" w:eastAsia="Times New Roman" w:hAnsi="Times New Roman"/>
          <w:sz w:val="18"/>
          <w:szCs w:val="18"/>
          <w:color w:val="auto"/>
        </w:rPr>
      </w:pPr>
    </w:p>
    <w:p>
      <w:pPr>
        <w:jc w:val="both"/>
        <w:ind w:left="40" w:firstLine="656"/>
        <w:spacing w:after="0" w:line="286" w:lineRule="auto"/>
        <w:tabs>
          <w:tab w:leader="none" w:pos="112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765" w:right="339" w:bottom="1440" w:gutter="0" w:footer="0" w:header="0"/>
        </w:sectPr>
      </w:pPr>
    </w:p>
    <w:bookmarkStart w:id="2" w:name="page3"/>
    <w:bookmarkEnd w:id="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Schedule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9"/>
        </w:trPr>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2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Filed On</w:t>
            </w: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2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84"/>
        </w:trPr>
        <w:tc>
          <w:tcPr>
            <w:tcW w:w="92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gridSpan w:val="26"/>
          </w:tcPr>
          <w:p>
            <w:pPr>
              <w:spacing w:after="0" w:line="184"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Amended and Restated Certificate of</w:t>
              </w:r>
            </w:hyperlink>
          </w:p>
        </w:tc>
        <w:tc>
          <w:tcPr>
            <w:tcW w:w="140" w:type="dxa"/>
            <w:vAlign w:val="bottom"/>
          </w:tcPr>
          <w:p>
            <w:pPr>
              <w:spacing w:after="0"/>
              <w:rPr>
                <w:sz w:val="16"/>
                <w:szCs w:val="16"/>
                <w:color w:val="auto"/>
              </w:rPr>
            </w:pPr>
          </w:p>
        </w:tc>
        <w:tc>
          <w:tcPr>
            <w:tcW w:w="9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4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001-38701</w:t>
            </w:r>
          </w:p>
        </w:tc>
        <w:tc>
          <w:tcPr>
            <w:tcW w:w="160" w:type="dxa"/>
            <w:vAlign w:val="bottom"/>
          </w:tcPr>
          <w:p>
            <w:pPr>
              <w:spacing w:after="0"/>
              <w:rPr>
                <w:sz w:val="16"/>
                <w:szCs w:val="16"/>
                <w:color w:val="auto"/>
              </w:rPr>
            </w:pPr>
          </w:p>
        </w:tc>
        <w:tc>
          <w:tcPr>
            <w:tcW w:w="7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1"/>
              <w:spacing w:after="0" w:line="184" w:lineRule="exact"/>
              <w:rPr>
                <w:sz w:val="20"/>
                <w:szCs w:val="20"/>
                <w:color w:val="auto"/>
              </w:rPr>
            </w:pPr>
            <w:r>
              <w:rPr>
                <w:rFonts w:ascii="Times New Roman" w:cs="Times New Roman" w:eastAsia="Times New Roman" w:hAnsi="Times New Roman"/>
                <w:sz w:val="18"/>
                <w:szCs w:val="18"/>
                <w:color w:val="auto"/>
              </w:rPr>
              <w:t>October 19, 2018</w:t>
            </w: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7">
              <w:r>
                <w:rPr>
                  <w:rFonts w:ascii="Times New Roman" w:cs="Times New Roman" w:eastAsia="Times New Roman" w:hAnsi="Times New Roman"/>
                  <w:sz w:val="18"/>
                  <w:szCs w:val="18"/>
                  <w:color w:val="0000FF"/>
                  <w:w w:val="97"/>
                </w:rPr>
                <w:t>Incorporation</w:t>
              </w:r>
            </w:hyperlink>
          </w:p>
        </w:tc>
        <w:tc>
          <w:tcPr>
            <w:tcW w:w="17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7"/>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Amendment to Amended and Restated</w:t>
              </w:r>
            </w:hyperlink>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26, 2024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8">
              <w:r>
                <w:rPr>
                  <w:rFonts w:ascii="Times New Roman" w:cs="Times New Roman" w:eastAsia="Times New Roman" w:hAnsi="Times New Roman"/>
                  <w:sz w:val="18"/>
                  <w:szCs w:val="18"/>
                  <w:color w:val="0000FF"/>
                  <w:w w:val="98"/>
                </w:rPr>
                <w:t>Certificate of Incorporation</w:t>
              </w:r>
            </w:hyperlink>
          </w:p>
        </w:tc>
        <w:tc>
          <w:tcPr>
            <w:tcW w:w="8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7"/>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Second Amended and Restated Bylaws</w:t>
              </w:r>
            </w:hyperlink>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20, 2023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Registrant’s Common Stock</w:t>
              </w:r>
            </w:hyperlink>
          </w:p>
        </w:tc>
        <w:tc>
          <w:tcPr>
            <w:tcW w:w="780" w:type="dxa"/>
            <w:vAlign w:val="bottom"/>
            <w:gridSpan w:val="10"/>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333-227445</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5, 2018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Certificate.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Opinion of Cooley LLP.</w:t>
            </w:r>
          </w:p>
        </w:tc>
        <w:tc>
          <w:tcPr>
            <w:tcW w:w="1860" w:type="dxa"/>
            <w:vAlign w:val="bottom"/>
            <w:gridSpan w:val="20"/>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w w:val="96"/>
              </w:rPr>
              <w:t>Independent Registered Public Accounting</w:t>
            </w:r>
          </w:p>
        </w:tc>
        <w:tc>
          <w:tcPr>
            <w:tcW w:w="10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Firm.</w:t>
            </w:r>
          </w:p>
        </w:tc>
        <w:tc>
          <w:tcPr>
            <w:tcW w:w="2700" w:type="dxa"/>
            <w:vAlign w:val="bottom"/>
            <w:gridSpan w:val="18"/>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page of this Form S-8).</w:t>
            </w:r>
          </w:p>
        </w:tc>
        <w:tc>
          <w:tcPr>
            <w:tcW w:w="16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7"/>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2018 Equity Incentive Plan.</w:t>
              </w:r>
            </w:hyperlink>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333-227445</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5, 2018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Forms of Stock Option Grant Notice, Option</w:t>
              </w:r>
            </w:hyperlink>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333-227445</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5, 2018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Agreement and Notice of Exercise under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2018 Equity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7"/>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Forms of Restricted Stock Unit Grant Notice</w:t>
              </w:r>
            </w:hyperlink>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333-227445</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5, 2018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and Restricted Stock Unit Award Agreement</w:t>
              </w:r>
            </w:hyperlink>
          </w:p>
        </w:tc>
        <w:tc>
          <w:tcPr>
            <w:tcW w:w="40" w:type="dxa"/>
            <w:vAlign w:val="bottom"/>
            <w:gridSpan w:val="2"/>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under the 2018 Equity Incentive Plan.</w:t>
              </w:r>
            </w:hyperlink>
          </w:p>
        </w:tc>
        <w:tc>
          <w:tcPr>
            <w:tcW w:w="80" w:type="dxa"/>
            <w:vAlign w:val="bottom"/>
            <w:gridSpan w:val="4"/>
          </w:tcPr>
          <w:p>
            <w:pPr>
              <w:spacing w:after="0"/>
              <w:rPr>
                <w:sz w:val="13"/>
                <w:szCs w:val="13"/>
                <w:color w:val="auto"/>
              </w:rPr>
            </w:pPr>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2018 Employee Stock Purchase Plan.</w:t>
              </w:r>
            </w:hyperlink>
          </w:p>
        </w:tc>
        <w:tc>
          <w:tcPr>
            <w:tcW w:w="20" w:type="dxa"/>
            <w:vAlign w:val="bottom"/>
            <w:tcBorders>
              <w:top w:val="single" w:sz="8" w:color="0000FF"/>
            </w:tcBorders>
          </w:tcPr>
          <w:p>
            <w:pPr>
              <w:spacing w:after="0"/>
              <w:rPr>
                <w:sz w:val="19"/>
                <w:szCs w:val="19"/>
                <w:color w:val="auto"/>
              </w:rPr>
            </w:pPr>
          </w:p>
        </w:tc>
        <w:tc>
          <w:tcPr>
            <w:tcW w:w="880" w:type="dxa"/>
            <w:vAlign w:val="bottom"/>
            <w:gridSpan w:val="13"/>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333-227445</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October 5, 2018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7"/>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of Performance-Based Restricted Stock</w:t>
              </w:r>
            </w:hyperlink>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001-38701</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January 10, 2022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Unit Agreement</w:t>
              </w:r>
            </w:hyperlink>
          </w:p>
        </w:tc>
        <w:tc>
          <w:tcPr>
            <w:tcW w:w="30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40" w:type="dxa"/>
            <w:vAlign w:val="bottom"/>
            <w:gridSpan w:val="1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7"/>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Form of Financial Performance-Based</w:t>
              </w:r>
            </w:hyperlink>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001-38707</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Restricted Stock Unit Agreement</w:t>
              </w:r>
            </w:hyperlink>
          </w:p>
        </w:tc>
        <w:tc>
          <w:tcPr>
            <w:tcW w:w="360" w:type="dxa"/>
            <w:vAlign w:val="bottom"/>
            <w:tcBorders>
              <w:top w:val="single" w:sz="8" w:color="0000FF"/>
            </w:tcBorders>
            <w:gridSpan w:val="5"/>
          </w:tcPr>
          <w:p>
            <w:pPr>
              <w:spacing w:after="0"/>
              <w:rPr>
                <w:sz w:val="13"/>
                <w:szCs w:val="13"/>
                <w:color w:val="auto"/>
              </w:rPr>
            </w:pPr>
          </w:p>
        </w:tc>
        <w:tc>
          <w:tcPr>
            <w:tcW w:w="840" w:type="dxa"/>
            <w:vAlign w:val="bottom"/>
            <w:gridSpan w:val="12"/>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2420" w:type="dxa"/>
            <w:vAlign w:val="bottom"/>
            <w:gridSpan w:val="22"/>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bl>
    <w:p>
      <w:pPr>
        <w:sectPr>
          <w:pgSz w:w="11900" w:h="16838" w:orient="portrait"/>
          <w:cols w:equalWidth="0" w:num="1">
            <w:col w:w="11180"/>
          </w:cols>
          <w:pgMar w:left="320" w:top="765"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25th day of February 2025.</w:t>
      </w:r>
    </w:p>
    <w:p>
      <w:pPr>
        <w:spacing w:after="0" w:line="10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81" w:lineRule="exact"/>
        <w:rPr>
          <w:sz w:val="20"/>
          <w:szCs w:val="20"/>
          <w:color w:val="auto"/>
        </w:rPr>
      </w:pPr>
    </w:p>
    <w:tbl>
      <w:tblPr>
        <w:tblLayout w:type="fixed"/>
        <w:tblInd w:w="670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A. Francis</w:t>
            </w:r>
          </w:p>
        </w:tc>
      </w:tr>
      <w:tr>
        <w:trPr>
          <w:trHeight w:val="218"/>
        </w:trPr>
        <w:tc>
          <w:tcPr>
            <w:tcW w:w="8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A. Francis</w:t>
            </w:r>
          </w:p>
        </w:tc>
      </w:tr>
      <w:tr>
        <w:trPr>
          <w:trHeight w:val="234"/>
        </w:trPr>
        <w:tc>
          <w:tcPr>
            <w:tcW w:w="8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Laura A. Francis, and Michael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8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887" w:right="339" w:bottom="1440" w:gutter="0" w:footer="0" w:header="0"/>
        </w:sectPr>
      </w:pPr>
    </w:p>
    <w:p>
      <w:pPr>
        <w:spacing w:after="0" w:line="9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9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Laura A. Francis</w:t>
      </w:r>
    </w:p>
    <w:p>
      <w:pPr>
        <w:spacing w:after="0" w:line="26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Anshul Maheshwari</w:t>
      </w:r>
    </w:p>
    <w:p>
      <w:pPr>
        <w:spacing w:after="0" w:line="25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Timothy E. Davis, Jr.</w:t>
      </w:r>
    </w:p>
    <w:p>
      <w:pPr>
        <w:spacing w:after="0" w:line="26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Jeffrey W. Dunn</w:t>
      </w:r>
    </w:p>
    <w:p>
      <w:pPr>
        <w:spacing w:after="0" w:line="30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/s/ John G.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24765</wp:posOffset>
            </wp:positionV>
            <wp:extent cx="195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John G. Freund, M.D.</w:t>
      </w:r>
    </w:p>
    <w:p>
      <w:pPr>
        <w:spacing w:after="0" w:line="23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Jeryl L. Hilleman</w:t>
      </w:r>
    </w:p>
    <w:p>
      <w:pPr>
        <w:spacing w:after="0" w:line="26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Gregory K. Hinckley</w:t>
      </w:r>
    </w:p>
    <w:p>
      <w:pPr>
        <w:spacing w:after="0" w:line="26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Mika Nishimura</w:t>
      </w:r>
    </w:p>
    <w:p>
      <w:pPr>
        <w:spacing w:after="0" w:line="30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Thomas A.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Thomas A. West</w:t>
      </w:r>
    </w:p>
    <w:p>
      <w:pPr>
        <w:spacing w:after="0" w:line="30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 Daniel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195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Daniel Wolf</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7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5"/>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36"/>
        </w:trPr>
        <w:tc>
          <w:tcPr>
            <w:tcW w:w="4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Duly Authorized Officer and Principal Executive Officer</w:t>
            </w:r>
            <w:r>
              <w:rPr>
                <w:rFonts w:ascii="Times New Roman" w:cs="Times New Roman" w:eastAsia="Times New Roman" w:hAnsi="Times New Roman"/>
                <w:sz w:val="14"/>
                <w:szCs w:val="14"/>
                <w:color w:val="auto"/>
                <w:w w:val="99"/>
              </w:rPr>
              <w:t>)</w:t>
            </w:r>
          </w:p>
        </w:tc>
        <w:tc>
          <w:tcPr>
            <w:tcW w:w="1760" w:type="dxa"/>
            <w:vAlign w:val="bottom"/>
          </w:tcPr>
          <w:p>
            <w:pPr>
              <w:spacing w:after="0"/>
              <w:rPr>
                <w:sz w:val="20"/>
                <w:szCs w:val="20"/>
                <w:color w:val="auto"/>
              </w:rPr>
            </w:pPr>
          </w:p>
        </w:tc>
      </w:tr>
      <w:tr>
        <w:trPr>
          <w:trHeight w:val="506"/>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236"/>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760" w:type="dxa"/>
            <w:vAlign w:val="bottom"/>
          </w:tcPr>
          <w:p>
            <w:pPr>
              <w:spacing w:after="0"/>
              <w:rPr>
                <w:sz w:val="20"/>
                <w:szCs w:val="20"/>
                <w:color w:val="auto"/>
              </w:rPr>
            </w:pPr>
          </w:p>
        </w:tc>
      </w:tr>
      <w:tr>
        <w:trPr>
          <w:trHeight w:val="560"/>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729"/>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770"/>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729"/>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688"/>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729"/>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770"/>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769"/>
        </w:trPr>
        <w:tc>
          <w:tcPr>
            <w:tcW w:w="4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February 25, 2025</w:t>
            </w:r>
          </w:p>
        </w:tc>
      </w:tr>
    </w:tbl>
    <w:p>
      <w:pPr>
        <w:sectPr>
          <w:pgSz w:w="11900" w:h="16838" w:orient="portrait"/>
          <w:cols w:equalWidth="0" w:num="2">
            <w:col w:w="3860" w:space="720"/>
            <w:col w:w="6660"/>
          </w:cols>
          <w:pgMar w:left="320" w:top="887" w:right="339" w:bottom="1440" w:gutter="0" w:footer="0" w:header="0"/>
          <w:type w:val="continuous"/>
        </w:sectPr>
      </w:pPr>
    </w:p>
    <w:bookmarkStart w:id="5" w:name="page6"/>
    <w:bookmarkEnd w:id="5"/>
    <w:p>
      <w:pPr>
        <w:ind w:left="1018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jc w:val="center"/>
        <w:ind w:right="20"/>
        <w:spacing w:after="0" w:line="234" w:lineRule="auto"/>
        <w:rPr>
          <w:sz w:val="20"/>
          <w:szCs w:val="20"/>
          <w:color w:val="auto"/>
        </w:rPr>
      </w:pPr>
      <w:r>
        <w:rPr>
          <w:rFonts w:ascii="Times New Roman" w:cs="Times New Roman" w:eastAsia="Times New Roman" w:hAnsi="Times New Roman"/>
          <w:sz w:val="18"/>
          <w:szCs w:val="18"/>
          <w:u w:val="single" w:color="auto"/>
          <w:color w:val="auto"/>
        </w:rPr>
        <w:t>Form S-8</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SI-BONE, Inc.</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1: Newly Registered</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400" w:type="dxa"/>
            <w:vAlign w:val="bottom"/>
            <w:tcBorders>
              <w:top w:val="single" w:sz="8" w:color="auto"/>
              <w:lef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14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Security Class</w:t>
            </w:r>
          </w:p>
        </w:tc>
        <w:tc>
          <w:tcPr>
            <w:tcW w:w="14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340" w:type="dxa"/>
            <w:vAlign w:val="bottom"/>
            <w:tcBorders>
              <w:top w:val="single" w:sz="8" w:color="auto"/>
            </w:tcBorders>
          </w:tcPr>
          <w:p>
            <w:pPr>
              <w:ind w:left="340"/>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3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Maximum</w:t>
            </w:r>
          </w:p>
        </w:tc>
        <w:tc>
          <w:tcPr>
            <w:tcW w:w="146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Fee Rate</w:t>
            </w:r>
          </w:p>
        </w:tc>
        <w:tc>
          <w:tcPr>
            <w:tcW w:w="140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Title</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Registered(1)</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Registration Fee</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38"/>
        </w:trPr>
        <w:tc>
          <w:tcPr>
            <w:tcW w:w="1400" w:type="dxa"/>
            <w:vAlign w:val="bottom"/>
            <w:tcBorders>
              <w:lef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191"/>
        </w:trPr>
        <w:tc>
          <w:tcPr>
            <w:tcW w:w="1400" w:type="dxa"/>
            <w:vAlign w:val="bottom"/>
            <w:tcBorders>
              <w:lef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Other(2)</w:t>
            </w: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2,104,324</w:t>
            </w: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$17.68 (2)</w:t>
            </w:r>
          </w:p>
        </w:tc>
        <w:tc>
          <w:tcPr>
            <w:tcW w:w="1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$37,204,448</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$153.10 per $1.0</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$5,696.00</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$0.0001 par value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million</w:t>
            </w: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per share, SI-</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BONE, Inc. 2018</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Equity Incentive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34"/>
        </w:trPr>
        <w:tc>
          <w:tcPr>
            <w:tcW w:w="1400" w:type="dxa"/>
            <w:vAlign w:val="bottom"/>
            <w:tcBorders>
              <w:left w:val="single" w:sz="8" w:color="auto"/>
            </w:tcBorders>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191"/>
        </w:trPr>
        <w:tc>
          <w:tcPr>
            <w:tcW w:w="1400" w:type="dxa"/>
            <w:vAlign w:val="bottom"/>
            <w:tcBorders>
              <w:lef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Other(2)</w:t>
            </w: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420,865</w:t>
            </w: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$15.03 (3)</w:t>
            </w:r>
          </w:p>
        </w:tc>
        <w:tc>
          <w:tcPr>
            <w:tcW w:w="1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$6,325,601</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$153.10 per $1.0</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$968.45</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$0.0001 par value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million</w:t>
            </w: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per share, SI-</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BONE, Inc. 2018</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Employee Stock</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34"/>
        </w:trPr>
        <w:tc>
          <w:tcPr>
            <w:tcW w:w="1400" w:type="dxa"/>
            <w:vAlign w:val="bottom"/>
            <w:tcBorders>
              <w:left w:val="single" w:sz="8" w:color="auto"/>
            </w:tcBorders>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Plan</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4"/>
        </w:trPr>
        <w:tc>
          <w:tcPr>
            <w:tcW w:w="28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$43,530,049</w:t>
            </w:r>
          </w:p>
        </w:tc>
        <w:tc>
          <w:tcPr>
            <w:tcW w:w="146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$6,664.45</w:t>
            </w:r>
          </w:p>
        </w:tc>
      </w:tr>
      <w:tr>
        <w:trPr>
          <w:trHeight w:val="250"/>
        </w:trPr>
        <w:tc>
          <w:tcPr>
            <w:tcW w:w="28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1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1400" w:type="dxa"/>
            <w:vAlign w:val="bottom"/>
            <w:tcBorders>
              <w:left w:val="single" w:sz="8" w:color="auto"/>
              <w:bottom w:val="single" w:sz="8" w:color="auto"/>
            </w:tcBorders>
          </w:tcPr>
          <w:p>
            <w:pPr>
              <w:spacing w:after="0"/>
              <w:rPr>
                <w:sz w:val="21"/>
                <w:szCs w:val="21"/>
                <w:color w:val="auto"/>
              </w:rPr>
            </w:pPr>
          </w:p>
        </w:tc>
        <w:tc>
          <w:tcPr>
            <w:tcW w:w="28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$6,664.45</w:t>
            </w:r>
          </w:p>
        </w:tc>
      </w:tr>
    </w:tbl>
    <w:p>
      <w:pPr>
        <w:spacing w:after="0" w:line="63" w:lineRule="exact"/>
        <w:rPr>
          <w:sz w:val="20"/>
          <w:szCs w:val="20"/>
          <w:color w:val="auto"/>
        </w:rPr>
      </w:pPr>
    </w:p>
    <w:p>
      <w:pPr>
        <w:ind w:right="220" w:firstLine="8"/>
        <w:spacing w:after="0" w:line="24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“Securities Act”), this Registration Statement also covers any additional securities that may be offered or become issuable under the SI-BONE, Inc. 2018 Equity Incentive Plan or SI-BONE, Inc. 2018 Employee Stock Purchase (the “2018 ESPP”) in connection with any stock split, stock dividend, recapitalization or any other similar transaction effected without receipt of consideration, which results in an increase in the number of the Registrant’s outstanding shares of Common Stock.</w:t>
      </w:r>
    </w:p>
    <w:p>
      <w:pPr>
        <w:spacing w:after="0" w:line="207" w:lineRule="exact"/>
        <w:rPr>
          <w:rFonts w:ascii="Times New Roman" w:cs="Times New Roman" w:eastAsia="Times New Roman" w:hAnsi="Times New Roman"/>
          <w:sz w:val="18"/>
          <w:szCs w:val="18"/>
          <w:color w:val="auto"/>
        </w:rPr>
      </w:pPr>
    </w:p>
    <w:p>
      <w:pPr>
        <w:jc w:val="both"/>
        <w:ind w:right="22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under the Securities Act, solely for the purposes of calculating the registration fee, based upon $17.68 per share, which is the average of the high and low selling prices of the Registrant’s Common Stock as reported on The Nasdaq Global Market on February 20, 2025.</w:t>
      </w:r>
    </w:p>
    <w:p>
      <w:pPr>
        <w:spacing w:after="0" w:line="203" w:lineRule="exact"/>
        <w:rPr>
          <w:rFonts w:ascii="Times New Roman" w:cs="Times New Roman" w:eastAsia="Times New Roman" w:hAnsi="Times New Roman"/>
          <w:sz w:val="18"/>
          <w:szCs w:val="18"/>
          <w:color w:val="auto"/>
        </w:rPr>
      </w:pPr>
    </w:p>
    <w:p>
      <w:pPr>
        <w:ind w:right="80" w:firstLine="8"/>
        <w:spacing w:after="0" w:line="24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(h) promulgated under the Securities Act solely for the purpose of calculating the registration fee on the basis of $15.03 per share, the average of the high and low prices of the Registrant’s Common Stock as reported on the Nasdaq Global Market on February 20, 2025, multiplied by 85%, which is the percentage of the price per share applicable to purchases under the 2018 ESPP.</w:t>
      </w:r>
    </w:p>
    <w:p>
      <w:pPr>
        <w:sectPr>
          <w:pgSz w:w="11900" w:h="16838" w:orient="portrait"/>
          <w:cols w:equalWidth="0" w:num="1">
            <w:col w:w="11260"/>
          </w:cols>
          <w:pgMar w:left="320" w:top="1404"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13982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42862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Kate Nichols</w:t>
      </w:r>
    </w:p>
    <w:p>
      <w:pPr>
        <w:spacing w:after="0" w:line="3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+1 650 843 5877</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knichols@cooley.com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3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Registration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 offering of up to 2,525,189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$0.0001 per share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consisting of (a) 2,104,324 shares of Common Stock issuable pursuant to the Company’s 2018 Equity Incentive Plan (the “</w:t>
      </w:r>
      <w:r>
        <w:rPr>
          <w:rFonts w:ascii="Arial" w:cs="Arial" w:eastAsia="Arial" w:hAnsi="Arial"/>
          <w:sz w:val="18"/>
          <w:szCs w:val="18"/>
          <w:b w:val="1"/>
          <w:bCs w:val="1"/>
          <w:i w:val="1"/>
          <w:iCs w:val="1"/>
          <w:color w:val="auto"/>
        </w:rPr>
        <w:t>EIP</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420,865 shares of Common Stock issuable pursuant to the Company’s 2018 Employee Stock Purchase Plan (together with the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related prospectuses, (b) the Plans,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Kate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17780</wp:posOffset>
            </wp:positionV>
            <wp:extent cx="2940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Kate Nichols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Cooley LLP 3175 Hanover Street Palo Alto, CA 94304-1130</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1417" w:right="339" w:bottom="417" w:gutter="0" w:footer="0" w:header="0"/>
        </w:sectPr>
      </w:pPr>
    </w:p>
    <w:bookmarkStart w:id="8" w:name="page9"/>
    <w:bookmarkEnd w:id="8"/>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We hereby consent to the incorporation by reference in this Registration Statement on Form S-8 of SI-BONE, Inc. of our report dated</w:t>
      </w:r>
    </w:p>
    <w:p>
      <w:pPr>
        <w:spacing w:after="0" w:line="40" w:lineRule="exact"/>
        <w:rPr>
          <w:sz w:val="20"/>
          <w:szCs w:val="20"/>
          <w:color w:val="auto"/>
        </w:rPr>
      </w:pPr>
    </w:p>
    <w:p>
      <w:pPr>
        <w:spacing w:after="0"/>
        <w:rPr>
          <w:sz w:val="20"/>
          <w:szCs w:val="20"/>
          <w:color w:val="auto"/>
        </w:rPr>
      </w:pPr>
      <w:r>
        <w:rPr>
          <w:rFonts w:ascii="Georgia" w:cs="Georgia" w:eastAsia="Georgia" w:hAnsi="Georgia"/>
          <w:sz w:val="17"/>
          <w:szCs w:val="17"/>
          <w:color w:val="auto"/>
        </w:rPr>
        <w:t>February 25, 2025, relating to the financial statements and the effectiveness of internal control over financial reporting, which appears in SI-</w:t>
      </w:r>
    </w:p>
    <w:p>
      <w:pPr>
        <w:spacing w:after="0" w:line="48" w:lineRule="exact"/>
        <w:rPr>
          <w:sz w:val="20"/>
          <w:szCs w:val="20"/>
          <w:color w:val="auto"/>
        </w:rPr>
      </w:pPr>
    </w:p>
    <w:p>
      <w:pPr>
        <w:spacing w:after="0"/>
        <w:rPr>
          <w:sz w:val="20"/>
          <w:szCs w:val="20"/>
          <w:color w:val="auto"/>
        </w:rPr>
      </w:pPr>
      <w:r>
        <w:rPr>
          <w:rFonts w:ascii="Georgia" w:cs="Georgia" w:eastAsia="Georgia" w:hAnsi="Georgia"/>
          <w:sz w:val="18"/>
          <w:szCs w:val="18"/>
          <w:color w:val="auto"/>
        </w:rPr>
        <w:t>BONE, Inc.'s Annual Report on Form 10-K for the year ended December 31, 2024.</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38"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38"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25, 2025</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27" Type="http://schemas.openxmlformats.org/officeDocument/2006/relationships/image" Target="media/image1.png"/><Relationship Id="rId28" Type="http://schemas.openxmlformats.org/officeDocument/2006/relationships/image" Target="media/image2.png"/><Relationship Id="rId29"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jpeg"/><Relationship Id="rId38" Type="http://schemas.openxmlformats.org/officeDocument/2006/relationships/image" Target="media/image12.png"/><Relationship Id="rId8" Type="http://schemas.openxmlformats.org/officeDocument/2006/relationships/hyperlink" Target="https://www.sec.gov/Archives/edgar/data/1459839/000119312518303158/d635537ds8.htm" TargetMode="External"/><Relationship Id="rId9" Type="http://schemas.openxmlformats.org/officeDocument/2006/relationships/hyperlink" Target="https://www.sec.gov/Archives/edgar/data/1459839/000145983919000015/s-8evergreen2019.htm" TargetMode="External"/><Relationship Id="rId10" Type="http://schemas.openxmlformats.org/officeDocument/2006/relationships/hyperlink" Target="https://www.sec.gov/Archives/edgar/data/1459839/000145983920000032/s-8evergreen2020.htm" TargetMode="External"/><Relationship Id="rId11" Type="http://schemas.openxmlformats.org/officeDocument/2006/relationships/hyperlink" Target="https://www.sec.gov/Archives/edgar/data/1459839/000145983921000015/s-8evergreenjanuary2021.htm" TargetMode="External"/><Relationship Id="rId12" Type="http://schemas.openxmlformats.org/officeDocument/2006/relationships/hyperlink" Target="https://www.sec.gov/Archives/edgar/data/1459839/000145983922000020/s-8evergreenjanuary2022.htm" TargetMode="External"/><Relationship Id="rId13" Type="http://schemas.openxmlformats.org/officeDocument/2006/relationships/hyperlink" Target="https://www.sec.gov/Archives/edgar/data/1459839/000145983923000022/s-8evergreenjanuary2023.htm" TargetMode="External"/><Relationship Id="rId14" Type="http://schemas.openxmlformats.org/officeDocument/2006/relationships/hyperlink" Target="https://www.sec.gov/Archives/edgar/data/1459839/000145983924000017/s-8evergreenfebruary27.htm" TargetMode="External"/><Relationship Id="rId15" Type="http://schemas.openxmlformats.org/officeDocument/2006/relationships/hyperlink" Target="https://www.sec.gov/ix?doc=/Archives/edgar/data/1459839/000145983925000036/sibn-20241231.htm" TargetMode="External"/><Relationship Id="rId16" Type="http://schemas.openxmlformats.org/officeDocument/2006/relationships/hyperlink" Target="https://www.sec.gov/Archives/edgar/data/1459839/000119312518297571/d486750d8a12b.htm" TargetMode="External"/><Relationship Id="rId17" Type="http://schemas.openxmlformats.org/officeDocument/2006/relationships/hyperlink" Target="https://www.sec.gov/Archives/edgar/data/1459839/000119312518303020/d641574dex31.htm" TargetMode="External"/><Relationship Id="rId18" Type="http://schemas.openxmlformats.org/officeDocument/2006/relationships/hyperlink" Target="https://www.sec.gov/ix?doc=/Archives/edgar/data/0001459839/000145983924000048/sibn-20240625.htm" TargetMode="External"/><Relationship Id="rId19" Type="http://schemas.openxmlformats.org/officeDocument/2006/relationships/hyperlink" Target="https://www.sec.gov/Archives/edgar/data/1459839/000145983923000095/secondamendedandrestatedby.htm" TargetMode="External"/><Relationship Id="rId20" Type="http://schemas.openxmlformats.org/officeDocument/2006/relationships/hyperlink" Target="https://www.sec.gov/Archives/edgar/data/1459839/000119312518293978/d452987dex41.htm" TargetMode="External"/><Relationship Id="rId21" Type="http://schemas.openxmlformats.org/officeDocument/2006/relationships/hyperlink" Target="https://www.sec.gov/Archives/edgar/data/1459839/000119312518293978/d452987dex103.htm" TargetMode="External"/><Relationship Id="rId22" Type="http://schemas.openxmlformats.org/officeDocument/2006/relationships/hyperlink" Target="https://www.sec.gov/Archives/edgar/data/1459839/000119312518293978/d452987dex104.htm" TargetMode="External"/><Relationship Id="rId23" Type="http://schemas.openxmlformats.org/officeDocument/2006/relationships/hyperlink" Target="https://www.sec.gov/Archives/edgar/data/1459839/000119312518293978/d452987dex105.htm" TargetMode="External"/><Relationship Id="rId24" Type="http://schemas.openxmlformats.org/officeDocument/2006/relationships/hyperlink" Target="https://www.sec.gov/Archives/edgar/data/1459839/000119312518293978/d452987dex106.htm" TargetMode="External"/><Relationship Id="rId25" Type="http://schemas.openxmlformats.org/officeDocument/2006/relationships/hyperlink" Target="https://www.sec.gov/Archives/edgar/data/1459839/000145983922000006/si-bonexformofprsugrantp.htm" TargetMode="External"/><Relationship Id="rId26" Type="http://schemas.openxmlformats.org/officeDocument/2006/relationships/hyperlink" Target="https://www.sec.gov/Archives/edgar/data/1459839/000145983925000036/sibn-ex1029_formoffinanci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2025-02-25T15:57:27Z</dcterms:created>
  <dcterms:modified xsi:type="dcterms:W3CDTF">2025-02-25T15:57:27Z</dcterms:modified>
</cp:coreProperties>
</file>