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November 13, 2019</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174625</wp:posOffset>
            </wp:positionV>
            <wp:extent cx="72586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2653030</wp:posOffset>
            </wp:positionH>
            <wp:positionV relativeFrom="paragraph">
              <wp:posOffset>174625</wp:posOffset>
            </wp:positionV>
            <wp:extent cx="195897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8975" cy="15875"/>
                    </a:xfrm>
                    <a:prstGeom prst="rect">
                      <a:avLst/>
                    </a:prstGeom>
                    <a:noFill/>
                  </pic:spPr>
                </pic:pic>
              </a:graphicData>
            </a:graphic>
          </wp:anchor>
        </w:drawing>
      </w:r>
    </w:p>
    <w:p>
      <w:pPr>
        <w:spacing w:after="0" w:line="377" w:lineRule="exact"/>
        <w:rPr>
          <w:sz w:val="24"/>
          <w:szCs w:val="24"/>
          <w:color w:val="auto"/>
        </w:rPr>
      </w:pPr>
    </w:p>
    <w:tbl>
      <w:tblPr>
        <w:tblLayout w:type="fixed"/>
        <w:tblInd w:w="2220" w:type="dxa"/>
        <w:tblCellMar>
          <w:top w:w="0" w:type="dxa"/>
          <w:left w:w="0" w:type="dxa"/>
          <w:bottom w:w="0" w:type="dxa"/>
          <w:right w:w="0" w:type="dxa"/>
        </w:tblCellMar>
      </w:tblPr>
      <w:tr>
        <w:trPr>
          <w:trHeight w:val="255"/>
        </w:trPr>
        <w:tc>
          <w:tcPr>
            <w:tcW w:w="1960" w:type="dxa"/>
            <w:vAlign w:val="bottom"/>
          </w:tcPr>
          <w:p>
            <w:pPr>
              <w:spacing w:after="0"/>
              <w:rPr>
                <w:sz w:val="22"/>
                <w:szCs w:val="22"/>
                <w:color w:val="auto"/>
              </w:rPr>
            </w:pPr>
          </w:p>
        </w:tc>
        <w:tc>
          <w:tcPr>
            <w:tcW w:w="4940" w:type="dxa"/>
            <w:vAlign w:val="bottom"/>
            <w:gridSpan w:val="2"/>
          </w:tcPr>
          <w:p>
            <w:pPr>
              <w:jc w:val="center"/>
              <w:ind w:right="1794"/>
              <w:spacing w:after="0"/>
              <w:rPr>
                <w:sz w:val="20"/>
                <w:szCs w:val="20"/>
                <w:color w:val="auto"/>
              </w:rPr>
            </w:pPr>
            <w:r>
              <w:rPr>
                <w:rFonts w:ascii="Arial" w:cs="Arial" w:eastAsia="Arial" w:hAnsi="Arial"/>
                <w:sz w:val="20"/>
                <w:szCs w:val="20"/>
                <w:b w:val="1"/>
                <w:bCs w:val="1"/>
                <w:color w:val="auto"/>
                <w:w w:val="96"/>
              </w:rPr>
              <w:t>FORM S-3</w:t>
            </w:r>
          </w:p>
        </w:tc>
      </w:tr>
      <w:tr>
        <w:trPr>
          <w:trHeight w:val="270"/>
        </w:trPr>
        <w:tc>
          <w:tcPr>
            <w:tcW w:w="1960" w:type="dxa"/>
            <w:vAlign w:val="bottom"/>
          </w:tcPr>
          <w:p>
            <w:pPr>
              <w:spacing w:after="0"/>
              <w:rPr>
                <w:sz w:val="23"/>
                <w:szCs w:val="23"/>
                <w:color w:val="auto"/>
              </w:rPr>
            </w:pPr>
          </w:p>
        </w:tc>
        <w:tc>
          <w:tcPr>
            <w:tcW w:w="4940" w:type="dxa"/>
            <w:vAlign w:val="bottom"/>
            <w:gridSpan w:val="2"/>
          </w:tcPr>
          <w:p>
            <w:pPr>
              <w:jc w:val="center"/>
              <w:ind w:right="1814"/>
              <w:spacing w:after="0"/>
              <w:rPr>
                <w:sz w:val="20"/>
                <w:szCs w:val="20"/>
                <w:color w:val="auto"/>
              </w:rPr>
            </w:pPr>
            <w:r>
              <w:rPr>
                <w:rFonts w:ascii="Arial" w:cs="Arial" w:eastAsia="Arial" w:hAnsi="Arial"/>
                <w:sz w:val="20"/>
                <w:szCs w:val="20"/>
                <w:b w:val="1"/>
                <w:bCs w:val="1"/>
                <w:color w:val="auto"/>
                <w:w w:val="99"/>
              </w:rPr>
              <w:t>REGISTRATION STATEMENT</w:t>
            </w:r>
          </w:p>
        </w:tc>
      </w:tr>
      <w:tr>
        <w:trPr>
          <w:trHeight w:val="270"/>
        </w:trPr>
        <w:tc>
          <w:tcPr>
            <w:tcW w:w="1960" w:type="dxa"/>
            <w:vAlign w:val="bottom"/>
          </w:tcPr>
          <w:p>
            <w:pPr>
              <w:spacing w:after="0"/>
              <w:rPr>
                <w:sz w:val="23"/>
                <w:szCs w:val="23"/>
                <w:color w:val="auto"/>
              </w:rPr>
            </w:pPr>
          </w:p>
        </w:tc>
        <w:tc>
          <w:tcPr>
            <w:tcW w:w="4940" w:type="dxa"/>
            <w:vAlign w:val="bottom"/>
            <w:gridSpan w:val="2"/>
          </w:tcPr>
          <w:p>
            <w:pPr>
              <w:jc w:val="center"/>
              <w:ind w:right="1814"/>
              <w:spacing w:after="0"/>
              <w:rPr>
                <w:sz w:val="20"/>
                <w:szCs w:val="20"/>
                <w:color w:val="auto"/>
              </w:rPr>
            </w:pPr>
            <w:r>
              <w:rPr>
                <w:rFonts w:ascii="Arial" w:cs="Arial" w:eastAsia="Arial" w:hAnsi="Arial"/>
                <w:sz w:val="20"/>
                <w:szCs w:val="20"/>
                <w:b w:val="1"/>
                <w:bCs w:val="1"/>
                <w:i w:val="1"/>
                <w:iCs w:val="1"/>
                <w:color w:val="auto"/>
                <w:w w:val="98"/>
              </w:rPr>
              <w:t>UNDER</w:t>
            </w:r>
          </w:p>
        </w:tc>
      </w:tr>
      <w:tr>
        <w:trPr>
          <w:trHeight w:val="270"/>
        </w:trPr>
        <w:tc>
          <w:tcPr>
            <w:tcW w:w="1960" w:type="dxa"/>
            <w:vAlign w:val="bottom"/>
          </w:tcPr>
          <w:p>
            <w:pPr>
              <w:spacing w:after="0"/>
              <w:rPr>
                <w:sz w:val="23"/>
                <w:szCs w:val="23"/>
                <w:color w:val="auto"/>
              </w:rPr>
            </w:pPr>
          </w:p>
        </w:tc>
        <w:tc>
          <w:tcPr>
            <w:tcW w:w="4940" w:type="dxa"/>
            <w:vAlign w:val="bottom"/>
            <w:gridSpan w:val="2"/>
          </w:tcPr>
          <w:p>
            <w:pPr>
              <w:jc w:val="center"/>
              <w:ind w:right="1814"/>
              <w:spacing w:after="0"/>
              <w:rPr>
                <w:sz w:val="20"/>
                <w:szCs w:val="20"/>
                <w:color w:val="auto"/>
              </w:rPr>
            </w:pPr>
            <w:r>
              <w:rPr>
                <w:rFonts w:ascii="Arial" w:cs="Arial" w:eastAsia="Arial" w:hAnsi="Arial"/>
                <w:sz w:val="20"/>
                <w:szCs w:val="20"/>
                <w:b w:val="1"/>
                <w:bCs w:val="1"/>
                <w:i w:val="1"/>
                <w:iCs w:val="1"/>
                <w:color w:val="auto"/>
                <w:w w:val="95"/>
              </w:rPr>
              <w:t>THE SECURITIES ACT OF 1933</w:t>
            </w:r>
          </w:p>
        </w:tc>
      </w:tr>
      <w:tr>
        <w:trPr>
          <w:trHeight w:val="254"/>
        </w:trPr>
        <w:tc>
          <w:tcPr>
            <w:tcW w:w="1960" w:type="dxa"/>
            <w:vAlign w:val="bottom"/>
          </w:tcPr>
          <w:p>
            <w:pPr>
              <w:spacing w:after="0"/>
              <w:rPr>
                <w:sz w:val="22"/>
                <w:szCs w:val="22"/>
                <w:color w:val="auto"/>
              </w:rPr>
            </w:pPr>
          </w:p>
        </w:tc>
        <w:tc>
          <w:tcPr>
            <w:tcW w:w="4940" w:type="dxa"/>
            <w:vAlign w:val="bottom"/>
            <w:gridSpan w:val="2"/>
          </w:tcPr>
          <w:p>
            <w:pPr>
              <w:spacing w:after="0"/>
              <w:rPr>
                <w:sz w:val="22"/>
                <w:szCs w:val="22"/>
                <w:color w:val="auto"/>
              </w:rPr>
            </w:pPr>
          </w:p>
        </w:tc>
      </w:tr>
      <w:tr>
        <w:trPr>
          <w:trHeight w:val="342"/>
        </w:trPr>
        <w:tc>
          <w:tcPr>
            <w:tcW w:w="1960" w:type="dxa"/>
            <w:vAlign w:val="bottom"/>
          </w:tcPr>
          <w:p>
            <w:pPr>
              <w:spacing w:after="0"/>
              <w:rPr>
                <w:sz w:val="24"/>
                <w:szCs w:val="24"/>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26"/>
                <w:szCs w:val="26"/>
                <w:b w:val="1"/>
                <w:bCs w:val="1"/>
                <w:color w:val="auto"/>
                <w:w w:val="97"/>
              </w:rPr>
              <w:t>SI-BONE, Inc.</w:t>
            </w:r>
          </w:p>
        </w:tc>
        <w:tc>
          <w:tcPr>
            <w:tcW w:w="1860" w:type="dxa"/>
            <w:vAlign w:val="bottom"/>
          </w:tcPr>
          <w:p>
            <w:pPr>
              <w:spacing w:after="0"/>
              <w:rPr>
                <w:sz w:val="24"/>
                <w:szCs w:val="24"/>
                <w:color w:val="auto"/>
              </w:rPr>
            </w:pPr>
          </w:p>
        </w:tc>
      </w:tr>
      <w:tr>
        <w:trPr>
          <w:trHeight w:val="176"/>
        </w:trPr>
        <w:tc>
          <w:tcPr>
            <w:tcW w:w="1960" w:type="dxa"/>
            <w:vAlign w:val="bottom"/>
          </w:tcPr>
          <w:p>
            <w:pPr>
              <w:spacing w:after="0"/>
              <w:rPr>
                <w:sz w:val="15"/>
                <w:szCs w:val="15"/>
                <w:color w:val="auto"/>
              </w:rPr>
            </w:pPr>
          </w:p>
        </w:tc>
        <w:tc>
          <w:tcPr>
            <w:tcW w:w="4940" w:type="dxa"/>
            <w:vAlign w:val="bottom"/>
            <w:gridSpan w:val="2"/>
          </w:tcPr>
          <w:p>
            <w:pPr>
              <w:jc w:val="center"/>
              <w:ind w:right="1814"/>
              <w:spacing w:after="0"/>
              <w:rPr>
                <w:sz w:val="20"/>
                <w:szCs w:val="20"/>
                <w:color w:val="auto"/>
              </w:rPr>
            </w:pPr>
            <w:r>
              <w:rPr>
                <w:rFonts w:ascii="Arial" w:cs="Arial" w:eastAsia="Arial" w:hAnsi="Arial"/>
                <w:sz w:val="13"/>
                <w:szCs w:val="13"/>
                <w:b w:val="1"/>
                <w:bCs w:val="1"/>
                <w:color w:val="auto"/>
                <w:w w:val="90"/>
              </w:rPr>
              <w:t>(Exact name of registrant as specified in its charter)</w:t>
            </w:r>
          </w:p>
        </w:tc>
      </w:tr>
      <w:tr>
        <w:trPr>
          <w:trHeight w:val="338"/>
        </w:trPr>
        <w:tc>
          <w:tcPr>
            <w:tcW w:w="1960" w:type="dxa"/>
            <w:vAlign w:val="bottom"/>
          </w:tcPr>
          <w:p>
            <w:pPr>
              <w:jc w:val="center"/>
              <w:ind w:right="212"/>
              <w:spacing w:after="0"/>
              <w:rPr>
                <w:sz w:val="20"/>
                <w:szCs w:val="20"/>
                <w:color w:val="auto"/>
              </w:rPr>
            </w:pPr>
            <w:r>
              <w:rPr>
                <w:rFonts w:ascii="Arial" w:cs="Arial" w:eastAsia="Arial" w:hAnsi="Arial"/>
                <w:sz w:val="15"/>
                <w:szCs w:val="15"/>
                <w:b w:val="1"/>
                <w:bCs w:val="1"/>
                <w:color w:val="auto"/>
                <w:w w:val="91"/>
              </w:rPr>
              <w:t>Delaware</w:t>
            </w:r>
          </w:p>
        </w:tc>
        <w:tc>
          <w:tcPr>
            <w:tcW w:w="4940" w:type="dxa"/>
            <w:vAlign w:val="bottom"/>
            <w:gridSpan w:val="2"/>
          </w:tcPr>
          <w:p>
            <w:pPr>
              <w:jc w:val="center"/>
              <w:ind w:left="3565"/>
              <w:spacing w:after="0"/>
              <w:rPr>
                <w:sz w:val="20"/>
                <w:szCs w:val="20"/>
                <w:color w:val="auto"/>
              </w:rPr>
            </w:pPr>
            <w:r>
              <w:rPr>
                <w:rFonts w:ascii="Arial" w:cs="Arial" w:eastAsia="Arial" w:hAnsi="Arial"/>
                <w:sz w:val="15"/>
                <w:szCs w:val="15"/>
                <w:b w:val="1"/>
                <w:bCs w:val="1"/>
                <w:color w:val="auto"/>
                <w:w w:val="89"/>
              </w:rPr>
              <w:t>26-2216351</w:t>
            </w:r>
          </w:p>
        </w:tc>
      </w:tr>
      <w:tr>
        <w:trPr>
          <w:trHeight w:val="169"/>
        </w:trPr>
        <w:tc>
          <w:tcPr>
            <w:tcW w:w="1960" w:type="dxa"/>
            <w:vAlign w:val="bottom"/>
          </w:tcPr>
          <w:p>
            <w:pPr>
              <w:jc w:val="center"/>
              <w:ind w:right="212"/>
              <w:spacing w:after="0"/>
              <w:rPr>
                <w:sz w:val="20"/>
                <w:szCs w:val="20"/>
                <w:color w:val="auto"/>
              </w:rPr>
            </w:pPr>
            <w:r>
              <w:rPr>
                <w:rFonts w:ascii="Arial" w:cs="Arial" w:eastAsia="Arial" w:hAnsi="Arial"/>
                <w:sz w:val="13"/>
                <w:szCs w:val="13"/>
                <w:b w:val="1"/>
                <w:bCs w:val="1"/>
                <w:color w:val="auto"/>
                <w:w w:val="91"/>
              </w:rPr>
              <w:t>(State or other jurisdiction of</w:t>
            </w:r>
          </w:p>
        </w:tc>
        <w:tc>
          <w:tcPr>
            <w:tcW w:w="3080" w:type="dxa"/>
            <w:vAlign w:val="bottom"/>
          </w:tcPr>
          <w:p>
            <w:pPr>
              <w:spacing w:after="0"/>
              <w:rPr>
                <w:sz w:val="14"/>
                <w:szCs w:val="14"/>
                <w:color w:val="auto"/>
              </w:rPr>
            </w:pPr>
          </w:p>
        </w:tc>
        <w:tc>
          <w:tcPr>
            <w:tcW w:w="1860" w:type="dxa"/>
            <w:vAlign w:val="bottom"/>
          </w:tcPr>
          <w:p>
            <w:pPr>
              <w:jc w:val="center"/>
              <w:ind w:left="514"/>
              <w:spacing w:after="0"/>
              <w:rPr>
                <w:sz w:val="20"/>
                <w:szCs w:val="20"/>
                <w:color w:val="auto"/>
              </w:rPr>
            </w:pPr>
            <w:r>
              <w:rPr>
                <w:rFonts w:ascii="Arial" w:cs="Arial" w:eastAsia="Arial" w:hAnsi="Arial"/>
                <w:sz w:val="13"/>
                <w:szCs w:val="13"/>
                <w:b w:val="1"/>
                <w:bCs w:val="1"/>
                <w:color w:val="auto"/>
                <w:w w:val="96"/>
              </w:rPr>
              <w:t>(I.R.S. Employer</w:t>
            </w:r>
          </w:p>
        </w:tc>
      </w:tr>
      <w:tr>
        <w:trPr>
          <w:trHeight w:val="169"/>
        </w:trPr>
        <w:tc>
          <w:tcPr>
            <w:tcW w:w="1960" w:type="dxa"/>
            <w:vAlign w:val="bottom"/>
          </w:tcPr>
          <w:p>
            <w:pPr>
              <w:jc w:val="center"/>
              <w:ind w:right="192"/>
              <w:spacing w:after="0"/>
              <w:rPr>
                <w:sz w:val="20"/>
                <w:szCs w:val="20"/>
                <w:color w:val="auto"/>
              </w:rPr>
            </w:pPr>
            <w:r>
              <w:rPr>
                <w:rFonts w:ascii="Arial" w:cs="Arial" w:eastAsia="Arial" w:hAnsi="Arial"/>
                <w:sz w:val="13"/>
                <w:szCs w:val="13"/>
                <w:b w:val="1"/>
                <w:bCs w:val="1"/>
                <w:color w:val="auto"/>
                <w:w w:val="91"/>
              </w:rPr>
              <w:t>incorporation or organization)</w:t>
            </w:r>
          </w:p>
        </w:tc>
        <w:tc>
          <w:tcPr>
            <w:tcW w:w="3080" w:type="dxa"/>
            <w:vAlign w:val="bottom"/>
          </w:tcPr>
          <w:p>
            <w:pPr>
              <w:spacing w:after="0"/>
              <w:rPr>
                <w:sz w:val="14"/>
                <w:szCs w:val="14"/>
                <w:color w:val="auto"/>
              </w:rPr>
            </w:pPr>
          </w:p>
        </w:tc>
        <w:tc>
          <w:tcPr>
            <w:tcW w:w="1860" w:type="dxa"/>
            <w:vAlign w:val="bottom"/>
          </w:tcPr>
          <w:p>
            <w:pPr>
              <w:jc w:val="center"/>
              <w:ind w:left="514"/>
              <w:spacing w:after="0"/>
              <w:rPr>
                <w:sz w:val="20"/>
                <w:szCs w:val="20"/>
                <w:color w:val="auto"/>
              </w:rPr>
            </w:pPr>
            <w:r>
              <w:rPr>
                <w:rFonts w:ascii="Arial" w:cs="Arial" w:eastAsia="Arial" w:hAnsi="Arial"/>
                <w:sz w:val="13"/>
                <w:szCs w:val="13"/>
                <w:b w:val="1"/>
                <w:bCs w:val="1"/>
                <w:color w:val="auto"/>
                <w:w w:val="92"/>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2653030</wp:posOffset>
            </wp:positionH>
            <wp:positionV relativeFrom="paragraph">
              <wp:posOffset>155575</wp:posOffset>
            </wp:positionV>
            <wp:extent cx="195897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8975" cy="15875"/>
                    </a:xfrm>
                    <a:prstGeom prst="rect">
                      <a:avLst/>
                    </a:prstGeom>
                    <a:noFill/>
                  </pic:spPr>
                </pic:pic>
              </a:graphicData>
            </a:graphic>
          </wp:anchor>
        </w:drawing>
      </w:r>
    </w:p>
    <w:p>
      <w:pPr>
        <w:spacing w:after="0" w:line="335" w:lineRule="exact"/>
        <w:rPr>
          <w:sz w:val="24"/>
          <w:szCs w:val="24"/>
          <w:color w:val="auto"/>
        </w:rPr>
      </w:pPr>
    </w:p>
    <w:p>
      <w:pPr>
        <w:ind w:left="4760"/>
        <w:spacing w:after="0"/>
        <w:rPr>
          <w:sz w:val="20"/>
          <w:szCs w:val="20"/>
          <w:color w:val="auto"/>
        </w:rPr>
      </w:pPr>
      <w:r>
        <w:rPr>
          <w:rFonts w:ascii="Arial" w:cs="Arial" w:eastAsia="Arial" w:hAnsi="Arial"/>
          <w:sz w:val="15"/>
          <w:szCs w:val="15"/>
          <w:b w:val="1"/>
          <w:bCs w:val="1"/>
          <w:color w:val="auto"/>
        </w:rPr>
        <w:t>471 El Camino Real, Suite 101</w:t>
      </w:r>
    </w:p>
    <w:p>
      <w:pPr>
        <w:spacing w:after="0" w:line="16" w:lineRule="exact"/>
        <w:rPr>
          <w:sz w:val="24"/>
          <w:szCs w:val="24"/>
          <w:color w:val="auto"/>
        </w:rPr>
      </w:pPr>
    </w:p>
    <w:p>
      <w:pPr>
        <w:ind w:left="4780"/>
        <w:spacing w:after="0"/>
        <w:rPr>
          <w:sz w:val="20"/>
          <w:szCs w:val="20"/>
          <w:color w:val="auto"/>
        </w:rPr>
      </w:pPr>
      <w:r>
        <w:rPr>
          <w:rFonts w:ascii="Arial" w:cs="Arial" w:eastAsia="Arial" w:hAnsi="Arial"/>
          <w:sz w:val="15"/>
          <w:szCs w:val="15"/>
          <w:b w:val="1"/>
          <w:bCs w:val="1"/>
          <w:color w:val="auto"/>
        </w:rPr>
        <w:t>Santa Clara, California 95050</w:t>
      </w:r>
    </w:p>
    <w:p>
      <w:pPr>
        <w:spacing w:after="0" w:line="3" w:lineRule="exact"/>
        <w:rPr>
          <w:sz w:val="24"/>
          <w:szCs w:val="24"/>
          <w:color w:val="auto"/>
        </w:rPr>
      </w:pPr>
    </w:p>
    <w:p>
      <w:pPr>
        <w:jc w:val="center"/>
        <w:ind w:right="-39"/>
        <w:spacing w:after="0" w:line="173" w:lineRule="exact"/>
        <w:rPr>
          <w:sz w:val="20"/>
          <w:szCs w:val="20"/>
          <w:color w:val="auto"/>
        </w:rPr>
      </w:pPr>
      <w:r>
        <w:rPr>
          <w:rFonts w:ascii="Arial" w:cs="Arial" w:eastAsia="Arial" w:hAnsi="Arial"/>
          <w:sz w:val="15"/>
          <w:szCs w:val="15"/>
          <w:b w:val="1"/>
          <w:bCs w:val="1"/>
          <w:color w:val="auto"/>
        </w:rPr>
        <w:t>(408) 207</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0700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2653030</wp:posOffset>
            </wp:positionH>
            <wp:positionV relativeFrom="paragraph">
              <wp:posOffset>165735</wp:posOffset>
            </wp:positionV>
            <wp:extent cx="1958975"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8975" cy="15875"/>
                    </a:xfrm>
                    <a:prstGeom prst="rect">
                      <a:avLst/>
                    </a:prstGeom>
                    <a:noFill/>
                  </pic:spPr>
                </pic:pic>
              </a:graphicData>
            </a:graphic>
          </wp:anchor>
        </w:drawing>
      </w:r>
    </w:p>
    <w:p>
      <w:pPr>
        <w:spacing w:after="0" w:line="364" w:lineRule="exact"/>
        <w:rPr>
          <w:sz w:val="24"/>
          <w:szCs w:val="24"/>
          <w:color w:val="auto"/>
        </w:rPr>
      </w:pPr>
    </w:p>
    <w:p>
      <w:pPr>
        <w:ind w:left="5180"/>
        <w:spacing w:after="0"/>
        <w:rPr>
          <w:sz w:val="20"/>
          <w:szCs w:val="20"/>
          <w:color w:val="auto"/>
        </w:rPr>
      </w:pPr>
      <w:r>
        <w:rPr>
          <w:rFonts w:ascii="Arial" w:cs="Arial" w:eastAsia="Arial" w:hAnsi="Arial"/>
          <w:sz w:val="15"/>
          <w:szCs w:val="15"/>
          <w:b w:val="1"/>
          <w:bCs w:val="1"/>
          <w:color w:val="auto"/>
        </w:rPr>
        <w:t>Laura A. Francis</w:t>
      </w:r>
    </w:p>
    <w:p>
      <w:pPr>
        <w:spacing w:after="0" w:line="19" w:lineRule="exact"/>
        <w:rPr>
          <w:sz w:val="24"/>
          <w:szCs w:val="24"/>
          <w:color w:val="auto"/>
        </w:rPr>
      </w:pPr>
    </w:p>
    <w:p>
      <w:pPr>
        <w:ind w:left="4080"/>
        <w:spacing w:after="0"/>
        <w:rPr>
          <w:sz w:val="20"/>
          <w:szCs w:val="20"/>
          <w:color w:val="auto"/>
        </w:rPr>
      </w:pPr>
      <w:r>
        <w:rPr>
          <w:rFonts w:ascii="Arial" w:cs="Arial" w:eastAsia="Arial" w:hAnsi="Arial"/>
          <w:sz w:val="15"/>
          <w:szCs w:val="15"/>
          <w:b w:val="1"/>
          <w:bCs w:val="1"/>
          <w:color w:val="auto"/>
        </w:rPr>
        <w:t>Chief Financial Officer and Chief Operating Officer</w:t>
      </w:r>
    </w:p>
    <w:p>
      <w:pPr>
        <w:spacing w:after="0" w:line="8" w:lineRule="exact"/>
        <w:rPr>
          <w:sz w:val="24"/>
          <w:szCs w:val="24"/>
          <w:color w:val="auto"/>
        </w:rPr>
      </w:pPr>
    </w:p>
    <w:p>
      <w:pPr>
        <w:ind w:left="4760"/>
        <w:spacing w:after="0"/>
        <w:rPr>
          <w:sz w:val="20"/>
          <w:szCs w:val="20"/>
          <w:color w:val="auto"/>
        </w:rPr>
      </w:pPr>
      <w:r>
        <w:rPr>
          <w:rFonts w:ascii="Arial" w:cs="Arial" w:eastAsia="Arial" w:hAnsi="Arial"/>
          <w:sz w:val="15"/>
          <w:szCs w:val="15"/>
          <w:b w:val="1"/>
          <w:bCs w:val="1"/>
          <w:color w:val="auto"/>
        </w:rPr>
        <w:t>471 El Camino Real, Suite 101</w:t>
      </w:r>
    </w:p>
    <w:p>
      <w:pPr>
        <w:ind w:left="4780"/>
        <w:spacing w:after="0"/>
        <w:rPr>
          <w:sz w:val="20"/>
          <w:szCs w:val="20"/>
          <w:color w:val="auto"/>
        </w:rPr>
      </w:pPr>
      <w:r>
        <w:rPr>
          <w:rFonts w:ascii="Arial" w:cs="Arial" w:eastAsia="Arial" w:hAnsi="Arial"/>
          <w:sz w:val="15"/>
          <w:szCs w:val="15"/>
          <w:b w:val="1"/>
          <w:bCs w:val="1"/>
          <w:color w:val="auto"/>
        </w:rPr>
        <w:t>Santa Clara, California 95050</w:t>
      </w:r>
    </w:p>
    <w:p>
      <w:pPr>
        <w:spacing w:after="0" w:line="3" w:lineRule="exact"/>
        <w:rPr>
          <w:sz w:val="24"/>
          <w:szCs w:val="24"/>
          <w:color w:val="auto"/>
        </w:rPr>
      </w:pPr>
    </w:p>
    <w:p>
      <w:pPr>
        <w:jc w:val="center"/>
        <w:spacing w:after="0" w:line="173" w:lineRule="exact"/>
        <w:rPr>
          <w:sz w:val="20"/>
          <w:szCs w:val="20"/>
          <w:color w:val="auto"/>
        </w:rPr>
      </w:pPr>
      <w:r>
        <w:rPr>
          <w:rFonts w:ascii="Arial" w:cs="Arial" w:eastAsia="Arial" w:hAnsi="Arial"/>
          <w:sz w:val="15"/>
          <w:szCs w:val="15"/>
          <w:b w:val="1"/>
          <w:bCs w:val="1"/>
          <w:color w:val="auto"/>
        </w:rPr>
        <w:t>(408) 207</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0700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2653030</wp:posOffset>
            </wp:positionH>
            <wp:positionV relativeFrom="paragraph">
              <wp:posOffset>165735</wp:posOffset>
            </wp:positionV>
            <wp:extent cx="195897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8975" cy="1587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5"/>
          <w:szCs w:val="15"/>
          <w:b w:val="1"/>
          <w:bCs w:val="1"/>
          <w:i w:val="1"/>
          <w:iCs w:val="1"/>
          <w:color w:val="auto"/>
        </w:rPr>
        <w:t>Copies to:</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Matthew B. Hemington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Brett D. White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Cooley LLP</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3175 Hanover Street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Palo Alto, CA 94304</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2653030</wp:posOffset>
            </wp:positionH>
            <wp:positionV relativeFrom="paragraph">
              <wp:posOffset>163830</wp:posOffset>
            </wp:positionV>
            <wp:extent cx="195897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8975" cy="1587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the effective date of this Registration Statement.</w:t>
      </w:r>
    </w:p>
    <w:p>
      <w:pPr>
        <w:spacing w:after="0" w:line="9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50" w:lineRule="exact"/>
        <w:rPr>
          <w:sz w:val="24"/>
          <w:szCs w:val="24"/>
          <w:color w:val="auto"/>
        </w:rPr>
      </w:pPr>
    </w:p>
    <w:p>
      <w:pPr>
        <w:spacing w:after="0" w:line="200"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92" w:lineRule="exact"/>
        <w:rPr>
          <w:sz w:val="24"/>
          <w:szCs w:val="24"/>
          <w:color w:val="auto"/>
        </w:rPr>
      </w:pPr>
    </w:p>
    <w:p>
      <w:pPr>
        <w:spacing w:after="0" w:line="200"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92" w:lineRule="exact"/>
        <w:rPr>
          <w:sz w:val="24"/>
          <w:szCs w:val="24"/>
          <w:color w:val="auto"/>
        </w:rPr>
      </w:pPr>
    </w:p>
    <w:p>
      <w:pPr>
        <w:spacing w:after="0" w:line="200"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ectPr>
          <w:pgSz w:w="11900" w:h="16838" w:orient="portrait"/>
          <w:cols w:equalWidth="0" w:num="1">
            <w:col w:w="11420"/>
          </w:cols>
          <w:pgMar w:left="240" w:top="455" w:right="239" w:bottom="1440" w:gutter="0" w:footer="0" w:header="0"/>
        </w:sectPr>
      </w:pPr>
    </w:p>
    <w:bookmarkStart w:id="1" w:name="page2"/>
    <w:bookmarkEnd w:id="1"/>
    <w:p>
      <w:pPr>
        <w:ind w:left="2"/>
        <w:spacing w:after="0" w:line="200" w:lineRule="exact"/>
        <w:rPr>
          <w:sz w:val="20"/>
          <w:szCs w:val="20"/>
          <w:color w:val="auto"/>
        </w:rPr>
      </w:pPr>
      <w:r>
        <w:rPr>
          <w:rFonts w:ascii="Arial" w:cs="Arial" w:eastAsia="Arial" w:hAnsi="Arial"/>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92" w:lineRule="exact"/>
        <w:rPr>
          <w:sz w:val="20"/>
          <w:szCs w:val="20"/>
          <w:color w:val="auto"/>
        </w:rPr>
      </w:pPr>
    </w:p>
    <w:p>
      <w:pPr>
        <w:ind w:left="2"/>
        <w:spacing w:after="0" w:line="200"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92" w:lineRule="exact"/>
        <w:rPr>
          <w:sz w:val="20"/>
          <w:szCs w:val="20"/>
          <w:color w:val="auto"/>
        </w:rPr>
      </w:pPr>
    </w:p>
    <w:p>
      <w:pPr>
        <w:ind w:left="2"/>
        <w:spacing w:after="0" w:line="33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2"/>
          </w:cols>
          <w:pgMar w:left="238" w:top="365" w:right="239" w:bottom="1440" w:gutter="0" w:footer="0" w:header="0"/>
        </w:sectPr>
      </w:pPr>
    </w:p>
    <w:p>
      <w:pPr>
        <w:spacing w:after="0" w:line="154" w:lineRule="exact"/>
        <w:rPr>
          <w:sz w:val="20"/>
          <w:szCs w:val="20"/>
          <w:color w:val="auto"/>
        </w:rPr>
      </w:pPr>
    </w:p>
    <w:p>
      <w:pPr>
        <w:ind w:left="102"/>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96" w:lineRule="exact"/>
        <w:rPr>
          <w:sz w:val="20"/>
          <w:szCs w:val="20"/>
          <w:color w:val="auto"/>
        </w:rPr>
      </w:pPr>
    </w:p>
    <w:p>
      <w:pPr>
        <w:sectPr>
          <w:pgSz w:w="11900" w:h="16838" w:orient="portrait"/>
          <w:cols w:equalWidth="0" w:num="2">
            <w:col w:w="6942" w:space="720"/>
            <w:col w:w="3760"/>
          </w:cols>
          <w:pgMar w:left="238" w:top="365" w:right="239" w:bottom="1440" w:gutter="0" w:footer="0" w:header="0"/>
          <w:type w:val="continuous"/>
        </w:sectPr>
      </w:pPr>
    </w:p>
    <w:p>
      <w:pPr>
        <w:ind w:left="102"/>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96" w:lineRule="exact"/>
        <w:rPr>
          <w:sz w:val="20"/>
          <w:szCs w:val="20"/>
          <w:color w:val="auto"/>
        </w:rPr>
      </w:pPr>
    </w:p>
    <w:p>
      <w:pPr>
        <w:sectPr>
          <w:pgSz w:w="11900" w:h="16838" w:orient="portrait"/>
          <w:cols w:equalWidth="0" w:num="2">
            <w:col w:w="6942" w:space="720"/>
            <w:col w:w="3760"/>
          </w:cols>
          <w:pgMar w:left="238" w:top="365" w:right="239" w:bottom="1440" w:gutter="0" w:footer="0" w:header="0"/>
          <w:type w:val="continuous"/>
        </w:sectPr>
      </w:pPr>
    </w:p>
    <w:p>
      <w:pPr>
        <w:ind w:left="7662"/>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422"/>
          </w:cols>
          <w:pgMar w:left="238" w:top="365" w:right="239" w:bottom="1440" w:gutter="0" w:footer="0" w:header="0"/>
          <w:type w:val="continuous"/>
        </w:sectPr>
      </w:pPr>
    </w:p>
    <w:p>
      <w:pPr>
        <w:spacing w:after="0" w:line="210" w:lineRule="exact"/>
        <w:rPr>
          <w:sz w:val="20"/>
          <w:szCs w:val="20"/>
          <w:color w:val="auto"/>
        </w:rPr>
      </w:pPr>
    </w:p>
    <w:p>
      <w:pPr>
        <w:ind w:left="2"/>
        <w:spacing w:after="0" w:line="20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266700</wp:posOffset>
            </wp:positionV>
            <wp:extent cx="195897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8975" cy="158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CALCULATION OF REGISTRATION FEE</w:t>
      </w:r>
    </w:p>
    <w:p>
      <w:pPr>
        <w:spacing w:after="0" w:line="243" w:lineRule="exact"/>
        <w:rPr>
          <w:sz w:val="20"/>
          <w:szCs w:val="20"/>
          <w:color w:val="auto"/>
        </w:rPr>
      </w:pPr>
    </w:p>
    <w:tbl>
      <w:tblPr>
        <w:tblLayout w:type="fixed"/>
        <w:tblInd w:w="182" w:type="dxa"/>
        <w:tblCellMar>
          <w:top w:w="0" w:type="dxa"/>
          <w:left w:w="0" w:type="dxa"/>
          <w:bottom w:w="0" w:type="dxa"/>
          <w:right w:w="0" w:type="dxa"/>
        </w:tblCellMar>
      </w:tblPr>
      <w:tr>
        <w:trPr>
          <w:trHeight w:val="164"/>
        </w:trPr>
        <w:tc>
          <w:tcPr>
            <w:tcW w:w="47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86"/>
              </w:rPr>
              <w:t>Proposed</w:t>
            </w:r>
          </w:p>
        </w:tc>
        <w:tc>
          <w:tcPr>
            <w:tcW w:w="1440" w:type="dxa"/>
            <w:vAlign w:val="bottom"/>
            <w:tcBorders>
              <w:top w:val="single" w:sz="8" w:color="auto"/>
            </w:tcBorders>
          </w:tcPr>
          <w:p>
            <w:pPr>
              <w:spacing w:after="0"/>
              <w:rPr>
                <w:sz w:val="14"/>
                <w:szCs w:val="14"/>
                <w:color w:val="auto"/>
              </w:rPr>
            </w:pPr>
          </w:p>
        </w:tc>
      </w:tr>
      <w:tr>
        <w:trPr>
          <w:trHeight w:val="135"/>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6"/>
              </w:rPr>
              <w:t>Proposed</w:t>
            </w:r>
          </w:p>
        </w:tc>
        <w:tc>
          <w:tcPr>
            <w:tcW w:w="154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6"/>
              </w:rPr>
              <w:t>Maximum</w:t>
            </w:r>
          </w:p>
        </w:tc>
        <w:tc>
          <w:tcPr>
            <w:tcW w:w="1440" w:type="dxa"/>
            <w:vAlign w:val="bottom"/>
          </w:tcPr>
          <w:p>
            <w:pPr>
              <w:spacing w:after="0"/>
              <w:rPr>
                <w:sz w:val="11"/>
                <w:szCs w:val="11"/>
                <w:color w:val="auto"/>
              </w:rPr>
            </w:pPr>
          </w:p>
        </w:tc>
      </w:tr>
      <w:tr>
        <w:trPr>
          <w:trHeight w:val="135"/>
        </w:trPr>
        <w:tc>
          <w:tcPr>
            <w:tcW w:w="4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93"/>
              </w:rPr>
              <w:t>Amount</w:t>
            </w:r>
          </w:p>
        </w:tc>
        <w:tc>
          <w:tcPr>
            <w:tcW w:w="1560" w:type="dxa"/>
            <w:vAlign w:val="bottom"/>
            <w:gridSpan w:val="2"/>
          </w:tcPr>
          <w:p>
            <w:pPr>
              <w:jc w:val="center"/>
              <w:ind w:right="140"/>
              <w:spacing w:after="0" w:line="136" w:lineRule="exact"/>
              <w:rPr>
                <w:sz w:val="20"/>
                <w:szCs w:val="20"/>
                <w:color w:val="auto"/>
              </w:rPr>
            </w:pPr>
            <w:r>
              <w:rPr>
                <w:rFonts w:ascii="Arial" w:cs="Arial" w:eastAsia="Arial" w:hAnsi="Arial"/>
                <w:sz w:val="13"/>
                <w:szCs w:val="13"/>
                <w:b w:val="1"/>
                <w:bCs w:val="1"/>
                <w:color w:val="auto"/>
                <w:w w:val="96"/>
              </w:rPr>
              <w:t>Maximum</w:t>
            </w:r>
          </w:p>
        </w:tc>
        <w:tc>
          <w:tcPr>
            <w:tcW w:w="1540" w:type="dxa"/>
            <w:vAlign w:val="bottom"/>
            <w:gridSpan w:val="2"/>
          </w:tcPr>
          <w:p>
            <w:pPr>
              <w:jc w:val="center"/>
              <w:ind w:right="140"/>
              <w:spacing w:after="0" w:line="136" w:lineRule="exact"/>
              <w:rPr>
                <w:sz w:val="20"/>
                <w:szCs w:val="20"/>
                <w:color w:val="auto"/>
              </w:rPr>
            </w:pPr>
            <w:r>
              <w:rPr>
                <w:rFonts w:ascii="Arial" w:cs="Arial" w:eastAsia="Arial" w:hAnsi="Arial"/>
                <w:sz w:val="13"/>
                <w:szCs w:val="13"/>
                <w:b w:val="1"/>
                <w:bCs w:val="1"/>
                <w:color w:val="auto"/>
                <w:w w:val="87"/>
              </w:rPr>
              <w:t>Aggregate</w:t>
            </w:r>
          </w:p>
        </w:tc>
        <w:tc>
          <w:tcPr>
            <w:tcW w:w="1440" w:type="dxa"/>
            <w:vAlign w:val="bottom"/>
          </w:tcPr>
          <w:p>
            <w:pPr>
              <w:spacing w:after="0"/>
              <w:rPr>
                <w:sz w:val="11"/>
                <w:szCs w:val="11"/>
                <w:color w:val="auto"/>
              </w:rPr>
            </w:pPr>
          </w:p>
        </w:tc>
      </w:tr>
      <w:tr>
        <w:trPr>
          <w:trHeight w:val="135"/>
        </w:trPr>
        <w:tc>
          <w:tcPr>
            <w:tcW w:w="4880" w:type="dxa"/>
            <w:vAlign w:val="bottom"/>
            <w:gridSpan w:val="2"/>
          </w:tcPr>
          <w:p>
            <w:pPr>
              <w:ind w:left="1760"/>
              <w:spacing w:after="0" w:line="136" w:lineRule="exact"/>
              <w:rPr>
                <w:sz w:val="20"/>
                <w:szCs w:val="20"/>
                <w:color w:val="auto"/>
              </w:rPr>
            </w:pPr>
            <w:r>
              <w:rPr>
                <w:rFonts w:ascii="Arial" w:cs="Arial" w:eastAsia="Arial" w:hAnsi="Arial"/>
                <w:sz w:val="13"/>
                <w:szCs w:val="13"/>
                <w:b w:val="1"/>
                <w:bCs w:val="1"/>
                <w:color w:val="auto"/>
              </w:rPr>
              <w:t>Title of Each Class of</w:t>
            </w:r>
          </w:p>
        </w:tc>
        <w:tc>
          <w:tcPr>
            <w:tcW w:w="1640" w:type="dxa"/>
            <w:vAlign w:val="bottom"/>
            <w:gridSpan w:val="2"/>
          </w:tcPr>
          <w:p>
            <w:pPr>
              <w:jc w:val="center"/>
              <w:ind w:right="260"/>
              <w:spacing w:after="0" w:line="136" w:lineRule="exact"/>
              <w:rPr>
                <w:sz w:val="20"/>
                <w:szCs w:val="20"/>
                <w:color w:val="auto"/>
              </w:rPr>
            </w:pPr>
            <w:r>
              <w:rPr>
                <w:rFonts w:ascii="Arial" w:cs="Arial" w:eastAsia="Arial" w:hAnsi="Arial"/>
                <w:sz w:val="13"/>
                <w:szCs w:val="13"/>
                <w:b w:val="1"/>
                <w:bCs w:val="1"/>
                <w:color w:val="auto"/>
                <w:w w:val="83"/>
              </w:rPr>
              <w:t>to be</w:t>
            </w:r>
          </w:p>
        </w:tc>
        <w:tc>
          <w:tcPr>
            <w:tcW w:w="156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3"/>
              </w:rPr>
              <w:t>Offering Price</w:t>
            </w:r>
          </w:p>
        </w:tc>
        <w:tc>
          <w:tcPr>
            <w:tcW w:w="154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4"/>
              </w:rPr>
              <w:t>Offering</w:t>
            </w:r>
          </w:p>
        </w:tc>
        <w:tc>
          <w:tcPr>
            <w:tcW w:w="14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Amount of</w:t>
            </w:r>
          </w:p>
        </w:tc>
      </w:tr>
      <w:tr>
        <w:trPr>
          <w:trHeight w:val="169"/>
        </w:trPr>
        <w:tc>
          <w:tcPr>
            <w:tcW w:w="4880" w:type="dxa"/>
            <w:vAlign w:val="bottom"/>
            <w:gridSpan w:val="2"/>
          </w:tcPr>
          <w:p>
            <w:pPr>
              <w:ind w:left="1640"/>
              <w:spacing w:after="0"/>
              <w:rPr>
                <w:sz w:val="20"/>
                <w:szCs w:val="20"/>
                <w:color w:val="auto"/>
              </w:rPr>
            </w:pPr>
            <w:r>
              <w:rPr>
                <w:rFonts w:ascii="Arial" w:cs="Arial" w:eastAsia="Arial" w:hAnsi="Arial"/>
                <w:sz w:val="13"/>
                <w:szCs w:val="13"/>
                <w:b w:val="1"/>
                <w:bCs w:val="1"/>
                <w:color w:val="auto"/>
              </w:rPr>
              <w:t>Securities to be Registered</w:t>
            </w:r>
          </w:p>
        </w:tc>
        <w:tc>
          <w:tcPr>
            <w:tcW w:w="16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Registered(1)</w:t>
            </w: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Per Unit</w:t>
            </w: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Price</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0"/>
              </w:rPr>
              <w:t>Registration Fee (2)</w:t>
            </w:r>
          </w:p>
        </w:tc>
      </w:tr>
      <w:tr>
        <w:trPr>
          <w:trHeight w:val="208"/>
        </w:trPr>
        <w:tc>
          <w:tcPr>
            <w:tcW w:w="4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196"/>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Common Stock, par value $0.0001 per share</w:t>
            </w:r>
          </w:p>
        </w:tc>
        <w:tc>
          <w:tcPr>
            <w:tcW w:w="1420" w:type="dxa"/>
            <w:vAlign w:val="bottom"/>
          </w:tcPr>
          <w:p>
            <w:pPr>
              <w:jc w:val="center"/>
              <w:spacing w:after="0"/>
              <w:rPr>
                <w:sz w:val="20"/>
                <w:szCs w:val="20"/>
                <w:color w:val="auto"/>
              </w:rPr>
            </w:pPr>
            <w:r>
              <w:rPr>
                <w:rFonts w:ascii="Arial" w:cs="Arial" w:eastAsia="Arial" w:hAnsi="Arial"/>
                <w:sz w:val="15"/>
                <w:szCs w:val="15"/>
                <w:color w:val="auto"/>
                <w:w w:val="97"/>
              </w:rPr>
              <w:t>(3)</w:t>
            </w:r>
          </w:p>
        </w:tc>
        <w:tc>
          <w:tcPr>
            <w:tcW w:w="2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7"/>
              </w:rPr>
              <w:t>(4)</w:t>
            </w:r>
          </w:p>
        </w:tc>
        <w:tc>
          <w:tcPr>
            <w:tcW w:w="12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87"/>
              </w:rPr>
              <w:t>(4)</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r>
      <w:tr>
        <w:trPr>
          <w:trHeight w:val="246"/>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Preferred Stock, par value $0.0001 per share</w:t>
            </w:r>
          </w:p>
        </w:tc>
        <w:tc>
          <w:tcPr>
            <w:tcW w:w="1420" w:type="dxa"/>
            <w:vAlign w:val="bottom"/>
          </w:tcPr>
          <w:p>
            <w:pPr>
              <w:jc w:val="center"/>
              <w:spacing w:after="0"/>
              <w:rPr>
                <w:sz w:val="20"/>
                <w:szCs w:val="20"/>
                <w:color w:val="auto"/>
              </w:rPr>
            </w:pPr>
            <w:r>
              <w:rPr>
                <w:rFonts w:ascii="Arial" w:cs="Arial" w:eastAsia="Arial" w:hAnsi="Arial"/>
                <w:sz w:val="15"/>
                <w:szCs w:val="15"/>
                <w:color w:val="auto"/>
                <w:w w:val="97"/>
              </w:rPr>
              <w:t>(3)</w:t>
            </w:r>
          </w:p>
        </w:tc>
        <w:tc>
          <w:tcPr>
            <w:tcW w:w="2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7"/>
              </w:rPr>
              <w:t>(4)</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87"/>
              </w:rPr>
              <w:t>(4)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r>
      <w:tr>
        <w:trPr>
          <w:trHeight w:val="246"/>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Debt Securities</w:t>
            </w:r>
          </w:p>
        </w:tc>
        <w:tc>
          <w:tcPr>
            <w:tcW w:w="1420" w:type="dxa"/>
            <w:vAlign w:val="bottom"/>
          </w:tcPr>
          <w:p>
            <w:pPr>
              <w:jc w:val="center"/>
              <w:spacing w:after="0"/>
              <w:rPr>
                <w:sz w:val="20"/>
                <w:szCs w:val="20"/>
                <w:color w:val="auto"/>
              </w:rPr>
            </w:pPr>
            <w:r>
              <w:rPr>
                <w:rFonts w:ascii="Arial" w:cs="Arial" w:eastAsia="Arial" w:hAnsi="Arial"/>
                <w:sz w:val="15"/>
                <w:szCs w:val="15"/>
                <w:color w:val="auto"/>
                <w:w w:val="97"/>
              </w:rPr>
              <w:t>(3)</w:t>
            </w:r>
          </w:p>
        </w:tc>
        <w:tc>
          <w:tcPr>
            <w:tcW w:w="2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7"/>
              </w:rPr>
              <w:t>(4)</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87"/>
              </w:rPr>
              <w:t>(4)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r>
      <w:tr>
        <w:trPr>
          <w:trHeight w:val="246"/>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Warrants</w:t>
            </w:r>
          </w:p>
        </w:tc>
        <w:tc>
          <w:tcPr>
            <w:tcW w:w="1420" w:type="dxa"/>
            <w:vAlign w:val="bottom"/>
          </w:tcPr>
          <w:p>
            <w:pPr>
              <w:jc w:val="center"/>
              <w:spacing w:after="0"/>
              <w:rPr>
                <w:sz w:val="20"/>
                <w:szCs w:val="20"/>
                <w:color w:val="auto"/>
              </w:rPr>
            </w:pPr>
            <w:r>
              <w:rPr>
                <w:rFonts w:ascii="Arial" w:cs="Arial" w:eastAsia="Arial" w:hAnsi="Arial"/>
                <w:sz w:val="15"/>
                <w:szCs w:val="15"/>
                <w:color w:val="auto"/>
                <w:w w:val="97"/>
              </w:rPr>
              <w:t>(3)</w:t>
            </w:r>
          </w:p>
        </w:tc>
        <w:tc>
          <w:tcPr>
            <w:tcW w:w="2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7"/>
              </w:rPr>
              <w:t>(4)</w:t>
            </w: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87"/>
              </w:rPr>
              <w:t>(4)</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93"/>
              </w:rPr>
              <w:t>—</w:t>
            </w:r>
          </w:p>
        </w:tc>
      </w:tr>
      <w:tr>
        <w:trPr>
          <w:trHeight w:val="246"/>
        </w:trPr>
        <w:tc>
          <w:tcPr>
            <w:tcW w:w="4880" w:type="dxa"/>
            <w:vAlign w:val="bottom"/>
            <w:gridSpan w:val="2"/>
          </w:tcPr>
          <w:p>
            <w:pPr>
              <w:ind w:left="20"/>
              <w:spacing w:after="0"/>
              <w:rPr>
                <w:sz w:val="20"/>
                <w:szCs w:val="20"/>
                <w:color w:val="auto"/>
              </w:rPr>
            </w:pPr>
            <w:r>
              <w:rPr>
                <w:rFonts w:ascii="Arial" w:cs="Arial" w:eastAsia="Arial" w:hAnsi="Arial"/>
                <w:sz w:val="15"/>
                <w:szCs w:val="15"/>
                <w:color w:val="auto"/>
              </w:rPr>
              <w:t>Total Offering</w:t>
            </w:r>
          </w:p>
        </w:tc>
        <w:tc>
          <w:tcPr>
            <w:tcW w:w="1420" w:type="dxa"/>
            <w:vAlign w:val="bottom"/>
          </w:tcPr>
          <w:p>
            <w:pPr>
              <w:jc w:val="center"/>
              <w:spacing w:after="0"/>
              <w:rPr>
                <w:sz w:val="20"/>
                <w:szCs w:val="20"/>
                <w:color w:val="auto"/>
              </w:rPr>
            </w:pPr>
            <w:r>
              <w:rPr>
                <w:rFonts w:ascii="Arial" w:cs="Arial" w:eastAsia="Arial" w:hAnsi="Arial"/>
                <w:sz w:val="15"/>
                <w:szCs w:val="15"/>
                <w:color w:val="auto"/>
                <w:w w:val="97"/>
              </w:rPr>
              <w:t>(3)</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87"/>
              </w:rPr>
              <w:t>$200,000,000</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5"/>
                <w:szCs w:val="15"/>
                <w:color w:val="auto"/>
                <w:w w:val="88"/>
              </w:rPr>
              <w:t>$25,960</w:t>
            </w:r>
          </w:p>
        </w:tc>
      </w:tr>
      <w:tr>
        <w:trPr>
          <w:trHeight w:val="34"/>
        </w:trPr>
        <w:tc>
          <w:tcPr>
            <w:tcW w:w="4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11550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5065" cy="7620"/>
                    </a:xfrm>
                    <a:prstGeom prst="rect">
                      <a:avLst/>
                    </a:prstGeom>
                    <a:noFill/>
                  </pic:spPr>
                </pic:pic>
              </a:graphicData>
            </a:graphic>
          </wp:anchor>
        </w:drawing>
      </w:r>
    </w:p>
    <w:p>
      <w:pPr>
        <w:spacing w:after="0" w:line="230" w:lineRule="exact"/>
        <w:rPr>
          <w:sz w:val="20"/>
          <w:szCs w:val="20"/>
          <w:color w:val="auto"/>
        </w:rPr>
      </w:pPr>
    </w:p>
    <w:p>
      <w:pPr>
        <w:ind w:left="302" w:hanging="302"/>
        <w:spacing w:after="0" w:line="294" w:lineRule="auto"/>
        <w:tabs>
          <w:tab w:leader="none" w:pos="302"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Rule 416 under the Securities Act,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19" w:lineRule="exact"/>
        <w:rPr>
          <w:rFonts w:ascii="Arial" w:cs="Arial" w:eastAsia="Arial" w:hAnsi="Arial"/>
          <w:sz w:val="15"/>
          <w:szCs w:val="15"/>
          <w:color w:val="auto"/>
        </w:rPr>
      </w:pPr>
    </w:p>
    <w:p>
      <w:pPr>
        <w:ind w:left="302" w:hanging="302"/>
        <w:spacing w:after="0"/>
        <w:tabs>
          <w:tab w:leader="none" w:pos="302"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457(o) under the Securities Act.</w:t>
      </w:r>
    </w:p>
    <w:p>
      <w:pPr>
        <w:spacing w:after="0" w:line="73" w:lineRule="exact"/>
        <w:rPr>
          <w:rFonts w:ascii="Arial" w:cs="Arial" w:eastAsia="Arial" w:hAnsi="Arial"/>
          <w:sz w:val="15"/>
          <w:szCs w:val="15"/>
          <w:color w:val="auto"/>
        </w:rPr>
      </w:pPr>
    </w:p>
    <w:p>
      <w:pPr>
        <w:jc w:val="both"/>
        <w:ind w:left="302" w:hanging="302"/>
        <w:spacing w:after="0" w:line="330" w:lineRule="auto"/>
        <w:tabs>
          <w:tab w:leader="none" w:pos="302"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There are being registered hereunder such indeterminate number of shares of common stock and preferred stock, such indeterminate principal amount of debt securities and such indeterminate number of warrants to purchase common stock, preferred stock and/or debt securities to be sold by the Registrant from time to time, which together shall have an aggregate initial offering price not to exceed $200,000,000. Any securities registered hereunder may be sold separately or in combination with the other securities registered hereunder. The securities registered hereunder also include such indeterminate number of shares of common stock and preferred stock and amount of debt securities as may be issued upon conversion of or exchange for preferred stock or debt securities that provide for conversion or exchange, upon exercise of warrants or pursuant to the antidilution provisions of any such securities.</w:t>
      </w:r>
    </w:p>
    <w:p>
      <w:pPr>
        <w:spacing w:after="0" w:line="4" w:lineRule="exact"/>
        <w:rPr>
          <w:rFonts w:ascii="Arial" w:cs="Arial" w:eastAsia="Arial" w:hAnsi="Arial"/>
          <w:sz w:val="13"/>
          <w:szCs w:val="13"/>
          <w:color w:val="auto"/>
        </w:rPr>
      </w:pPr>
    </w:p>
    <w:p>
      <w:pPr>
        <w:ind w:left="302" w:hanging="302"/>
        <w:spacing w:after="0" w:line="332" w:lineRule="auto"/>
        <w:tabs>
          <w:tab w:leader="none" w:pos="302"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144145</wp:posOffset>
            </wp:positionV>
            <wp:extent cx="195897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8975" cy="15875"/>
                    </a:xfrm>
                    <a:prstGeom prst="rect">
                      <a:avLst/>
                    </a:prstGeom>
                    <a:noFill/>
                  </pic:spPr>
                </pic:pic>
              </a:graphicData>
            </a:graphic>
          </wp:anchor>
        </w:drawing>
      </w:r>
    </w:p>
    <w:p>
      <w:pPr>
        <w:spacing w:after="0" w:line="330" w:lineRule="exact"/>
        <w:rPr>
          <w:sz w:val="20"/>
          <w:szCs w:val="20"/>
          <w:color w:val="auto"/>
        </w:rPr>
      </w:pPr>
    </w:p>
    <w:p>
      <w:pPr>
        <w:jc w:val="both"/>
        <w:ind w:left="2"/>
        <w:spacing w:after="0" w:line="34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5868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685" cy="15875"/>
                    </a:xfrm>
                    <a:prstGeom prst="rect">
                      <a:avLst/>
                    </a:prstGeom>
                    <a:noFill/>
                  </pic:spPr>
                </pic:pic>
              </a:graphicData>
            </a:graphic>
          </wp:anchor>
        </w:drawing>
      </w:r>
    </w:p>
    <w:p>
      <w:pPr>
        <w:sectPr>
          <w:pgSz w:w="11900" w:h="16838" w:orient="portrait"/>
          <w:cols w:equalWidth="0" w:num="1">
            <w:col w:w="11422"/>
          </w:cols>
          <w:pgMar w:left="238" w:top="365" w:right="239" w:bottom="1440" w:gutter="0" w:footer="0" w:header="0"/>
          <w:type w:val="continuous"/>
        </w:sectPr>
      </w:pPr>
    </w:p>
    <w:bookmarkStart w:id="2" w:name="page3"/>
    <w:bookmarkEnd w:id="2"/>
    <w:p>
      <w:pPr>
        <w:jc w:val="both"/>
        <w:spacing w:after="0" w:line="306" w:lineRule="auto"/>
        <w:rPr>
          <w:sz w:val="20"/>
          <w:szCs w:val="20"/>
          <w:color w:val="auto"/>
        </w:rPr>
      </w:pPr>
      <w:r>
        <w:rPr>
          <w:rFonts w:ascii="Arial" w:cs="Arial" w:eastAsia="Arial" w:hAnsi="Arial"/>
          <w:sz w:val="16"/>
          <w:szCs w:val="16"/>
          <w:b w:val="1"/>
          <w:bCs w:val="1"/>
          <w:color w:val="C00000"/>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jurisdiction where such offer or sale is not permitted.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C00000"/>
        </w:rPr>
        <w:t>SUBJECT TO COMPLETION, DATED NOVEMBER 13, 2019</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330835</wp:posOffset>
            </wp:positionV>
            <wp:extent cx="2341880" cy="905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41880" cy="905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$200,000,000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Common Stock</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Preferred Stock</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Debt Securities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Warrants</w:t>
      </w:r>
    </w:p>
    <w:p>
      <w:pPr>
        <w:spacing w:after="0" w:line="25"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_____________________</w:t>
      </w:r>
    </w:p>
    <w:p>
      <w:pPr>
        <w:spacing w:after="0" w:line="225"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From time to time, we may offer and sell up to an aggregate amount of $200,000,000 of any combination of the securities described in this prospectus, either individually or in combination. We may also offer common stock or preferred stock upon conversion of debt securities, common stock upon conversion of preferred stock, or common stock, preferred stock or debt securities upon the exercise of warrants.</w:t>
      </w:r>
    </w:p>
    <w:p>
      <w:pPr>
        <w:spacing w:after="0" w:line="161" w:lineRule="exact"/>
        <w:rPr>
          <w:sz w:val="20"/>
          <w:szCs w:val="20"/>
          <w:color w:val="auto"/>
        </w:rPr>
      </w:pPr>
    </w:p>
    <w:p>
      <w:pPr>
        <w:jc w:val="both"/>
        <w:ind w:firstLine="295"/>
        <w:spacing w:after="0" w:line="299" w:lineRule="auto"/>
        <w:rPr>
          <w:sz w:val="20"/>
          <w:szCs w:val="20"/>
          <w:color w:val="auto"/>
        </w:rPr>
      </w:pPr>
      <w:r>
        <w:rPr>
          <w:rFonts w:ascii="Arial" w:cs="Arial" w:eastAsia="Arial" w:hAnsi="Arial"/>
          <w:sz w:val="16"/>
          <w:szCs w:val="16"/>
          <w:color w:val="auto"/>
        </w:rPr>
        <w:t>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165"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Our common stock is listed on the Nasdaq Global Market under the symbol “SIBN.” On November 12, 2019, the last reported sale price of our common stock was $17.69 per share. The applicable prospectus supplement will contain information, where applicable, as to other listings, if any, on the Nasdaq Global Market or other securities exchange of the securities covered by the applicable prospectus supplement.</w:t>
      </w:r>
    </w:p>
    <w:p>
      <w:pPr>
        <w:spacing w:after="0" w:line="161" w:lineRule="exact"/>
        <w:rPr>
          <w:sz w:val="20"/>
          <w:szCs w:val="20"/>
          <w:color w:val="auto"/>
        </w:rPr>
      </w:pPr>
    </w:p>
    <w:p>
      <w:pPr>
        <w:jc w:val="both"/>
        <w:ind w:firstLine="295"/>
        <w:spacing w:after="0" w:line="364" w:lineRule="auto"/>
        <w:rPr>
          <w:sz w:val="20"/>
          <w:szCs w:val="20"/>
          <w:color w:val="auto"/>
        </w:rPr>
      </w:pPr>
      <w:r>
        <w:rPr>
          <w:rFonts w:ascii="Arial" w:cs="Arial" w:eastAsia="Arial" w:hAnsi="Arial"/>
          <w:sz w:val="14"/>
          <w:szCs w:val="14"/>
          <w:b w:val="1"/>
          <w:bCs w:val="1"/>
          <w:i w:val="1"/>
          <w:iCs w:val="1"/>
          <w:color w:val="auto"/>
        </w:rPr>
        <w:t>Investing in our securities involves a high degree of risk. Before making an investment decision, you should review carefully the risks described under the heading “</w:t>
      </w:r>
      <w:r>
        <w:rPr>
          <w:rFonts w:ascii="Arial" w:cs="Arial" w:eastAsia="Arial" w:hAnsi="Arial"/>
          <w:sz w:val="14"/>
          <w:szCs w:val="14"/>
          <w:b w:val="1"/>
          <w:bCs w:val="1"/>
          <w:i w:val="1"/>
          <w:iCs w:val="1"/>
          <w:u w:val="single" w:color="auto"/>
          <w:color w:val="0000EE"/>
        </w:rPr>
        <w:t>Risk Factors</w:t>
      </w:r>
      <w:r>
        <w:rPr>
          <w:rFonts w:ascii="Arial" w:cs="Arial" w:eastAsia="Arial" w:hAnsi="Arial"/>
          <w:sz w:val="14"/>
          <w:szCs w:val="14"/>
          <w:b w:val="1"/>
          <w:bCs w:val="1"/>
          <w:i w:val="1"/>
          <w:i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This prospectus may not be used to consummate a sale of securities unless accompanied by a prospectus supplement.</w:t>
      </w:r>
    </w:p>
    <w:p>
      <w:pPr>
        <w:sectPr>
          <w:pgSz w:w="11900" w:h="16838" w:orient="portrait"/>
          <w:cols w:equalWidth="0" w:num="1">
            <w:col w:w="11420"/>
          </w:cols>
          <w:pgMar w:left="240" w:top="738" w:right="239" w:bottom="1440" w:gutter="0" w:footer="0" w:header="0"/>
        </w:sectPr>
      </w:pPr>
    </w:p>
    <w:bookmarkStart w:id="3" w:name="page4"/>
    <w:bookmarkEnd w:id="3"/>
    <w:p>
      <w:pPr>
        <w:jc w:val="both"/>
        <w:ind w:firstLine="295"/>
        <w:spacing w:after="0" w:line="296" w:lineRule="auto"/>
        <w:rPr>
          <w:sz w:val="20"/>
          <w:szCs w:val="20"/>
          <w:color w:val="auto"/>
        </w:rPr>
      </w:pPr>
      <w:r>
        <w:rPr>
          <w:rFonts w:ascii="Arial" w:cs="Arial" w:eastAsia="Arial" w:hAnsi="Arial"/>
          <w:sz w:val="16"/>
          <w:szCs w:val="16"/>
          <w:color w:val="auto"/>
        </w:rPr>
        <w:t>The securities may be sold directly by us to investors, through agents designated from time to time or to or through underwriters or dealers, on a continuous or delayed basis. The supplements to this prospectus will provide the specific terms of the plan of distribution. If any agents or underwriters are involved in the sale of any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168" w:lineRule="exact"/>
        <w:rPr>
          <w:sz w:val="20"/>
          <w:szCs w:val="20"/>
          <w:color w:val="auto"/>
        </w:rPr>
      </w:pPr>
    </w:p>
    <w:p>
      <w:pPr>
        <w:jc w:val="both"/>
        <w:ind w:firstLine="295"/>
        <w:spacing w:after="0" w:line="319" w:lineRule="auto"/>
        <w:rPr>
          <w:sz w:val="20"/>
          <w:szCs w:val="20"/>
          <w:color w:val="auto"/>
        </w:rPr>
      </w:pPr>
      <w:r>
        <w:rPr>
          <w:rFonts w:ascii="Arial" w:cs="Arial" w:eastAsia="Arial" w:hAnsi="Arial"/>
          <w:sz w:val="16"/>
          <w:szCs w:val="16"/>
          <w:b w:val="1"/>
          <w:bCs w:val="1"/>
          <w:i w:val="1"/>
          <w:iCs w:val="1"/>
          <w:color w:val="auto"/>
        </w:rPr>
        <w:t>We are an emerging growth company as that term is used in the Jumpstart Our Business Startups Act of 2012 and, as such, we have elected to take advantage of certain reduced public company reporting requirements for this prospectus and future filings.</w:t>
      </w:r>
    </w:p>
    <w:p>
      <w:pPr>
        <w:spacing w:after="0" w:line="146" w:lineRule="exact"/>
        <w:rPr>
          <w:sz w:val="20"/>
          <w:szCs w:val="20"/>
          <w:color w:val="auto"/>
        </w:rPr>
      </w:pPr>
    </w:p>
    <w:p>
      <w:pPr>
        <w:jc w:val="both"/>
        <w:ind w:firstLine="295"/>
        <w:spacing w:after="0" w:line="325"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240665</wp:posOffset>
            </wp:positionV>
            <wp:extent cx="202946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9460" cy="1587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4260" w:type="dxa"/>
        <w:tblCellMar>
          <w:top w:w="0" w:type="dxa"/>
          <w:left w:w="0" w:type="dxa"/>
          <w:bottom w:w="0" w:type="dxa"/>
          <w:right w:w="0" w:type="dxa"/>
        </w:tblCellMar>
      </w:tblPr>
      <w:tr>
        <w:trPr>
          <w:trHeight w:val="208"/>
        </w:trPr>
        <w:tc>
          <w:tcPr>
            <w:tcW w:w="2180" w:type="dxa"/>
            <w:vAlign w:val="bottom"/>
          </w:tcPr>
          <w:p>
            <w:pPr>
              <w:spacing w:after="0"/>
              <w:rPr>
                <w:sz w:val="20"/>
                <w:szCs w:val="20"/>
                <w:color w:val="auto"/>
              </w:rPr>
            </w:pPr>
            <w:r>
              <w:rPr>
                <w:rFonts w:ascii="Arial" w:cs="Arial" w:eastAsia="Arial" w:hAnsi="Arial"/>
                <w:sz w:val="16"/>
                <w:szCs w:val="16"/>
                <w:color w:val="auto"/>
              </w:rPr>
              <w:t>The date of this prospectus is</w:t>
            </w:r>
          </w:p>
        </w:tc>
        <w:tc>
          <w:tcPr>
            <w:tcW w:w="720" w:type="dxa"/>
            <w:vAlign w:val="bottom"/>
          </w:tcPr>
          <w:p>
            <w:pPr>
              <w:jc w:val="right"/>
              <w:spacing w:after="0"/>
              <w:rPr>
                <w:sz w:val="20"/>
                <w:szCs w:val="20"/>
                <w:color w:val="auto"/>
              </w:rPr>
            </w:pPr>
            <w:r>
              <w:rPr>
                <w:rFonts w:ascii="Arial" w:cs="Arial" w:eastAsia="Arial" w:hAnsi="Arial"/>
                <w:sz w:val="16"/>
                <w:szCs w:val="16"/>
                <w:color w:val="auto"/>
              </w:rPr>
              <w:t>, 2019.</w:t>
            </w:r>
          </w:p>
        </w:tc>
      </w:tr>
    </w:tbl>
    <w:p>
      <w:pPr>
        <w:sectPr>
          <w:pgSz w:w="11900" w:h="16838" w:orient="portrait"/>
          <w:cols w:equalWidth="0" w:num="1">
            <w:col w:w="11420"/>
          </w:cols>
          <w:pgMar w:left="240" w:top="742"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6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3"/>
              </w:rPr>
              <w:t>Page</w:t>
            </w:r>
          </w:p>
        </w:tc>
      </w:tr>
      <w:tr>
        <w:trPr>
          <w:trHeight w:val="182"/>
        </w:trPr>
        <w:tc>
          <w:tcPr>
            <w:tcW w:w="9640" w:type="dxa"/>
            <w:vAlign w:val="bottom"/>
            <w:gridSpan w:val="13"/>
          </w:tcPr>
          <w:p>
            <w:pPr>
              <w:spacing w:after="0" w:line="182" w:lineRule="exact"/>
              <w:rPr>
                <w:rFonts w:ascii="Arial" w:cs="Arial" w:eastAsia="Arial" w:hAnsi="Arial"/>
                <w:sz w:val="16"/>
                <w:szCs w:val="16"/>
                <w:color w:val="0000EE"/>
              </w:rPr>
            </w:pPr>
            <w:hyperlink w:anchor="page6">
              <w:r>
                <w:rPr>
                  <w:rFonts w:ascii="Arial" w:cs="Arial" w:eastAsia="Arial" w:hAnsi="Arial"/>
                  <w:sz w:val="16"/>
                  <w:szCs w:val="16"/>
                  <w:color w:val="0000EE"/>
                </w:rPr>
                <w:t>ABOUT THIS PROSPECTUS</w:t>
              </w:r>
            </w:hyperlink>
          </w:p>
        </w:tc>
        <w:tc>
          <w:tcPr>
            <w:tcW w:w="280" w:type="dxa"/>
            <w:vAlign w:val="bottom"/>
          </w:tcPr>
          <w:p>
            <w:pPr>
              <w:spacing w:after="0"/>
              <w:rPr>
                <w:sz w:val="15"/>
                <w:szCs w:val="15"/>
                <w:color w:val="auto"/>
              </w:rPr>
            </w:pPr>
          </w:p>
        </w:tc>
        <w:tc>
          <w:tcPr>
            <w:tcW w:w="340" w:type="dxa"/>
            <w:vAlign w:val="bottom"/>
            <w:gridSpan w:val="3"/>
          </w:tcPr>
          <w:p>
            <w:pPr>
              <w:jc w:val="center"/>
              <w:ind w:right="260"/>
              <w:spacing w:after="0" w:line="182" w:lineRule="exact"/>
              <w:rPr>
                <w:rFonts w:ascii="Arial" w:cs="Arial" w:eastAsia="Arial" w:hAnsi="Arial"/>
                <w:sz w:val="16"/>
                <w:szCs w:val="16"/>
                <w:color w:val="0000EE"/>
              </w:rPr>
            </w:pPr>
            <w:hyperlink w:anchor="page6">
              <w:r>
                <w:rPr>
                  <w:rFonts w:ascii="Arial" w:cs="Arial" w:eastAsia="Arial" w:hAnsi="Arial"/>
                  <w:sz w:val="16"/>
                  <w:szCs w:val="16"/>
                  <w:color w:val="0000EE"/>
                </w:rPr>
                <w:t>ii</w:t>
              </w:r>
            </w:hyperlink>
          </w:p>
        </w:tc>
      </w:tr>
      <w:tr>
        <w:trPr>
          <w:trHeight w:val="226"/>
        </w:trPr>
        <w:tc>
          <w:tcPr>
            <w:tcW w:w="1900" w:type="dxa"/>
            <w:vAlign w:val="bottom"/>
            <w:tcBorders>
              <w:top w:val="single" w:sz="8" w:color="0000EE"/>
            </w:tcBorders>
            <w:gridSpan w:val="5"/>
          </w:tcPr>
          <w:p>
            <w:pPr>
              <w:spacing w:after="0"/>
              <w:rPr>
                <w:rFonts w:ascii="Arial" w:cs="Arial" w:eastAsia="Arial" w:hAnsi="Arial"/>
                <w:sz w:val="16"/>
                <w:szCs w:val="16"/>
                <w:color w:val="0000EE"/>
                <w:w w:val="94"/>
              </w:rPr>
            </w:pPr>
            <w:hyperlink w:anchor="page7">
              <w:r>
                <w:rPr>
                  <w:rFonts w:ascii="Arial" w:cs="Arial" w:eastAsia="Arial" w:hAnsi="Arial"/>
                  <w:sz w:val="16"/>
                  <w:szCs w:val="16"/>
                  <w:color w:val="0000EE"/>
                  <w:w w:val="94"/>
                </w:rPr>
                <w:t>PROSPECTUS SUMMARY</w:t>
              </w:r>
            </w:hyperlink>
          </w:p>
        </w:tc>
        <w:tc>
          <w:tcPr>
            <w:tcW w:w="120" w:type="dxa"/>
            <w:vAlign w:val="bottom"/>
            <w:tcBorders>
              <w:top w:val="single" w:sz="8" w:color="0000EE"/>
            </w:tcBorders>
          </w:tcPr>
          <w:p>
            <w:pPr>
              <w:spacing w:after="0"/>
              <w:rPr>
                <w:sz w:val="19"/>
                <w:szCs w:val="19"/>
                <w:color w:val="auto"/>
              </w:rPr>
            </w:pPr>
          </w:p>
        </w:tc>
        <w:tc>
          <w:tcPr>
            <w:tcW w:w="7620" w:type="dxa"/>
            <w:vAlign w:val="bottom"/>
            <w:gridSpan w:val="7"/>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0000EE"/>
            </w:tcBorders>
            <w:gridSpan w:val="2"/>
          </w:tcPr>
          <w:p>
            <w:pPr>
              <w:jc w:val="center"/>
              <w:ind w:right="40"/>
              <w:spacing w:after="0"/>
              <w:rPr>
                <w:rFonts w:ascii="Arial" w:cs="Arial" w:eastAsia="Arial" w:hAnsi="Arial"/>
                <w:sz w:val="16"/>
                <w:szCs w:val="16"/>
                <w:color w:val="0000EE"/>
                <w:w w:val="89"/>
              </w:rPr>
            </w:pPr>
            <w:hyperlink w:anchor="page7">
              <w:r>
                <w:rPr>
                  <w:rFonts w:ascii="Arial" w:cs="Arial" w:eastAsia="Arial" w:hAnsi="Arial"/>
                  <w:sz w:val="16"/>
                  <w:szCs w:val="16"/>
                  <w:color w:val="0000EE"/>
                  <w:w w:val="89"/>
                </w:rPr>
                <w:t>1</w:t>
              </w:r>
            </w:hyperlink>
          </w:p>
        </w:tc>
        <w:tc>
          <w:tcPr>
            <w:tcW w:w="220" w:type="dxa"/>
            <w:vAlign w:val="bottom"/>
          </w:tcPr>
          <w:p>
            <w:pPr>
              <w:spacing w:after="0"/>
              <w:rPr>
                <w:sz w:val="19"/>
                <w:szCs w:val="19"/>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6"/>
        </w:trPr>
        <w:tc>
          <w:tcPr>
            <w:tcW w:w="1140" w:type="dxa"/>
            <w:vAlign w:val="bottom"/>
            <w:gridSpan w:val="2"/>
          </w:tcPr>
          <w:p>
            <w:pPr>
              <w:spacing w:after="0"/>
              <w:rPr>
                <w:rFonts w:ascii="Arial" w:cs="Arial" w:eastAsia="Arial" w:hAnsi="Arial"/>
                <w:sz w:val="16"/>
                <w:szCs w:val="16"/>
                <w:color w:val="0000EE"/>
                <w:w w:val="94"/>
              </w:rPr>
            </w:pPr>
            <w:hyperlink w:anchor="page11">
              <w:r>
                <w:rPr>
                  <w:rFonts w:ascii="Arial" w:cs="Arial" w:eastAsia="Arial" w:hAnsi="Arial"/>
                  <w:sz w:val="16"/>
                  <w:szCs w:val="16"/>
                  <w:color w:val="0000EE"/>
                  <w:w w:val="94"/>
                </w:rPr>
                <w:t>RISK FACTORS</w:t>
              </w:r>
            </w:hyperlink>
          </w:p>
        </w:tc>
        <w:tc>
          <w:tcPr>
            <w:tcW w:w="760" w:type="dxa"/>
            <w:vAlign w:val="bottom"/>
            <w:gridSpan w:val="3"/>
          </w:tcPr>
          <w:p>
            <w:pPr>
              <w:spacing w:after="0"/>
              <w:rPr>
                <w:sz w:val="19"/>
                <w:szCs w:val="19"/>
                <w:color w:val="auto"/>
              </w:rPr>
            </w:pPr>
          </w:p>
        </w:tc>
        <w:tc>
          <w:tcPr>
            <w:tcW w:w="7740" w:type="dxa"/>
            <w:vAlign w:val="bottom"/>
            <w:gridSpan w:val="8"/>
          </w:tcPr>
          <w:p>
            <w:pPr>
              <w:spacing w:after="0"/>
              <w:rPr>
                <w:sz w:val="19"/>
                <w:szCs w:val="19"/>
                <w:color w:val="auto"/>
              </w:rPr>
            </w:pPr>
          </w:p>
        </w:tc>
        <w:tc>
          <w:tcPr>
            <w:tcW w:w="400" w:type="dxa"/>
            <w:vAlign w:val="bottom"/>
            <w:gridSpan w:val="3"/>
          </w:tcPr>
          <w:p>
            <w:pPr>
              <w:jc w:val="center"/>
              <w:ind w:left="140"/>
              <w:spacing w:after="0"/>
              <w:rPr>
                <w:rFonts w:ascii="Arial" w:cs="Arial" w:eastAsia="Arial" w:hAnsi="Arial"/>
                <w:sz w:val="16"/>
                <w:szCs w:val="16"/>
                <w:color w:val="0000EE"/>
              </w:rPr>
            </w:pPr>
            <w:hyperlink w:anchor="page11">
              <w:r>
                <w:rPr>
                  <w:rFonts w:ascii="Arial" w:cs="Arial" w:eastAsia="Arial" w:hAnsi="Arial"/>
                  <w:sz w:val="16"/>
                  <w:szCs w:val="16"/>
                  <w:color w:val="0000EE"/>
                </w:rPr>
                <w:t>5</w:t>
              </w:r>
            </w:hyperlink>
          </w:p>
        </w:tc>
        <w:tc>
          <w:tcPr>
            <w:tcW w:w="220" w:type="dxa"/>
            <w:vAlign w:val="bottom"/>
          </w:tcPr>
          <w:p>
            <w:pPr>
              <w:spacing w:after="0"/>
              <w:rPr>
                <w:sz w:val="19"/>
                <w:szCs w:val="19"/>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6"/>
        </w:trPr>
        <w:tc>
          <w:tcPr>
            <w:tcW w:w="4860" w:type="dxa"/>
            <w:vAlign w:val="bottom"/>
            <w:gridSpan w:val="12"/>
          </w:tcPr>
          <w:p>
            <w:pPr>
              <w:spacing w:after="0"/>
              <w:rPr>
                <w:rFonts w:ascii="Arial" w:cs="Arial" w:eastAsia="Arial" w:hAnsi="Arial"/>
                <w:sz w:val="16"/>
                <w:szCs w:val="16"/>
                <w:color w:val="0000EE"/>
                <w:w w:val="97"/>
              </w:rPr>
            </w:pPr>
            <w:hyperlink w:anchor="page11">
              <w:r>
                <w:rPr>
                  <w:rFonts w:ascii="Arial" w:cs="Arial" w:eastAsia="Arial" w:hAnsi="Arial"/>
                  <w:sz w:val="16"/>
                  <w:szCs w:val="16"/>
                  <w:color w:val="0000EE"/>
                  <w:w w:val="97"/>
                </w:rPr>
                <w:t>SPECIAL NOTE REGARDING FORWARD-LOOKING STATEMENTS</w:t>
              </w:r>
            </w:hyperlink>
          </w:p>
        </w:tc>
        <w:tc>
          <w:tcPr>
            <w:tcW w:w="4780" w:type="dxa"/>
            <w:vAlign w:val="bottom"/>
          </w:tcPr>
          <w:p>
            <w:pPr>
              <w:spacing w:after="0"/>
              <w:rPr>
                <w:sz w:val="19"/>
                <w:szCs w:val="19"/>
                <w:color w:val="auto"/>
              </w:rPr>
            </w:pPr>
          </w:p>
        </w:tc>
        <w:tc>
          <w:tcPr>
            <w:tcW w:w="400" w:type="dxa"/>
            <w:vAlign w:val="bottom"/>
            <w:gridSpan w:val="3"/>
          </w:tcPr>
          <w:p>
            <w:pPr>
              <w:jc w:val="center"/>
              <w:ind w:left="140"/>
              <w:spacing w:after="0"/>
              <w:rPr>
                <w:rFonts w:ascii="Arial" w:cs="Arial" w:eastAsia="Arial" w:hAnsi="Arial"/>
                <w:sz w:val="16"/>
                <w:szCs w:val="16"/>
                <w:color w:val="0000EE"/>
              </w:rPr>
            </w:pPr>
            <w:hyperlink w:anchor="page11">
              <w:r>
                <w:rPr>
                  <w:rFonts w:ascii="Arial" w:cs="Arial" w:eastAsia="Arial" w:hAnsi="Arial"/>
                  <w:sz w:val="16"/>
                  <w:szCs w:val="16"/>
                  <w:color w:val="0000EE"/>
                </w:rPr>
                <w:t>5</w:t>
              </w:r>
            </w:hyperlink>
          </w:p>
        </w:tc>
        <w:tc>
          <w:tcPr>
            <w:tcW w:w="220" w:type="dxa"/>
            <w:vAlign w:val="bottom"/>
          </w:tcPr>
          <w:p>
            <w:pPr>
              <w:spacing w:after="0"/>
              <w:rPr>
                <w:sz w:val="19"/>
                <w:szCs w:val="19"/>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6"/>
        </w:trPr>
        <w:tc>
          <w:tcPr>
            <w:tcW w:w="1440" w:type="dxa"/>
            <w:vAlign w:val="bottom"/>
            <w:gridSpan w:val="4"/>
          </w:tcPr>
          <w:p>
            <w:pPr>
              <w:spacing w:after="0"/>
              <w:rPr>
                <w:rFonts w:ascii="Arial" w:cs="Arial" w:eastAsia="Arial" w:hAnsi="Arial"/>
                <w:sz w:val="16"/>
                <w:szCs w:val="16"/>
                <w:color w:val="0000EE"/>
                <w:w w:val="92"/>
              </w:rPr>
            </w:pPr>
            <w:hyperlink w:anchor="page12">
              <w:r>
                <w:rPr>
                  <w:rFonts w:ascii="Arial" w:cs="Arial" w:eastAsia="Arial" w:hAnsi="Arial"/>
                  <w:sz w:val="16"/>
                  <w:szCs w:val="16"/>
                  <w:color w:val="0000EE"/>
                  <w:w w:val="92"/>
                </w:rPr>
                <w:t>USE OF PROCEEDS</w:t>
              </w:r>
            </w:hyperlink>
          </w:p>
        </w:tc>
        <w:tc>
          <w:tcPr>
            <w:tcW w:w="3420" w:type="dxa"/>
            <w:vAlign w:val="bottom"/>
            <w:gridSpan w:val="8"/>
          </w:tcPr>
          <w:p>
            <w:pPr>
              <w:spacing w:after="0"/>
              <w:rPr>
                <w:sz w:val="19"/>
                <w:szCs w:val="19"/>
                <w:color w:val="auto"/>
              </w:rPr>
            </w:pPr>
          </w:p>
        </w:tc>
        <w:tc>
          <w:tcPr>
            <w:tcW w:w="4780" w:type="dxa"/>
            <w:vAlign w:val="bottom"/>
          </w:tcPr>
          <w:p>
            <w:pPr>
              <w:spacing w:after="0"/>
              <w:rPr>
                <w:sz w:val="19"/>
                <w:szCs w:val="19"/>
                <w:color w:val="auto"/>
              </w:rPr>
            </w:pPr>
          </w:p>
        </w:tc>
        <w:tc>
          <w:tcPr>
            <w:tcW w:w="400" w:type="dxa"/>
            <w:vAlign w:val="bottom"/>
            <w:gridSpan w:val="3"/>
          </w:tcPr>
          <w:p>
            <w:pPr>
              <w:jc w:val="center"/>
              <w:ind w:left="140"/>
              <w:spacing w:after="0"/>
              <w:rPr>
                <w:rFonts w:ascii="Arial" w:cs="Arial" w:eastAsia="Arial" w:hAnsi="Arial"/>
                <w:sz w:val="16"/>
                <w:szCs w:val="16"/>
                <w:color w:val="0000EE"/>
              </w:rPr>
            </w:pPr>
            <w:hyperlink w:anchor="page12">
              <w:r>
                <w:rPr>
                  <w:rFonts w:ascii="Arial" w:cs="Arial" w:eastAsia="Arial" w:hAnsi="Arial"/>
                  <w:sz w:val="16"/>
                  <w:szCs w:val="16"/>
                  <w:color w:val="0000EE"/>
                </w:rPr>
                <w:t>6</w:t>
              </w:r>
            </w:hyperlink>
          </w:p>
        </w:tc>
        <w:tc>
          <w:tcPr>
            <w:tcW w:w="220" w:type="dxa"/>
            <w:vAlign w:val="bottom"/>
          </w:tcPr>
          <w:p>
            <w:pPr>
              <w:spacing w:after="0"/>
              <w:rPr>
                <w:sz w:val="19"/>
                <w:szCs w:val="19"/>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6"/>
        </w:trPr>
        <w:tc>
          <w:tcPr>
            <w:tcW w:w="9640" w:type="dxa"/>
            <w:vAlign w:val="bottom"/>
            <w:gridSpan w:val="13"/>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DESCRIPTION OF CAPITAL STOCK</w:t>
              </w:r>
            </w:hyperlink>
          </w:p>
        </w:tc>
        <w:tc>
          <w:tcPr>
            <w:tcW w:w="400" w:type="dxa"/>
            <w:vAlign w:val="bottom"/>
            <w:gridSpan w:val="3"/>
          </w:tcPr>
          <w:p>
            <w:pPr>
              <w:jc w:val="center"/>
              <w:ind w:left="140"/>
              <w:spacing w:after="0"/>
              <w:rPr>
                <w:rFonts w:ascii="Arial" w:cs="Arial" w:eastAsia="Arial" w:hAnsi="Arial"/>
                <w:sz w:val="16"/>
                <w:szCs w:val="16"/>
                <w:color w:val="0000EE"/>
              </w:rPr>
            </w:pPr>
            <w:hyperlink w:anchor="page12">
              <w:r>
                <w:rPr>
                  <w:rFonts w:ascii="Arial" w:cs="Arial" w:eastAsia="Arial" w:hAnsi="Arial"/>
                  <w:sz w:val="16"/>
                  <w:szCs w:val="16"/>
                  <w:color w:val="0000EE"/>
                </w:rPr>
                <w:t>6</w:t>
              </w:r>
            </w:hyperlink>
          </w:p>
        </w:tc>
        <w:tc>
          <w:tcPr>
            <w:tcW w:w="220" w:type="dxa"/>
            <w:vAlign w:val="bottom"/>
          </w:tcPr>
          <w:p>
            <w:pPr>
              <w:spacing w:after="0"/>
              <w:rPr>
                <w:sz w:val="19"/>
                <w:szCs w:val="19"/>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6"/>
        </w:trPr>
        <w:tc>
          <w:tcPr>
            <w:tcW w:w="2760" w:type="dxa"/>
            <w:vAlign w:val="bottom"/>
            <w:gridSpan w:val="9"/>
          </w:tcPr>
          <w:p>
            <w:pPr>
              <w:spacing w:after="0"/>
              <w:rPr>
                <w:rFonts w:ascii="Arial" w:cs="Arial" w:eastAsia="Arial" w:hAnsi="Arial"/>
                <w:sz w:val="16"/>
                <w:szCs w:val="16"/>
                <w:color w:val="0000EE"/>
                <w:w w:val="95"/>
              </w:rPr>
            </w:pPr>
            <w:hyperlink w:anchor="page15">
              <w:r>
                <w:rPr>
                  <w:rFonts w:ascii="Arial" w:cs="Arial" w:eastAsia="Arial" w:hAnsi="Arial"/>
                  <w:sz w:val="16"/>
                  <w:szCs w:val="16"/>
                  <w:color w:val="0000EE"/>
                  <w:w w:val="95"/>
                </w:rPr>
                <w:t>DESCRIPTION OF DEBT SECURITIES</w:t>
              </w:r>
            </w:hyperlink>
          </w:p>
        </w:tc>
        <w:tc>
          <w:tcPr>
            <w:tcW w:w="6880" w:type="dxa"/>
            <w:vAlign w:val="bottom"/>
            <w:gridSpan w:val="4"/>
          </w:tcPr>
          <w:p>
            <w:pPr>
              <w:spacing w:after="0"/>
              <w:rPr>
                <w:sz w:val="19"/>
                <w:szCs w:val="19"/>
                <w:color w:val="auto"/>
              </w:rPr>
            </w:pPr>
          </w:p>
        </w:tc>
        <w:tc>
          <w:tcPr>
            <w:tcW w:w="400" w:type="dxa"/>
            <w:vAlign w:val="bottom"/>
            <w:gridSpan w:val="3"/>
          </w:tcPr>
          <w:p>
            <w:pPr>
              <w:jc w:val="center"/>
              <w:ind w:left="140"/>
              <w:spacing w:after="0"/>
              <w:rPr>
                <w:rFonts w:ascii="Arial" w:cs="Arial" w:eastAsia="Arial" w:hAnsi="Arial"/>
                <w:sz w:val="16"/>
                <w:szCs w:val="16"/>
                <w:color w:val="0000EE"/>
              </w:rPr>
            </w:pPr>
            <w:hyperlink w:anchor="page15">
              <w:r>
                <w:rPr>
                  <w:rFonts w:ascii="Arial" w:cs="Arial" w:eastAsia="Arial" w:hAnsi="Arial"/>
                  <w:sz w:val="16"/>
                  <w:szCs w:val="16"/>
                  <w:color w:val="0000EE"/>
                </w:rPr>
                <w:t>9</w:t>
              </w:r>
            </w:hyperlink>
          </w:p>
        </w:tc>
        <w:tc>
          <w:tcPr>
            <w:tcW w:w="220" w:type="dxa"/>
            <w:vAlign w:val="bottom"/>
          </w:tcPr>
          <w:p>
            <w:pPr>
              <w:spacing w:after="0"/>
              <w:rPr>
                <w:sz w:val="19"/>
                <w:szCs w:val="19"/>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6"/>
        </w:trPr>
        <w:tc>
          <w:tcPr>
            <w:tcW w:w="2260" w:type="dxa"/>
            <w:vAlign w:val="bottom"/>
            <w:tcBorders>
              <w:bottom w:val="single" w:sz="8" w:color="0000EE"/>
            </w:tcBorders>
            <w:gridSpan w:val="7"/>
          </w:tcPr>
          <w:p>
            <w:pPr>
              <w:spacing w:after="0"/>
              <w:rPr>
                <w:rFonts w:ascii="Arial" w:cs="Arial" w:eastAsia="Arial" w:hAnsi="Arial"/>
                <w:sz w:val="16"/>
                <w:szCs w:val="16"/>
                <w:color w:val="0000EE"/>
                <w:w w:val="96"/>
              </w:rPr>
            </w:pPr>
            <w:hyperlink w:anchor="page21">
              <w:r>
                <w:rPr>
                  <w:rFonts w:ascii="Arial" w:cs="Arial" w:eastAsia="Arial" w:hAnsi="Arial"/>
                  <w:sz w:val="16"/>
                  <w:szCs w:val="16"/>
                  <w:color w:val="0000EE"/>
                  <w:w w:val="96"/>
                </w:rPr>
                <w:t>DESCRIPTION OF WARRANTS</w:t>
              </w:r>
            </w:hyperlink>
          </w:p>
        </w:tc>
        <w:tc>
          <w:tcPr>
            <w:tcW w:w="500" w:type="dxa"/>
            <w:vAlign w:val="bottom"/>
            <w:gridSpan w:val="2"/>
          </w:tcPr>
          <w:p>
            <w:pPr>
              <w:spacing w:after="0"/>
              <w:rPr>
                <w:sz w:val="19"/>
                <w:szCs w:val="19"/>
                <w:color w:val="auto"/>
              </w:rPr>
            </w:pPr>
          </w:p>
        </w:tc>
        <w:tc>
          <w:tcPr>
            <w:tcW w:w="6880" w:type="dxa"/>
            <w:vAlign w:val="bottom"/>
            <w:gridSpan w:val="4"/>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1">
              <w:r>
                <w:rPr>
                  <w:rFonts w:ascii="Arial" w:cs="Arial" w:eastAsia="Arial" w:hAnsi="Arial"/>
                  <w:sz w:val="15"/>
                  <w:szCs w:val="15"/>
                  <w:color w:val="0000EE"/>
                  <w:w w:val="71"/>
                </w:rPr>
                <w:t>15</w:t>
              </w:r>
            </w:hyperlink>
          </w:p>
        </w:tc>
        <w:tc>
          <w:tcPr>
            <w:tcW w:w="220" w:type="dxa"/>
            <w:vAlign w:val="bottom"/>
          </w:tcPr>
          <w:p>
            <w:pPr>
              <w:spacing w:after="0"/>
              <w:rPr>
                <w:sz w:val="19"/>
                <w:szCs w:val="19"/>
                <w:color w:val="auto"/>
              </w:rPr>
            </w:pPr>
          </w:p>
        </w:tc>
      </w:tr>
      <w:tr>
        <w:trPr>
          <w:trHeight w:val="226"/>
        </w:trPr>
        <w:tc>
          <w:tcPr>
            <w:tcW w:w="9640" w:type="dxa"/>
            <w:vAlign w:val="bottom"/>
            <w:gridSpan w:val="13"/>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LEGAL OWNERSHIP OF SECURITIES</w:t>
              </w:r>
            </w:hyperlink>
          </w:p>
        </w:tc>
        <w:tc>
          <w:tcPr>
            <w:tcW w:w="400" w:type="dxa"/>
            <w:vAlign w:val="bottom"/>
            <w:gridSpan w:val="3"/>
          </w:tcPr>
          <w:p>
            <w:pPr>
              <w:jc w:val="center"/>
              <w:ind w:left="140"/>
              <w:spacing w:after="0"/>
              <w:rPr>
                <w:rFonts w:ascii="Arial" w:cs="Arial" w:eastAsia="Arial" w:hAnsi="Arial"/>
                <w:sz w:val="16"/>
                <w:szCs w:val="16"/>
                <w:color w:val="0000EE"/>
              </w:rPr>
            </w:pPr>
            <w:hyperlink w:anchor="page22">
              <w:r>
                <w:rPr>
                  <w:rFonts w:ascii="Arial" w:cs="Arial" w:eastAsia="Arial" w:hAnsi="Arial"/>
                  <w:sz w:val="16"/>
                  <w:szCs w:val="16"/>
                  <w:color w:val="0000EE"/>
                </w:rPr>
                <w:t>16</w:t>
              </w:r>
            </w:hyperlink>
          </w:p>
        </w:tc>
        <w:tc>
          <w:tcPr>
            <w:tcW w:w="220" w:type="dxa"/>
            <w:vAlign w:val="bottom"/>
          </w:tcPr>
          <w:p>
            <w:pPr>
              <w:spacing w:after="0"/>
              <w:rPr>
                <w:sz w:val="19"/>
                <w:szCs w:val="19"/>
                <w:color w:val="auto"/>
              </w:rPr>
            </w:pPr>
          </w:p>
        </w:tc>
      </w:tr>
      <w:tr>
        <w:trPr>
          <w:trHeight w:val="226"/>
        </w:trPr>
        <w:tc>
          <w:tcPr>
            <w:tcW w:w="2760" w:type="dxa"/>
            <w:vAlign w:val="bottom"/>
            <w:tcBorders>
              <w:top w:val="single" w:sz="8" w:color="0000EE"/>
            </w:tcBorders>
            <w:gridSpan w:val="9"/>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PLAN OF DISTRIBUTION</w:t>
              </w:r>
            </w:hyperlink>
          </w:p>
        </w:tc>
        <w:tc>
          <w:tcPr>
            <w:tcW w:w="6880" w:type="dxa"/>
            <w:vAlign w:val="bottom"/>
            <w:gridSpan w:val="4"/>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25">
              <w:r>
                <w:rPr>
                  <w:rFonts w:ascii="Arial" w:cs="Arial" w:eastAsia="Arial" w:hAnsi="Arial"/>
                  <w:sz w:val="15"/>
                  <w:szCs w:val="15"/>
                  <w:color w:val="0000EE"/>
                  <w:w w:val="71"/>
                </w:rPr>
                <w:t>19</w:t>
              </w:r>
            </w:hyperlink>
          </w:p>
        </w:tc>
        <w:tc>
          <w:tcPr>
            <w:tcW w:w="220" w:type="dxa"/>
            <w:vAlign w:val="bottom"/>
          </w:tcPr>
          <w:p>
            <w:pPr>
              <w:spacing w:after="0"/>
              <w:rPr>
                <w:sz w:val="19"/>
                <w:szCs w:val="19"/>
                <w:color w:val="auto"/>
              </w:rPr>
            </w:pPr>
          </w:p>
        </w:tc>
      </w:tr>
      <w:tr>
        <w:trPr>
          <w:trHeight w:val="226"/>
        </w:trPr>
        <w:tc>
          <w:tcPr>
            <w:tcW w:w="132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8"/>
              </w:rPr>
            </w:pPr>
            <w:hyperlink w:anchor="page26">
              <w:r>
                <w:rPr>
                  <w:rFonts w:ascii="Arial" w:cs="Arial" w:eastAsia="Arial" w:hAnsi="Arial"/>
                  <w:sz w:val="16"/>
                  <w:szCs w:val="16"/>
                  <w:color w:val="0000EE"/>
                  <w:w w:val="98"/>
                </w:rPr>
                <w:t>LEGAL MATTERS</w:t>
              </w:r>
            </w:hyperlink>
          </w:p>
        </w:tc>
        <w:tc>
          <w:tcPr>
            <w:tcW w:w="580" w:type="dxa"/>
            <w:vAlign w:val="bottom"/>
            <w:tcBorders>
              <w:top w:val="single" w:sz="8" w:color="0000EE"/>
            </w:tcBorders>
            <w:gridSpan w:val="2"/>
          </w:tcPr>
          <w:p>
            <w:pPr>
              <w:spacing w:after="0"/>
              <w:rPr>
                <w:sz w:val="19"/>
                <w:szCs w:val="19"/>
                <w:color w:val="auto"/>
              </w:rPr>
            </w:pPr>
          </w:p>
        </w:tc>
        <w:tc>
          <w:tcPr>
            <w:tcW w:w="7740" w:type="dxa"/>
            <w:vAlign w:val="bottom"/>
            <w:gridSpan w:val="8"/>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0000EE"/>
              <w:bottom w:val="single" w:sz="8" w:color="0000EE"/>
            </w:tcBorders>
            <w:gridSpan w:val="2"/>
          </w:tcPr>
          <w:p>
            <w:pPr>
              <w:jc w:val="center"/>
              <w:spacing w:after="0"/>
              <w:rPr>
                <w:rFonts w:ascii="Arial" w:cs="Arial" w:eastAsia="Arial" w:hAnsi="Arial"/>
                <w:sz w:val="15"/>
                <w:szCs w:val="15"/>
                <w:color w:val="0000EE"/>
                <w:w w:val="71"/>
              </w:rPr>
            </w:pPr>
            <w:hyperlink w:anchor="page26">
              <w:r>
                <w:rPr>
                  <w:rFonts w:ascii="Arial" w:cs="Arial" w:eastAsia="Arial" w:hAnsi="Arial"/>
                  <w:sz w:val="15"/>
                  <w:szCs w:val="15"/>
                  <w:color w:val="0000EE"/>
                  <w:w w:val="71"/>
                </w:rPr>
                <w:t>20</w:t>
              </w:r>
            </w:hyperlink>
          </w:p>
        </w:tc>
        <w:tc>
          <w:tcPr>
            <w:tcW w:w="220" w:type="dxa"/>
            <w:vAlign w:val="bottom"/>
          </w:tcPr>
          <w:p>
            <w:pPr>
              <w:spacing w:after="0"/>
              <w:rPr>
                <w:sz w:val="19"/>
                <w:szCs w:val="19"/>
                <w:color w:val="auto"/>
              </w:rPr>
            </w:pPr>
          </w:p>
        </w:tc>
      </w:tr>
      <w:tr>
        <w:trPr>
          <w:trHeight w:val="226"/>
        </w:trPr>
        <w:tc>
          <w:tcPr>
            <w:tcW w:w="700" w:type="dxa"/>
            <w:vAlign w:val="bottom"/>
            <w:tcBorders>
              <w:bottom w:val="single" w:sz="8" w:color="0000EE"/>
            </w:tcBorders>
          </w:tcPr>
          <w:p>
            <w:pPr>
              <w:spacing w:after="0"/>
              <w:rPr>
                <w:rFonts w:ascii="Arial" w:cs="Arial" w:eastAsia="Arial" w:hAnsi="Arial"/>
                <w:sz w:val="16"/>
                <w:szCs w:val="16"/>
                <w:color w:val="0000EE"/>
                <w:w w:val="90"/>
              </w:rPr>
            </w:pPr>
            <w:hyperlink w:anchor="page27">
              <w:r>
                <w:rPr>
                  <w:rFonts w:ascii="Arial" w:cs="Arial" w:eastAsia="Arial" w:hAnsi="Arial"/>
                  <w:sz w:val="16"/>
                  <w:szCs w:val="16"/>
                  <w:color w:val="0000EE"/>
                  <w:w w:val="90"/>
                </w:rPr>
                <w:t>EXPERTS</w:t>
              </w:r>
            </w:hyperlink>
          </w:p>
        </w:tc>
        <w:tc>
          <w:tcPr>
            <w:tcW w:w="8940" w:type="dxa"/>
            <w:vAlign w:val="bottom"/>
            <w:gridSpan w:val="12"/>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7">
              <w:r>
                <w:rPr>
                  <w:rFonts w:ascii="Arial" w:cs="Arial" w:eastAsia="Arial" w:hAnsi="Arial"/>
                  <w:sz w:val="15"/>
                  <w:szCs w:val="15"/>
                  <w:color w:val="0000EE"/>
                  <w:w w:val="71"/>
                </w:rPr>
                <w:t>21</w:t>
              </w:r>
            </w:hyperlink>
          </w:p>
        </w:tc>
        <w:tc>
          <w:tcPr>
            <w:tcW w:w="220" w:type="dxa"/>
            <w:vAlign w:val="bottom"/>
          </w:tcPr>
          <w:p>
            <w:pPr>
              <w:spacing w:after="0"/>
              <w:rPr>
                <w:sz w:val="19"/>
                <w:szCs w:val="19"/>
                <w:color w:val="auto"/>
              </w:rPr>
            </w:pPr>
          </w:p>
        </w:tc>
      </w:tr>
      <w:tr>
        <w:trPr>
          <w:trHeight w:val="226"/>
        </w:trPr>
        <w:tc>
          <w:tcPr>
            <w:tcW w:w="4020" w:type="dxa"/>
            <w:vAlign w:val="bottom"/>
            <w:tcBorders>
              <w:bottom w:val="single" w:sz="8" w:color="0000EE"/>
            </w:tcBorders>
            <w:gridSpan w:val="10"/>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WHERE YOU CAN FIND ADDITIONAL INFORMATION</w:t>
              </w:r>
            </w:hyperlink>
          </w:p>
        </w:tc>
        <w:tc>
          <w:tcPr>
            <w:tcW w:w="5620" w:type="dxa"/>
            <w:vAlign w:val="bottom"/>
            <w:gridSpan w:val="3"/>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7">
              <w:r>
                <w:rPr>
                  <w:rFonts w:ascii="Arial" w:cs="Arial" w:eastAsia="Arial" w:hAnsi="Arial"/>
                  <w:sz w:val="15"/>
                  <w:szCs w:val="15"/>
                  <w:color w:val="0000EE"/>
                  <w:w w:val="71"/>
                </w:rPr>
                <w:t>21</w:t>
              </w:r>
            </w:hyperlink>
          </w:p>
        </w:tc>
        <w:tc>
          <w:tcPr>
            <w:tcW w:w="220" w:type="dxa"/>
            <w:vAlign w:val="bottom"/>
          </w:tcPr>
          <w:p>
            <w:pPr>
              <w:spacing w:after="0"/>
              <w:rPr>
                <w:sz w:val="19"/>
                <w:szCs w:val="19"/>
                <w:color w:val="auto"/>
              </w:rPr>
            </w:pPr>
          </w:p>
        </w:tc>
      </w:tr>
      <w:tr>
        <w:trPr>
          <w:trHeight w:val="226"/>
        </w:trPr>
        <w:tc>
          <w:tcPr>
            <w:tcW w:w="9640" w:type="dxa"/>
            <w:vAlign w:val="bottom"/>
            <w:gridSpan w:val="13"/>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INCORPORATION OF CERTAIN INFORMATION BY REFERENCE</w:t>
              </w:r>
            </w:hyperlink>
          </w:p>
        </w:tc>
        <w:tc>
          <w:tcPr>
            <w:tcW w:w="400" w:type="dxa"/>
            <w:vAlign w:val="bottom"/>
            <w:gridSpan w:val="3"/>
          </w:tcPr>
          <w:p>
            <w:pPr>
              <w:jc w:val="center"/>
              <w:ind w:left="140"/>
              <w:spacing w:after="0"/>
              <w:rPr>
                <w:rFonts w:ascii="Arial" w:cs="Arial" w:eastAsia="Arial" w:hAnsi="Arial"/>
                <w:sz w:val="16"/>
                <w:szCs w:val="16"/>
                <w:color w:val="0000EE"/>
              </w:rPr>
            </w:pPr>
            <w:hyperlink w:anchor="page27">
              <w:r>
                <w:rPr>
                  <w:rFonts w:ascii="Arial" w:cs="Arial" w:eastAsia="Arial" w:hAnsi="Arial"/>
                  <w:sz w:val="16"/>
                  <w:szCs w:val="16"/>
                  <w:color w:val="0000EE"/>
                </w:rPr>
                <w:t>21</w:t>
              </w:r>
            </w:hyperlink>
          </w:p>
        </w:tc>
        <w:tc>
          <w:tcPr>
            <w:tcW w:w="220" w:type="dxa"/>
            <w:vAlign w:val="bottom"/>
          </w:tcPr>
          <w:p>
            <w:pPr>
              <w:spacing w:after="0"/>
              <w:rPr>
                <w:sz w:val="19"/>
                <w:szCs w:val="19"/>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0260"/>
          </w:cols>
          <w:pgMar w:left="840" w:top="738" w:right="79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ABOUT THIS PROSPECTUS</w:t>
      </w:r>
    </w:p>
    <w:p>
      <w:pPr>
        <w:spacing w:after="0" w:line="238"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or SEC, using a “shelf” registration process. Under this shelf registration statement, we may, from time to time, offer and sell, either individually or in combination, in one or more offerings, up to a total dollar amount of $200,000,000 of any combination of the securities described in this prospectus.</w:t>
      </w:r>
    </w:p>
    <w:p>
      <w:pPr>
        <w:spacing w:after="0" w:line="161" w:lineRule="exact"/>
        <w:rPr>
          <w:sz w:val="20"/>
          <w:szCs w:val="20"/>
          <w:color w:val="auto"/>
        </w:rPr>
      </w:pPr>
    </w:p>
    <w:p>
      <w:pPr>
        <w:jc w:val="both"/>
        <w:ind w:firstLine="295"/>
        <w:spacing w:after="0" w:line="293"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This prospectus may not be used to consummate a sale of securities unless it is accompanied by a prospectus supplement.</w:t>
      </w:r>
    </w:p>
    <w:p>
      <w:pPr>
        <w:spacing w:after="0" w:line="201" w:lineRule="exact"/>
        <w:rPr>
          <w:sz w:val="20"/>
          <w:szCs w:val="20"/>
          <w:color w:val="auto"/>
        </w:rPr>
      </w:pPr>
    </w:p>
    <w:p>
      <w:pPr>
        <w:jc w:val="both"/>
        <w:ind w:firstLine="295"/>
        <w:spacing w:after="0" w:line="296"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You must not rely upon any information or representation not contained or incorporated by reference in this prospectus, the accompanying prospectus supplement or in any related free writing prospectus that we may authorize to be provided to you. This prospectus is an offer to sell only the securities offered hereby, but only under circumstances and in jurisdictions where it is lawful to do so.</w:t>
      </w:r>
    </w:p>
    <w:p>
      <w:pPr>
        <w:spacing w:after="0" w:line="168" w:lineRule="exact"/>
        <w:rPr>
          <w:sz w:val="20"/>
          <w:szCs w:val="20"/>
          <w:color w:val="auto"/>
        </w:rPr>
      </w:pPr>
    </w:p>
    <w:p>
      <w:pPr>
        <w:jc w:val="both"/>
        <w:ind w:firstLine="295"/>
        <w:spacing w:after="0" w:line="299" w:lineRule="auto"/>
        <w:rPr>
          <w:sz w:val="20"/>
          <w:szCs w:val="20"/>
          <w:color w:val="auto"/>
        </w:rPr>
      </w:pPr>
      <w:r>
        <w:rPr>
          <w:rFonts w:ascii="Arial" w:cs="Arial" w:eastAsia="Arial" w:hAnsi="Arial"/>
          <w:sz w:val="16"/>
          <w:szCs w:val="16"/>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spacing w:after="0" w:line="165" w:lineRule="exact"/>
        <w:rPr>
          <w:sz w:val="20"/>
          <w:szCs w:val="20"/>
          <w:color w:val="auto"/>
        </w:rPr>
      </w:pPr>
    </w:p>
    <w:p>
      <w:pPr>
        <w:jc w:val="both"/>
        <w:ind w:firstLine="295"/>
        <w:spacing w:after="0" w:line="317" w:lineRule="auto"/>
        <w:rPr>
          <w:sz w:val="20"/>
          <w:szCs w:val="20"/>
          <w:color w:val="auto"/>
        </w:rPr>
      </w:pPr>
      <w:r>
        <w:rPr>
          <w:rFonts w:ascii="Arial" w:cs="Arial" w:eastAsia="Arial" w:hAnsi="Arial"/>
          <w:sz w:val="15"/>
          <w:szCs w:val="15"/>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57" w:lineRule="exact"/>
        <w:rPr>
          <w:sz w:val="20"/>
          <w:szCs w:val="20"/>
          <w:color w:val="auto"/>
        </w:rPr>
      </w:pPr>
    </w:p>
    <w:p>
      <w:pPr>
        <w:jc w:val="both"/>
        <w:ind w:firstLine="295"/>
        <w:spacing w:after="0" w:line="299"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420"/>
          </w:cols>
          <w:pgMar w:left="240" w:top="73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148590</wp:posOffset>
            </wp:positionH>
            <wp:positionV relativeFrom="page">
              <wp:posOffset>468630</wp:posOffset>
            </wp:positionV>
            <wp:extent cx="7263765" cy="7458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7458710"/>
                    </a:xfrm>
                    <a:prstGeom prst="rect">
                      <a:avLst/>
                    </a:prstGeom>
                    <a:noFill/>
                  </pic:spPr>
                </pic:pic>
              </a:graphicData>
            </a:graphic>
          </wp:anchor>
        </w:drawing>
        <w:t>PROSPECTUS SUMMARY</w:t>
      </w:r>
    </w:p>
    <w:p>
      <w:pPr>
        <w:spacing w:after="0" w:line="238" w:lineRule="exact"/>
        <w:rPr>
          <w:sz w:val="20"/>
          <w:szCs w:val="20"/>
          <w:color w:val="auto"/>
        </w:rPr>
      </w:pPr>
    </w:p>
    <w:p>
      <w:pPr>
        <w:jc w:val="both"/>
        <w:ind w:firstLine="295"/>
        <w:spacing w:after="0" w:line="294" w:lineRule="auto"/>
        <w:rPr>
          <w:sz w:val="20"/>
          <w:szCs w:val="20"/>
          <w:color w:val="auto"/>
        </w:rPr>
      </w:pPr>
      <w:r>
        <w:rPr>
          <w:rFonts w:ascii="Arial" w:cs="Arial" w:eastAsia="Arial" w:hAnsi="Arial"/>
          <w:sz w:val="16"/>
          <w:szCs w:val="16"/>
          <w:i w:val="1"/>
          <w:iCs w:val="1"/>
          <w:color w:val="auto"/>
        </w:rPr>
        <w:t>This summary highlights selected information appearing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SI-BONE, Inc.</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0" w:lineRule="exact"/>
        <w:rPr>
          <w:sz w:val="20"/>
          <w:szCs w:val="20"/>
          <w:color w:val="auto"/>
        </w:rPr>
      </w:pPr>
    </w:p>
    <w:p>
      <w:pPr>
        <w:spacing w:after="0" w:line="259" w:lineRule="exact"/>
        <w:rPr>
          <w:sz w:val="20"/>
          <w:szCs w:val="20"/>
          <w:color w:val="auto"/>
        </w:rPr>
      </w:pPr>
    </w:p>
    <w:p>
      <w:pPr>
        <w:jc w:val="both"/>
        <w:ind w:right="20" w:firstLine="295"/>
        <w:spacing w:after="0" w:line="296" w:lineRule="auto"/>
        <w:rPr>
          <w:sz w:val="20"/>
          <w:szCs w:val="20"/>
          <w:color w:val="auto"/>
        </w:rPr>
      </w:pPr>
      <w:r>
        <w:rPr>
          <w:rFonts w:ascii="Arial" w:cs="Arial" w:eastAsia="Arial" w:hAnsi="Arial"/>
          <w:sz w:val="16"/>
          <w:szCs w:val="16"/>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42,000 procedures have been performed by over 2,000 surgeons in the United States and 33 other countries. Published clinical studies have shown that 15% to 30% of all chronic lower back pain is associated with the sacroiliac joint. We believe iFuse is currently the market leading implantable device used in minimally invasive surgical fusions of the sacroiliac joint in the United States.</w:t>
      </w:r>
    </w:p>
    <w:p>
      <w:pPr>
        <w:spacing w:after="0" w:line="193" w:lineRule="exact"/>
        <w:rPr>
          <w:sz w:val="20"/>
          <w:szCs w:val="20"/>
          <w:color w:val="auto"/>
        </w:rPr>
      </w:pPr>
    </w:p>
    <w:p>
      <w:pPr>
        <w:jc w:val="both"/>
        <w:ind w:firstLine="295"/>
        <w:spacing w:after="0" w:line="317" w:lineRule="auto"/>
        <w:rPr>
          <w:sz w:val="20"/>
          <w:szCs w:val="20"/>
          <w:color w:val="auto"/>
        </w:rPr>
      </w:pPr>
      <w:r>
        <w:rPr>
          <w:rFonts w:ascii="Arial" w:cs="Arial" w:eastAsia="Arial" w:hAnsi="Arial"/>
          <w:sz w:val="15"/>
          <w:szCs w:val="15"/>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In April 2019, we received clearance from the U.S. Food and Drug Administration (FDA) to promote our iFuse Bedrock technique for fusion of the sacroiliac joint in conjunction with multi-level spinal fusion procedures to provide further stabilization and immobilization of the sacroiliac joint. We market our products with a direct sales force and a number of distributors in the United States, and with a combination of a direct sales force and distributors in other countries.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Associated with our Business</w:t>
      </w:r>
    </w:p>
    <w:p>
      <w:pPr>
        <w:spacing w:after="0" w:line="127" w:lineRule="exact"/>
        <w:rPr>
          <w:sz w:val="20"/>
          <w:szCs w:val="20"/>
          <w:color w:val="auto"/>
        </w:rPr>
      </w:pPr>
    </w:p>
    <w:p>
      <w:pPr>
        <w:jc w:val="both"/>
        <w:ind w:right="20" w:firstLine="270"/>
        <w:spacing w:after="0" w:line="287" w:lineRule="auto"/>
        <w:rPr>
          <w:sz w:val="20"/>
          <w:szCs w:val="20"/>
          <w:color w:val="auto"/>
        </w:rPr>
      </w:pPr>
      <w:r>
        <w:rPr>
          <w:rFonts w:ascii="Arial" w:cs="Arial" w:eastAsia="Arial" w:hAnsi="Arial"/>
          <w:sz w:val="16"/>
          <w:szCs w:val="16"/>
          <w:color w:val="auto"/>
        </w:rPr>
        <w:t>Our business is subject to numerous risks. You should read these risks before you invest in our common stock. In particular, our risks include, but are not limited to, the following:</w:t>
      </w:r>
    </w:p>
    <w:p>
      <w:pPr>
        <w:spacing w:after="0" w:line="52" w:lineRule="exact"/>
        <w:rPr>
          <w:sz w:val="20"/>
          <w:szCs w:val="20"/>
          <w:color w:val="auto"/>
        </w:rPr>
      </w:pPr>
    </w:p>
    <w:p>
      <w:pPr>
        <w:ind w:left="580" w:right="20" w:hanging="290"/>
        <w:spacing w:after="0" w:line="28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incurred significant operating losses since inception, we expect to continue to incur operating losses in the future, and we may not be able to achieve or sustain future profitability;</w:t>
      </w:r>
    </w:p>
    <w:p>
      <w:pPr>
        <w:spacing w:after="0" w:line="51" w:lineRule="exact"/>
        <w:rPr>
          <w:rFonts w:ascii="Arial" w:cs="Arial" w:eastAsia="Arial" w:hAnsi="Arial"/>
          <w:sz w:val="16"/>
          <w:szCs w:val="16"/>
          <w:color w:val="auto"/>
        </w:rPr>
      </w:pPr>
    </w:p>
    <w:p>
      <w:pPr>
        <w:jc w:val="both"/>
        <w:ind w:left="580" w:right="20" w:hanging="290"/>
        <w:spacing w:after="0" w:line="27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hospitals, surgeons, and other healthcare providers are unable to obtain coverage and sufficient reimbursement from third-party payors for procedures performed using our products, or if payors reverse existing exclusive or non-exclusive coverage policies relating to our products, adoption and use of our products, or the prices paid for our implants, may decline;</w:t>
      </w:r>
    </w:p>
    <w:p>
      <w:pPr>
        <w:spacing w:after="0" w:line="62" w:lineRule="exact"/>
        <w:rPr>
          <w:rFonts w:ascii="Arial" w:cs="Arial" w:eastAsia="Arial" w:hAnsi="Arial"/>
          <w:sz w:val="16"/>
          <w:szCs w:val="16"/>
          <w:color w:val="auto"/>
        </w:rPr>
      </w:pPr>
    </w:p>
    <w:p>
      <w:pPr>
        <w:ind w:left="580" w:right="20" w:hanging="290"/>
        <w:spacing w:after="0" w:line="28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51" w:lineRule="exact"/>
        <w:rPr>
          <w:rFonts w:ascii="Arial" w:cs="Arial" w:eastAsia="Arial" w:hAnsi="Arial"/>
          <w:sz w:val="16"/>
          <w:szCs w:val="16"/>
          <w:color w:val="auto"/>
        </w:rPr>
      </w:pPr>
    </w:p>
    <w:p>
      <w:pPr>
        <w:ind w:left="580" w:right="20" w:hanging="290"/>
        <w:spacing w:after="0" w:line="28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Surgeons and payors may not find our clinical evidence to be compelling, which could limit our sales revenue, and ongoing and future research may prove our products to be less safe and effective than initially anticipated;</w:t>
      </w:r>
    </w:p>
    <w:p>
      <w:pPr>
        <w:spacing w:after="0" w:line="51" w:lineRule="exact"/>
        <w:rPr>
          <w:rFonts w:ascii="Arial" w:cs="Arial" w:eastAsia="Arial" w:hAnsi="Arial"/>
          <w:sz w:val="16"/>
          <w:szCs w:val="16"/>
          <w:color w:val="auto"/>
        </w:rPr>
      </w:pPr>
    </w:p>
    <w:p>
      <w:pPr>
        <w:ind w:left="580" w:right="20" w:hanging="290"/>
        <w:spacing w:after="0" w:line="28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Pricing pressure from our competitors, healthcare provider consolidation and payor consolidation may impact our ability to sell our product at prices necessary to support our current business strategies;</w:t>
      </w:r>
    </w:p>
    <w:p>
      <w:pPr>
        <w:spacing w:after="0" w:line="51" w:lineRule="exact"/>
        <w:rPr>
          <w:rFonts w:ascii="Arial" w:cs="Arial" w:eastAsia="Arial" w:hAnsi="Arial"/>
          <w:sz w:val="16"/>
          <w:szCs w:val="16"/>
          <w:color w:val="auto"/>
        </w:rPr>
      </w:pPr>
    </w:p>
    <w:p>
      <w:pPr>
        <w:ind w:left="580" w:hanging="290"/>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currently manufacture and sell products primarily used in a single procedure, which could negatively affect our operations and financial condition;</w:t>
      </w:r>
    </w:p>
    <w:p>
      <w:pPr>
        <w:spacing w:after="0" w:line="122" w:lineRule="exact"/>
        <w:rPr>
          <w:rFonts w:ascii="Arial" w:cs="Arial" w:eastAsia="Arial" w:hAnsi="Arial"/>
          <w:sz w:val="15"/>
          <w:szCs w:val="15"/>
          <w:color w:val="auto"/>
        </w:rPr>
      </w:pPr>
    </w:p>
    <w:p>
      <w:pPr>
        <w:ind w:left="580" w:right="20" w:hanging="290"/>
        <w:spacing w:after="0" w:line="28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clinical experience with our iFuse Bedrock technique does not result in positive outcomes for patients or if clinical trials involving the use of iFuse Bedrock fail to show meaningful patient benefit, sales of our iFuse implants could be adversely impacted;</w:t>
      </w:r>
    </w:p>
    <w:p>
      <w:pPr>
        <w:spacing w:after="0" w:line="51" w:lineRule="exact"/>
        <w:rPr>
          <w:rFonts w:ascii="Arial" w:cs="Arial" w:eastAsia="Arial" w:hAnsi="Arial"/>
          <w:sz w:val="16"/>
          <w:szCs w:val="16"/>
          <w:color w:val="auto"/>
        </w:rPr>
      </w:pPr>
    </w:p>
    <w:p>
      <w:pPr>
        <w:ind w:left="580" w:right="20" w:hanging="290"/>
        <w:spacing w:after="0" w:line="28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If we are unable to maintain and expand our network of direct sales representatives and third-party distributors, we may not be able to generate anticipated sales;</w:t>
      </w:r>
    </w:p>
    <w:p>
      <w:pPr>
        <w:spacing w:after="0" w:line="51" w:lineRule="exact"/>
        <w:rPr>
          <w:rFonts w:ascii="Arial" w:cs="Arial" w:eastAsia="Arial" w:hAnsi="Arial"/>
          <w:sz w:val="16"/>
          <w:szCs w:val="16"/>
          <w:color w:val="auto"/>
        </w:rPr>
      </w:pPr>
    </w:p>
    <w:p>
      <w:pPr>
        <w:ind w:left="580" w:right="20" w:hanging="290"/>
        <w:spacing w:after="0" w:line="28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our suppliers, and our third-party manufacturers are subject to extensive governmental regulation both in the United States and abroad, and failure to comply with applicable requirements could cause our business to suffer;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680"/>
          </w:cols>
          <w:pgMar w:left="620" w:top="1119" w:right="599" w:bottom="1440" w:gutter="0" w:footer="0" w:header="0"/>
        </w:sectPr>
      </w:pPr>
    </w:p>
    <w:bookmarkStart w:id="7" w:name="page8"/>
    <w:bookmarkEnd w:id="7"/>
    <w:p>
      <w:pPr>
        <w:ind w:left="580" w:right="20" w:hanging="290"/>
        <w:spacing w:after="0" w:line="28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148590</wp:posOffset>
            </wp:positionH>
            <wp:positionV relativeFrom="page">
              <wp:posOffset>468630</wp:posOffset>
            </wp:positionV>
            <wp:extent cx="7263765" cy="7833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7833360"/>
                    </a:xfrm>
                    <a:prstGeom prst="rect">
                      <a:avLst/>
                    </a:prstGeom>
                    <a:noFill/>
                  </pic:spPr>
                </pic:pic>
              </a:graphicData>
            </a:graphic>
          </wp:anchor>
        </w:drawing>
        <w:t>We and our sales representatives must comply with U.S. federal and state fraud and abuse laws, including those relating to physician kickbacks and false claims for reimbursement, as well as equivalent foreign laws, which subjects us to risk of non-compliance.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75" w:lineRule="exact"/>
        <w:rPr>
          <w:sz w:val="20"/>
          <w:szCs w:val="20"/>
          <w:color w:val="auto"/>
        </w:rPr>
      </w:pPr>
    </w:p>
    <w:p>
      <w:pPr>
        <w:jc w:val="both"/>
        <w:ind w:right="20" w:firstLine="295"/>
        <w:spacing w:after="0" w:line="266" w:lineRule="auto"/>
        <w:rPr>
          <w:sz w:val="20"/>
          <w:szCs w:val="20"/>
          <w:color w:val="auto"/>
        </w:rPr>
      </w:pPr>
      <w:r>
        <w:rPr>
          <w:rFonts w:ascii="Arial" w:cs="Arial" w:eastAsia="Arial" w:hAnsi="Arial"/>
          <w:sz w:val="16"/>
          <w:szCs w:val="16"/>
          <w:color w:val="auto"/>
          <w:highlight w:val="white"/>
        </w:rPr>
        <w:t>We were incorporated in March 2008 in Delaware. We completed the initial public offering of our common stock in October 2018.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229" w:lineRule="exact"/>
        <w:rPr>
          <w:sz w:val="20"/>
          <w:szCs w:val="20"/>
          <w:color w:val="auto"/>
        </w:rPr>
      </w:pPr>
    </w:p>
    <w:p>
      <w:pPr>
        <w:jc w:val="both"/>
        <w:ind w:right="20" w:firstLine="295"/>
        <w:spacing w:after="0" w:line="287" w:lineRule="auto"/>
        <w:rPr>
          <w:sz w:val="20"/>
          <w:szCs w:val="20"/>
          <w:color w:val="auto"/>
        </w:rPr>
      </w:pPr>
      <w:r>
        <w:rPr>
          <w:rFonts w:ascii="Arial" w:cs="Arial" w:eastAsia="Arial" w:hAnsi="Arial"/>
          <w:sz w:val="16"/>
          <w:szCs w:val="16"/>
          <w:color w:val="auto"/>
          <w:highlight w:val="white"/>
        </w:rPr>
        <w:t>Our common stock is currently listed on the Nasdaq Global Market under the symbol “SIBN.” We are an “emerging growth company” under the Jumpstart Our Business Startups Act of 2012, and therefore we are subject to reduced public company reporting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Securities We May Offer</w:t>
      </w:r>
    </w:p>
    <w:p>
      <w:pPr>
        <w:spacing w:after="0" w:line="238" w:lineRule="exact"/>
        <w:rPr>
          <w:sz w:val="20"/>
          <w:szCs w:val="20"/>
          <w:color w:val="auto"/>
        </w:rPr>
      </w:pPr>
    </w:p>
    <w:p>
      <w:pPr>
        <w:jc w:val="both"/>
        <w:ind w:firstLine="295"/>
        <w:spacing w:after="0" w:line="293" w:lineRule="auto"/>
        <w:rPr>
          <w:sz w:val="20"/>
          <w:szCs w:val="20"/>
          <w:color w:val="auto"/>
        </w:rPr>
      </w:pPr>
      <w:r>
        <w:rPr>
          <w:rFonts w:ascii="Arial" w:cs="Arial" w:eastAsia="Arial" w:hAnsi="Arial"/>
          <w:sz w:val="16"/>
          <w:szCs w:val="16"/>
          <w:color w:val="auto"/>
        </w:rPr>
        <w:t>We may offer shares of our common stock and preferred stock, various series of debt securities and/or warrants to purchase any of such securities, either individually or in combination, from time to time under this prospectus, together with the applicable prospectus supplement and any related free writing prospectus, at prices and on terms to be determined by market conditions at the time of any offering. There is no limit on the aggregate amount of the securities that we may offer pursuant to the registration statement of which this prospectus is a part.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3" w:lineRule="exact"/>
        <w:rPr>
          <w:sz w:val="20"/>
          <w:szCs w:val="20"/>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designation or classification;</w:t>
      </w:r>
    </w:p>
    <w:p>
      <w:pPr>
        <w:spacing w:after="0" w:line="135" w:lineRule="exact"/>
        <w:rPr>
          <w:rFonts w:ascii="Arial" w:cs="Arial" w:eastAsia="Arial" w:hAnsi="Arial"/>
          <w:sz w:val="16"/>
          <w:szCs w:val="16"/>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aggregate principal amount or aggregate offering price;</w:t>
      </w:r>
    </w:p>
    <w:p>
      <w:pPr>
        <w:spacing w:after="0" w:line="135" w:lineRule="exact"/>
        <w:rPr>
          <w:rFonts w:ascii="Arial" w:cs="Arial" w:eastAsia="Arial" w:hAnsi="Arial"/>
          <w:sz w:val="16"/>
          <w:szCs w:val="16"/>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maturity date, if applicable;</w:t>
      </w:r>
    </w:p>
    <w:p>
      <w:pPr>
        <w:spacing w:after="0" w:line="135" w:lineRule="exact"/>
        <w:rPr>
          <w:rFonts w:ascii="Arial" w:cs="Arial" w:eastAsia="Arial" w:hAnsi="Arial"/>
          <w:sz w:val="16"/>
          <w:szCs w:val="16"/>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original issue discount, if any;</w:t>
      </w:r>
    </w:p>
    <w:p>
      <w:pPr>
        <w:spacing w:after="0" w:line="135" w:lineRule="exact"/>
        <w:rPr>
          <w:rFonts w:ascii="Arial" w:cs="Arial" w:eastAsia="Arial" w:hAnsi="Arial"/>
          <w:sz w:val="16"/>
          <w:szCs w:val="16"/>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rates and times of payment of interest or dividends, if any;</w:t>
      </w:r>
    </w:p>
    <w:p>
      <w:pPr>
        <w:spacing w:after="0" w:line="135" w:lineRule="exact"/>
        <w:rPr>
          <w:rFonts w:ascii="Arial" w:cs="Arial" w:eastAsia="Arial" w:hAnsi="Arial"/>
          <w:sz w:val="16"/>
          <w:szCs w:val="16"/>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redemption, conversion, exercise, exchange or sinking fund terms, if any;</w:t>
      </w:r>
    </w:p>
    <w:p>
      <w:pPr>
        <w:spacing w:after="0" w:line="135" w:lineRule="exact"/>
        <w:rPr>
          <w:rFonts w:ascii="Arial" w:cs="Arial" w:eastAsia="Arial" w:hAnsi="Arial"/>
          <w:sz w:val="16"/>
          <w:szCs w:val="16"/>
          <w:color w:val="auto"/>
        </w:rPr>
      </w:pPr>
    </w:p>
    <w:p>
      <w:pPr>
        <w:ind w:left="580" w:right="20" w:hanging="290"/>
        <w:spacing w:after="0" w:line="319"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51" w:lineRule="exact"/>
        <w:rPr>
          <w:rFonts w:ascii="Arial" w:cs="Arial" w:eastAsia="Arial" w:hAnsi="Arial"/>
          <w:sz w:val="16"/>
          <w:szCs w:val="16"/>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ranking;</w:t>
      </w:r>
    </w:p>
    <w:p>
      <w:pPr>
        <w:spacing w:after="0" w:line="135" w:lineRule="exact"/>
        <w:rPr>
          <w:rFonts w:ascii="Arial" w:cs="Arial" w:eastAsia="Arial" w:hAnsi="Arial"/>
          <w:sz w:val="16"/>
          <w:szCs w:val="16"/>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restrictive covenants, if any;</w:t>
      </w:r>
    </w:p>
    <w:p>
      <w:pPr>
        <w:spacing w:after="0" w:line="135" w:lineRule="exact"/>
        <w:rPr>
          <w:rFonts w:ascii="Arial" w:cs="Arial" w:eastAsia="Arial" w:hAnsi="Arial"/>
          <w:sz w:val="16"/>
          <w:szCs w:val="16"/>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voting or other rights, if any; and</w:t>
      </w:r>
    </w:p>
    <w:p>
      <w:pPr>
        <w:spacing w:after="0" w:line="135" w:lineRule="exact"/>
        <w:rPr>
          <w:rFonts w:ascii="Arial" w:cs="Arial" w:eastAsia="Arial" w:hAnsi="Arial"/>
          <w:sz w:val="16"/>
          <w:szCs w:val="16"/>
          <w:color w:val="auto"/>
        </w:rPr>
      </w:pPr>
    </w:p>
    <w:p>
      <w:pPr>
        <w:ind w:left="580" w:hanging="290"/>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material or special U.S. federal income tax considerations, if any.</w:t>
      </w:r>
    </w:p>
    <w:p>
      <w:pPr>
        <w:spacing w:after="0" w:line="136" w:lineRule="exact"/>
        <w:rPr>
          <w:sz w:val="20"/>
          <w:szCs w:val="20"/>
          <w:color w:val="auto"/>
        </w:rPr>
      </w:pPr>
    </w:p>
    <w:p>
      <w:pPr>
        <w:jc w:val="both"/>
        <w:ind w:right="20" w:firstLine="295"/>
        <w:spacing w:after="0" w:line="299" w:lineRule="auto"/>
        <w:rPr>
          <w:sz w:val="20"/>
          <w:szCs w:val="20"/>
          <w:color w:val="auto"/>
        </w:rPr>
      </w:pPr>
      <w:r>
        <w:rPr>
          <w:rFonts w:ascii="Arial" w:cs="Arial" w:eastAsia="Arial" w:hAnsi="Arial"/>
          <w:sz w:val="16"/>
          <w:szCs w:val="16"/>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spacing w:after="0" w:line="161" w:lineRule="exact"/>
        <w:rPr>
          <w:sz w:val="20"/>
          <w:szCs w:val="20"/>
          <w:color w:val="auto"/>
        </w:rPr>
      </w:pPr>
    </w:p>
    <w:p>
      <w:pPr>
        <w:jc w:val="both"/>
        <w:ind w:right="20"/>
        <w:spacing w:after="0" w:line="325" w:lineRule="auto"/>
        <w:rPr>
          <w:sz w:val="20"/>
          <w:szCs w:val="20"/>
          <w:color w:val="auto"/>
        </w:rPr>
      </w:pPr>
      <w:r>
        <w:rPr>
          <w:rFonts w:ascii="Arial" w:cs="Arial" w:eastAsia="Arial" w:hAnsi="Arial"/>
          <w:sz w:val="16"/>
          <w:szCs w:val="16"/>
          <w:b w:val="1"/>
          <w:bCs w:val="1"/>
          <w:color w:val="auto"/>
        </w:rPr>
        <w:t>THIS PROSPECTUS MAY NOT BE USED TO CONSUMMATE A SALE OF SECURITIES UNLESS IT IS ACCOMPANIED BY A PROSPECTUS SUPPLEMENT.</w:t>
      </w:r>
    </w:p>
    <w:p>
      <w:pPr>
        <w:spacing w:after="0" w:line="145" w:lineRule="exact"/>
        <w:rPr>
          <w:sz w:val="20"/>
          <w:szCs w:val="20"/>
          <w:color w:val="auto"/>
        </w:rPr>
      </w:pPr>
    </w:p>
    <w:p>
      <w:pPr>
        <w:jc w:val="both"/>
        <w:ind w:firstLine="334"/>
        <w:spacing w:after="0" w:line="304" w:lineRule="auto"/>
        <w:rPr>
          <w:sz w:val="20"/>
          <w:szCs w:val="20"/>
          <w:color w:val="auto"/>
        </w:rPr>
      </w:pPr>
      <w:r>
        <w:rPr>
          <w:rFonts w:ascii="Arial" w:cs="Arial" w:eastAsia="Arial" w:hAnsi="Arial"/>
          <w:sz w:val="16"/>
          <w:szCs w:val="16"/>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161" w:lineRule="exact"/>
        <w:rPr>
          <w:sz w:val="20"/>
          <w:szCs w:val="20"/>
          <w:color w:val="auto"/>
        </w:rPr>
      </w:pPr>
    </w:p>
    <w:p>
      <w:pPr>
        <w:ind w:left="580" w:hanging="290"/>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names of those agents or underwriters;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680"/>
          </w:cols>
          <w:pgMar w:left="620" w:top="1209" w:right="599" w:bottom="1440" w:gutter="0" w:footer="0" w:header="0"/>
        </w:sectPr>
      </w:pPr>
    </w:p>
    <w:bookmarkStart w:id="8" w:name="page9"/>
    <w:bookmarkEnd w:id="8"/>
    <w:p>
      <w:pPr>
        <w:ind w:left="580" w:hanging="290"/>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148590</wp:posOffset>
            </wp:positionH>
            <wp:positionV relativeFrom="page">
              <wp:posOffset>468630</wp:posOffset>
            </wp:positionV>
            <wp:extent cx="7263765" cy="6210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6210300"/>
                    </a:xfrm>
                    <a:prstGeom prst="rect">
                      <a:avLst/>
                    </a:prstGeom>
                    <a:noFill/>
                  </pic:spPr>
                </pic:pic>
              </a:graphicData>
            </a:graphic>
          </wp:anchor>
        </w:drawing>
        <w:t>applicable fees, discounts and commissions to be paid to them;</w:t>
      </w:r>
    </w:p>
    <w:p>
      <w:pPr>
        <w:spacing w:after="0" w:line="135" w:lineRule="exact"/>
        <w:rPr>
          <w:rFonts w:ascii="Arial" w:cs="Arial" w:eastAsia="Arial" w:hAnsi="Arial"/>
          <w:sz w:val="16"/>
          <w:szCs w:val="16"/>
          <w:color w:val="auto"/>
        </w:rPr>
      </w:pPr>
    </w:p>
    <w:p>
      <w:pPr>
        <w:ind w:left="580" w:hanging="290"/>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details regarding over-allotment options, if any; and</w:t>
      </w:r>
    </w:p>
    <w:p>
      <w:pPr>
        <w:spacing w:after="0" w:line="135" w:lineRule="exact"/>
        <w:rPr>
          <w:rFonts w:ascii="Arial" w:cs="Arial" w:eastAsia="Arial" w:hAnsi="Arial"/>
          <w:sz w:val="16"/>
          <w:szCs w:val="16"/>
          <w:color w:val="auto"/>
        </w:rPr>
      </w:pPr>
    </w:p>
    <w:p>
      <w:pPr>
        <w:ind w:left="580" w:hanging="290"/>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net proceeds to us.</w:t>
      </w:r>
    </w:p>
    <w:p>
      <w:pPr>
        <w:spacing w:after="0" w:line="136" w:lineRule="exact"/>
        <w:rPr>
          <w:sz w:val="20"/>
          <w:szCs w:val="20"/>
          <w:color w:val="auto"/>
        </w:rPr>
      </w:pPr>
    </w:p>
    <w:p>
      <w:pPr>
        <w:jc w:val="both"/>
        <w:ind w:firstLine="295"/>
        <w:spacing w:after="0" w:line="314" w:lineRule="auto"/>
        <w:rPr>
          <w:sz w:val="20"/>
          <w:szCs w:val="20"/>
          <w:color w:val="auto"/>
        </w:rPr>
      </w:pPr>
      <w:r>
        <w:rPr>
          <w:rFonts w:ascii="Arial" w:cs="Arial" w:eastAsia="Arial" w:hAnsi="Arial"/>
          <w:sz w:val="15"/>
          <w:szCs w:val="15"/>
          <w:i w:val="1"/>
          <w:iCs w:val="1"/>
          <w:color w:val="auto"/>
        </w:rPr>
        <w:t>Common Stock</w:t>
      </w:r>
      <w:r>
        <w:rPr>
          <w:rFonts w:ascii="Arial" w:cs="Arial" w:eastAsia="Arial" w:hAnsi="Arial"/>
          <w:sz w:val="15"/>
          <w:szCs w:val="15"/>
          <w:color w:val="auto"/>
        </w:rPr>
        <w:t>. We may issue shares of our common stock from time to time. The holders of our common stock are entitled to one vote for each share held of</w:t>
      </w:r>
      <w:r>
        <w:rPr>
          <w:rFonts w:ascii="Arial" w:cs="Arial" w:eastAsia="Arial" w:hAnsi="Arial"/>
          <w:sz w:val="15"/>
          <w:szCs w:val="15"/>
          <w:i w:val="1"/>
          <w:iCs w:val="1"/>
          <w:color w:val="auto"/>
        </w:rPr>
        <w:t xml:space="preserve"> </w:t>
      </w:r>
      <w:r>
        <w:rPr>
          <w:rFonts w:ascii="Arial" w:cs="Arial" w:eastAsia="Arial" w:hAnsi="Arial"/>
          <w:sz w:val="15"/>
          <w:szCs w:val="15"/>
          <w:color w:val="auto"/>
        </w:rPr>
        <w:t>record on all matters submitted to a vote of stockholders. Subject to preferences that may be applicable to any outstanding shares of preferred stock, the holders of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outstanding shares of preferred stock. Holders of common stock have no preemptive rights and no right to convert their common stock into any other securities. There are no redemption or sinking fund provisions applicable to our common stock. In this prospectus, we have summarized certain general features of the common stock under “Description of Capital Stock — Common Stock.” We urge you, however, to read the applicable prospectus supplement (and any related free writing prospectus that we may authorize to be provided to you) related to any common stock being offered.</w:t>
      </w:r>
    </w:p>
    <w:p>
      <w:pPr>
        <w:spacing w:after="0" w:line="161" w:lineRule="exact"/>
        <w:rPr>
          <w:sz w:val="20"/>
          <w:szCs w:val="20"/>
          <w:color w:val="auto"/>
        </w:rPr>
      </w:pPr>
    </w:p>
    <w:p>
      <w:pPr>
        <w:jc w:val="both"/>
        <w:ind w:firstLine="295"/>
        <w:spacing w:after="0" w:line="296" w:lineRule="auto"/>
        <w:rPr>
          <w:sz w:val="20"/>
          <w:szCs w:val="20"/>
          <w:color w:val="auto"/>
        </w:rPr>
      </w:pPr>
      <w:r>
        <w:rPr>
          <w:rFonts w:ascii="Arial" w:cs="Arial" w:eastAsia="Arial" w:hAnsi="Arial"/>
          <w:sz w:val="16"/>
          <w:szCs w:val="16"/>
          <w:i w:val="1"/>
          <w:iCs w:val="1"/>
          <w:color w:val="auto"/>
        </w:rPr>
        <w:t xml:space="preserve">Preferred Stock. </w:t>
      </w:r>
      <w:r>
        <w:rPr>
          <w:rFonts w:ascii="Arial" w:cs="Arial" w:eastAsia="Arial" w:hAnsi="Arial"/>
          <w:sz w:val="16"/>
          <w:szCs w:val="16"/>
          <w:color w:val="auto"/>
        </w:rPr>
        <w:t>We may issue shares of our preferred stock from time to time, in one or more series. Our board of directors will determine the designations,</w:t>
      </w:r>
      <w:r>
        <w:rPr>
          <w:rFonts w:ascii="Arial" w:cs="Arial" w:eastAsia="Arial" w:hAnsi="Arial"/>
          <w:sz w:val="16"/>
          <w:szCs w:val="16"/>
          <w:i w:val="1"/>
          <w:iCs w:val="1"/>
          <w:color w:val="auto"/>
        </w:rPr>
        <w:t xml:space="preserve"> </w:t>
      </w:r>
      <w:r>
        <w:rPr>
          <w:rFonts w:ascii="Arial" w:cs="Arial" w:eastAsia="Arial" w:hAnsi="Arial"/>
          <w:sz w:val="16"/>
          <w:szCs w:val="16"/>
          <w:color w:val="auto"/>
        </w:rPr>
        <w:t>voting powers, preferences and rights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Convertible preferred stock will be convertible into our common stock or exchangeable for other securities. Conversion may be mandatory or at your option and would be at prescribed conversion rates.</w:t>
      </w:r>
    </w:p>
    <w:p>
      <w:pPr>
        <w:spacing w:after="0" w:line="168" w:lineRule="exact"/>
        <w:rPr>
          <w:sz w:val="20"/>
          <w:szCs w:val="20"/>
          <w:color w:val="auto"/>
        </w:rPr>
      </w:pPr>
    </w:p>
    <w:p>
      <w:pPr>
        <w:jc w:val="both"/>
        <w:ind w:firstLine="295"/>
        <w:spacing w:after="0" w:line="316" w:lineRule="auto"/>
        <w:rPr>
          <w:sz w:val="20"/>
          <w:szCs w:val="20"/>
          <w:color w:val="auto"/>
        </w:rPr>
      </w:pPr>
      <w:r>
        <w:rPr>
          <w:rFonts w:ascii="Arial" w:cs="Arial" w:eastAsia="Arial" w:hAnsi="Arial"/>
          <w:sz w:val="15"/>
          <w:szCs w:val="15"/>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156" w:lineRule="exact"/>
        <w:rPr>
          <w:sz w:val="20"/>
          <w:szCs w:val="20"/>
          <w:color w:val="auto"/>
        </w:rPr>
      </w:pPr>
    </w:p>
    <w:p>
      <w:pPr>
        <w:jc w:val="both"/>
        <w:ind w:firstLine="295"/>
        <w:spacing w:after="0" w:line="296" w:lineRule="auto"/>
        <w:rPr>
          <w:sz w:val="20"/>
          <w:szCs w:val="20"/>
          <w:color w:val="auto"/>
        </w:rPr>
      </w:pPr>
      <w:r>
        <w:rPr>
          <w:rFonts w:ascii="Arial" w:cs="Arial" w:eastAsia="Arial" w:hAnsi="Arial"/>
          <w:sz w:val="16"/>
          <w:szCs w:val="16"/>
          <w:i w:val="1"/>
          <w:iCs w:val="1"/>
          <w:color w:val="auto"/>
        </w:rPr>
        <w:t xml:space="preserve">Debt Securities. </w:t>
      </w:r>
      <w:r>
        <w:rPr>
          <w:rFonts w:ascii="Arial" w:cs="Arial" w:eastAsia="Arial" w:hAnsi="Arial"/>
          <w:sz w:val="16"/>
          <w:szCs w:val="16"/>
          <w:color w:val="auto"/>
        </w:rPr>
        <w:t>We may issue debt securities from time to time, in one or more series, as either senior or subordinated debt or as senior or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your option and would be at prescribed conversion rates.</w:t>
      </w:r>
    </w:p>
    <w:p>
      <w:pPr>
        <w:spacing w:after="0" w:line="168" w:lineRule="exact"/>
        <w:rPr>
          <w:sz w:val="20"/>
          <w:szCs w:val="20"/>
          <w:color w:val="auto"/>
        </w:rPr>
      </w:pPr>
    </w:p>
    <w:p>
      <w:pPr>
        <w:jc w:val="both"/>
        <w:ind w:firstLine="295"/>
        <w:spacing w:after="0" w:line="293" w:lineRule="auto"/>
        <w:rPr>
          <w:sz w:val="20"/>
          <w:szCs w:val="20"/>
          <w:color w:val="auto"/>
        </w:rPr>
      </w:pPr>
      <w:r>
        <w:rPr>
          <w:rFonts w:ascii="Arial" w:cs="Arial" w:eastAsia="Arial" w:hAnsi="Arial"/>
          <w:sz w:val="16"/>
          <w:szCs w:val="16"/>
          <w:color w:val="auto"/>
        </w:rPr>
        <w:t>Any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under “Description of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680"/>
          </w:cols>
          <w:pgMar w:left="620" w:top="1123" w:right="599" w:bottom="1440" w:gutter="0" w:footer="0" w:header="0"/>
        </w:sectPr>
      </w:pPr>
    </w:p>
    <w:bookmarkStart w:id="9" w:name="page10"/>
    <w:bookmarkEnd w:id="9"/>
    <w:p>
      <w:pPr>
        <w:jc w:val="both"/>
        <w:ind w:firstLine="295"/>
        <w:spacing w:after="0" w:line="314"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148590</wp:posOffset>
            </wp:positionH>
            <wp:positionV relativeFrom="page">
              <wp:posOffset>468630</wp:posOffset>
            </wp:positionV>
            <wp:extent cx="7263765" cy="4133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4133850"/>
                    </a:xfrm>
                    <a:prstGeom prst="rect">
                      <a:avLst/>
                    </a:prstGeom>
                    <a:noFill/>
                  </pic:spPr>
                </pic:pic>
              </a:graphicData>
            </a:graphic>
          </wp:anchor>
        </w:drawing>
        <w:t xml:space="preserve">Warrants. </w:t>
      </w:r>
      <w:r>
        <w:rPr>
          <w:rFonts w:ascii="Arial" w:cs="Arial" w:eastAsia="Arial" w:hAnsi="Arial"/>
          <w:sz w:val="15"/>
          <w:szCs w:val="15"/>
          <w:color w:val="auto"/>
        </w:rPr>
        <w:t>We may issue warrants for the purchase of common stock, preferred stock and/or debt securities in one or more series. We may issue warrants</w:t>
      </w:r>
      <w:r>
        <w:rPr>
          <w:rFonts w:ascii="Arial" w:cs="Arial" w:eastAsia="Arial" w:hAnsi="Arial"/>
          <w:sz w:val="15"/>
          <w:szCs w:val="15"/>
          <w:i w:val="1"/>
          <w:iCs w:val="1"/>
          <w:color w:val="auto"/>
        </w:rPr>
        <w:t xml:space="preserve"> </w:t>
      </w:r>
      <w:r>
        <w:rPr>
          <w:rFonts w:ascii="Arial" w:cs="Arial" w:eastAsia="Arial" w:hAnsi="Arial"/>
          <w:sz w:val="15"/>
          <w:szCs w:val="15"/>
          <w:color w:val="auto"/>
        </w:rPr>
        <w:t>independently or in combination with common stock, preferred stock and/or debt securities. In this prospectus, we have summarized certain general features of the warrants under “Description of Warrants.” We urge you, however, to read the applicable prospectus supplement (and any related free writing prospectus that we may authorize to be provided to you) related to the particular series of warrants being offered, as well as any warrant agreements and warrant certificates that contain the terms of the warrants. 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161" w:lineRule="exact"/>
        <w:rPr>
          <w:sz w:val="20"/>
          <w:szCs w:val="20"/>
          <w:color w:val="auto"/>
        </w:rPr>
      </w:pPr>
    </w:p>
    <w:p>
      <w:pPr>
        <w:jc w:val="both"/>
        <w:ind w:right="20" w:firstLine="295"/>
        <w:spacing w:after="0" w:line="304" w:lineRule="auto"/>
        <w:rPr>
          <w:sz w:val="20"/>
          <w:szCs w:val="20"/>
          <w:color w:val="auto"/>
        </w:rPr>
      </w:pPr>
      <w:r>
        <w:rPr>
          <w:rFonts w:ascii="Arial" w:cs="Arial" w:eastAsia="Arial" w:hAnsi="Arial"/>
          <w:sz w:val="16"/>
          <w:szCs w:val="16"/>
          <w:color w:val="auto"/>
        </w:rPr>
        <w:t>Any warrants issued under this prospectus may be evidenced by warrant certificates. Warrants also may be issued under an applicable warrant agreement that we enter into with a warrant agent. We will indicate the name and address of the warrant agent, if applicable, in the prospectus supplement relating to the particular series of warrants being offered.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w:t>
      </w:r>
    </w:p>
    <w:p>
      <w:pPr>
        <w:spacing w:after="0" w:line="373" w:lineRule="exact"/>
        <w:rPr>
          <w:sz w:val="20"/>
          <w:szCs w:val="20"/>
          <w:color w:val="auto"/>
        </w:rPr>
      </w:pPr>
    </w:p>
    <w:p>
      <w:pPr>
        <w:jc w:val="both"/>
        <w:ind w:right="20" w:firstLine="295"/>
        <w:spacing w:after="0" w:line="304" w:lineRule="auto"/>
        <w:rPr>
          <w:sz w:val="20"/>
          <w:szCs w:val="20"/>
          <w:color w:val="auto"/>
        </w:rPr>
      </w:pPr>
      <w:r>
        <w:rPr>
          <w:rFonts w:ascii="Arial" w:cs="Arial" w:eastAsia="Arial" w:hAnsi="Arial"/>
          <w:sz w:val="16"/>
          <w:szCs w:val="16"/>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See “Use of Proceeds” in this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Global Market Listing</w:t>
      </w:r>
    </w:p>
    <w:p>
      <w:pPr>
        <w:spacing w:after="0" w:line="275"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6"/>
          <w:szCs w:val="16"/>
          <w:color w:val="auto"/>
        </w:rPr>
        <w:t>Our common stock is listed on the Nasdaq Global Market under the symbol “SIBN.” The applicable prospectus supplement will contain information, where applicable, as to other listings, if any, on the Nasdaq Global Market or other securities exchange of the securities covered by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680"/>
          </w:cols>
          <w:pgMar w:left="620" w:top="1123" w:right="59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RISK FACTORS</w:t>
      </w:r>
    </w:p>
    <w:p>
      <w:pPr>
        <w:spacing w:after="0" w:line="385" w:lineRule="exact"/>
        <w:rPr>
          <w:sz w:val="20"/>
          <w:szCs w:val="20"/>
          <w:color w:val="auto"/>
        </w:rPr>
      </w:pPr>
    </w:p>
    <w:p>
      <w:pPr>
        <w:jc w:val="both"/>
        <w:ind w:firstLine="295"/>
        <w:spacing w:after="0" w:line="279" w:lineRule="auto"/>
        <w:rPr>
          <w:sz w:val="20"/>
          <w:szCs w:val="20"/>
          <w:color w:val="auto"/>
        </w:rPr>
      </w:pPr>
      <w:r>
        <w:rPr>
          <w:rFonts w:ascii="Arial" w:cs="Arial" w:eastAsia="Arial" w:hAnsi="Arial"/>
          <w:sz w:val="15"/>
          <w:szCs w:val="15"/>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13" w:lineRule="exact"/>
        <w:rPr>
          <w:sz w:val="20"/>
          <w:szCs w:val="20"/>
          <w:color w:val="auto"/>
        </w:rPr>
      </w:pPr>
    </w:p>
    <w:p>
      <w:pPr>
        <w:jc w:val="both"/>
        <w:ind w:left="20" w:firstLine="270"/>
        <w:spacing w:after="0" w:line="264" w:lineRule="auto"/>
        <w:rPr>
          <w:sz w:val="20"/>
          <w:szCs w:val="20"/>
          <w:color w:val="auto"/>
        </w:rPr>
      </w:pPr>
      <w:r>
        <w:rPr>
          <w:rFonts w:ascii="Arial" w:cs="Arial" w:eastAsia="Arial" w:hAnsi="Arial"/>
          <w:sz w:val="16"/>
          <w:szCs w:val="16"/>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193" w:lineRule="exact"/>
        <w:rPr>
          <w:sz w:val="20"/>
          <w:szCs w:val="20"/>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 that a significant portion of our revenues will be derived from sales of the iFuse Implant System, or iFuse;</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develop additional revenue opportunities, including new indications for use and new devices;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expand our sales team to increase demand for our products and expand geographically;</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identify, train, and retain surgeons to perform procedures using our products;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obtain favorable coverage and reimbursement determinations from third-party payors;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estimates of our market opportunity;</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regarding the scope of protection from intellectual property rights covering our products;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developments or disputes concerning our intellectual property or other proprietary rights;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timing of and results from clinical and other trials;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marketing authorization from the U.S. Food and Drug Administration or FDA;</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timing of regulatory filings and feedback;</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competition in the markets we serve;</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of the reliability and performance of our product;</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of the benefits to patients, providers, and payors of our products;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reliance on a limited number of suppliers which may impact the availability of instruments and materials;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drive demand for our products and sustain or increase such demand;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estimates regarding our costs and risks associated with our international operations and expansion;</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expectations regarding our ability to retain and recruit key personnel and expand our sales force;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738" w:right="239" w:bottom="1440" w:gutter="0" w:footer="0" w:header="0"/>
        </w:sectPr>
      </w:pPr>
    </w:p>
    <w:bookmarkStart w:id="11" w:name="page12"/>
    <w:bookmarkEnd w:id="11"/>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expectations regarding acquisitions and strategic operations;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fund our working capital requirements;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compliance with, and the cost of, federal, state, and foreign regulatory requirements;</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factors that may impact our financial results; and</w:t>
      </w:r>
    </w:p>
    <w:p>
      <w:pPr>
        <w:spacing w:after="0" w:line="209" w:lineRule="exact"/>
        <w:rPr>
          <w:rFonts w:ascii="Arial" w:cs="Arial" w:eastAsia="Arial" w:hAnsi="Arial"/>
          <w:sz w:val="16"/>
          <w:szCs w:val="16"/>
          <w:color w:val="auto"/>
        </w:rPr>
      </w:pPr>
    </w:p>
    <w:p>
      <w:pPr>
        <w:ind w:left="580" w:hanging="287"/>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anticipated trends and challenges in our business and the markets in which we operate.</w:t>
      </w:r>
    </w:p>
    <w:p>
      <w:pPr>
        <w:spacing w:after="0" w:line="209" w:lineRule="exact"/>
        <w:rPr>
          <w:sz w:val="20"/>
          <w:szCs w:val="20"/>
          <w:color w:val="auto"/>
        </w:rPr>
      </w:pPr>
    </w:p>
    <w:p>
      <w:pPr>
        <w:jc w:val="both"/>
        <w:ind w:firstLine="295"/>
        <w:spacing w:after="0" w:line="278" w:lineRule="auto"/>
        <w:rPr>
          <w:sz w:val="20"/>
          <w:szCs w:val="20"/>
          <w:color w:val="auto"/>
        </w:rPr>
      </w:pPr>
      <w:r>
        <w:rPr>
          <w:rFonts w:ascii="Arial" w:cs="Arial" w:eastAsia="Arial" w:hAnsi="Arial"/>
          <w:sz w:val="15"/>
          <w:szCs w:val="15"/>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are subject to risks and uncertainties. Given these uncertainties, you should not place undue reliance on these forward-looking statements. We discuss in greater detail many of these risks under the heading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You should read this prospectus, any applicable prospectus supplement,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385"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capital expenditures and other general corporate purposes, which may include costs of funding future acquisitions or for any other purpose we describe in the applicable prospectus supplement.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CAPITAL STOCK</w:t>
      </w:r>
    </w:p>
    <w:p>
      <w:pPr>
        <w:spacing w:after="0" w:line="200" w:lineRule="exact"/>
        <w:rPr>
          <w:sz w:val="20"/>
          <w:szCs w:val="20"/>
          <w:color w:val="auto"/>
        </w:rPr>
      </w:pPr>
    </w:p>
    <w:p>
      <w:pPr>
        <w:spacing w:after="0" w:line="210"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Our authorized capital stock consists of 100,000,000 shares of common stock, $0.0001 par value per share, and 5,000,000 shares of preferred stock, $0.0001 par value per share. A description of material terms and provisions of our certificate of incorporation and bylaws affecting the rights of holders of our capital stock is set forth below. The description is intended as a summary, and is qualified in its entirety by reference to our certificate of incorporation and the bylaws.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Rights</w:t>
      </w:r>
    </w:p>
    <w:p>
      <w:pPr>
        <w:spacing w:after="0" w:line="308"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Rights</w:t>
      </w:r>
    </w:p>
    <w:p>
      <w:pPr>
        <w:spacing w:after="0" w:line="308" w:lineRule="exact"/>
        <w:rPr>
          <w:sz w:val="20"/>
          <w:szCs w:val="20"/>
          <w:color w:val="auto"/>
        </w:rPr>
      </w:pPr>
    </w:p>
    <w:p>
      <w:pPr>
        <w:jc w:val="both"/>
        <w:ind w:firstLine="295"/>
        <w:spacing w:after="0" w:line="266" w:lineRule="auto"/>
        <w:rPr>
          <w:sz w:val="20"/>
          <w:szCs w:val="20"/>
          <w:color w:val="auto"/>
        </w:rPr>
      </w:pPr>
      <w:r>
        <w:rPr>
          <w:rFonts w:ascii="Arial" w:cs="Arial" w:eastAsia="Arial" w:hAnsi="Arial"/>
          <w:sz w:val="16"/>
          <w:szCs w:val="16"/>
          <w:color w:val="auto"/>
        </w:rPr>
        <w:t>The holders of our common stock are entitled to one vote per share. Stockholders do not have the ability to cumulate votes for the election of directors. Our amended and restated certificate of incorporation and amended and restated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729"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No Preemptive or Similar Rights</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common stock is not entitled to preemptive rights and is not subject to conversion, redemption, or sinking fund provisions.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 to Receive Liquidation Distributions</w:t>
      </w:r>
    </w:p>
    <w:p>
      <w:pPr>
        <w:spacing w:after="0" w:line="308"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312" w:lineRule="exact"/>
        <w:rPr>
          <w:sz w:val="20"/>
          <w:szCs w:val="20"/>
          <w:color w:val="auto"/>
        </w:rPr>
      </w:pPr>
    </w:p>
    <w:p>
      <w:pPr>
        <w:jc w:val="both"/>
        <w:ind w:firstLine="295"/>
        <w:spacing w:after="0" w:line="283" w:lineRule="auto"/>
        <w:rPr>
          <w:sz w:val="20"/>
          <w:szCs w:val="20"/>
          <w:color w:val="auto"/>
        </w:rPr>
      </w:pPr>
      <w:r>
        <w:rPr>
          <w:rFonts w:ascii="Arial" w:cs="Arial" w:eastAsia="Arial" w:hAnsi="Arial"/>
          <w:sz w:val="15"/>
          <w:szCs w:val="15"/>
          <w:color w:val="auto"/>
        </w:rPr>
        <w:t>Our amended and restated certificate of incorporation authorizes our board of directors,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353"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150" w:lineRule="exact"/>
        <w:rPr>
          <w:sz w:val="20"/>
          <w:szCs w:val="20"/>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title and stated value;</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shares we are offering;</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liquidation preference per share;</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purchase price;</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dividend rate, period and payment date and method of calculation for dividends;</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dividends will be cumulative or non-cumulative and, if cumulative, the date from which dividends will accumulate;</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applicable;</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provisions for a sinking fund, if applicable;</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listing of the preferred stock on any securities exchange or market;</w:t>
      </w:r>
    </w:p>
    <w:p>
      <w:pPr>
        <w:spacing w:after="0" w:line="111"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and, if applicable, the conversion price, or how it will be calculated, and the conversion period;</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whether the preferred stock will be exchangeable into debt securities, and, if applicable, the exchange price, or how it will be calculated, and the exchange period;</w:t>
      </w:r>
    </w:p>
    <w:p>
      <w:pPr>
        <w:spacing w:after="0" w:line="122" w:lineRule="exact"/>
        <w:rPr>
          <w:rFonts w:ascii="Arial" w:cs="Arial" w:eastAsia="Arial" w:hAnsi="Arial"/>
          <w:sz w:val="15"/>
          <w:szCs w:val="15"/>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voting rights of the preferred stock;</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preemptive rights, if any;</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restrictions on transfer, sale or other assignment;</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interests in the preferred stock will be represented by depositary shares;</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discussion of material United States federal income tax considerations applicable to the preferred stock;</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024" w:right="239" w:bottom="1440" w:gutter="0" w:footer="0" w:header="0"/>
        </w:sectPr>
      </w:pPr>
    </w:p>
    <w:bookmarkStart w:id="13" w:name="page14"/>
    <w:bookmarkEnd w:id="13"/>
    <w:p>
      <w:pPr>
        <w:ind w:left="580" w:hanging="287"/>
        <w:spacing w:after="0" w:line="287"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preferred stock.</w:t>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Anti-takeover Effects of Provisions of our Certificate of Incorporation and Bylaws and Delaware Law</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Delaware Law</w:t>
      </w:r>
    </w:p>
    <w:p>
      <w:pPr>
        <w:spacing w:after="0" w:line="136" w:lineRule="exact"/>
        <w:rPr>
          <w:sz w:val="20"/>
          <w:szCs w:val="20"/>
          <w:color w:val="auto"/>
        </w:rPr>
      </w:pPr>
    </w:p>
    <w:p>
      <w:pPr>
        <w:jc w:val="both"/>
        <w:ind w:firstLine="406"/>
        <w:spacing w:after="0" w:line="299" w:lineRule="auto"/>
        <w:rPr>
          <w:sz w:val="20"/>
          <w:szCs w:val="20"/>
          <w:color w:val="auto"/>
        </w:rPr>
      </w:pPr>
      <w:r>
        <w:rPr>
          <w:rFonts w:ascii="Arial" w:cs="Arial" w:eastAsia="Arial" w:hAnsi="Arial"/>
          <w:sz w:val="16"/>
          <w:szCs w:val="16"/>
          <w:color w:val="auto"/>
        </w:rPr>
        <w:t>We are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54" w:lineRule="exact"/>
        <w:rPr>
          <w:sz w:val="20"/>
          <w:szCs w:val="20"/>
          <w:color w:val="auto"/>
        </w:rPr>
      </w:pPr>
    </w:p>
    <w:p>
      <w:pPr>
        <w:ind w:left="580" w:hanging="287"/>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prior to the time that the interested stockholder became an interested stockholder;</w:t>
      </w:r>
    </w:p>
    <w:p>
      <w:pPr>
        <w:spacing w:after="0" w:line="111" w:lineRule="exact"/>
        <w:rPr>
          <w:rFonts w:ascii="Arial" w:cs="Arial" w:eastAsia="Arial" w:hAnsi="Arial"/>
          <w:sz w:val="16"/>
          <w:szCs w:val="16"/>
          <w:color w:val="auto"/>
        </w:rPr>
      </w:pPr>
    </w:p>
    <w:p>
      <w:pPr>
        <w:ind w:left="580" w:right="60" w:hanging="287"/>
        <w:spacing w:after="0" w:line="264"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222222"/>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w:t>
      </w:r>
      <w:r>
        <w:rPr>
          <w:rFonts w:ascii="Arial" w:cs="Arial" w:eastAsia="Arial" w:hAnsi="Arial"/>
          <w:sz w:val="16"/>
          <w:szCs w:val="16"/>
          <w:color w:val="000000"/>
        </w:rPr>
        <w:t>or</w:t>
      </w:r>
    </w:p>
    <w:p>
      <w:pPr>
        <w:spacing w:after="0" w:line="69" w:lineRule="exact"/>
        <w:rPr>
          <w:rFonts w:ascii="Arial" w:cs="Arial" w:eastAsia="Arial" w:hAnsi="Arial"/>
          <w:sz w:val="16"/>
          <w:szCs w:val="16"/>
          <w:color w:val="auto"/>
        </w:rPr>
      </w:pPr>
    </w:p>
    <w:p>
      <w:pPr>
        <w:ind w:left="580" w:right="200" w:hanging="287"/>
        <w:spacing w:after="0" w:line="323"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38" w:lineRule="exact"/>
        <w:rPr>
          <w:sz w:val="20"/>
          <w:szCs w:val="20"/>
          <w:color w:val="auto"/>
        </w:rPr>
      </w:pPr>
    </w:p>
    <w:p>
      <w:pPr>
        <w:jc w:val="both"/>
        <w:ind w:firstLine="406"/>
        <w:spacing w:after="0" w:line="304"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Certificate of Incorporation and Bylaws Provisions</w:t>
      </w:r>
    </w:p>
    <w:p>
      <w:pPr>
        <w:spacing w:after="0" w:line="222" w:lineRule="exact"/>
        <w:rPr>
          <w:sz w:val="20"/>
          <w:szCs w:val="20"/>
          <w:color w:val="auto"/>
        </w:rPr>
      </w:pPr>
    </w:p>
    <w:p>
      <w:pPr>
        <w:jc w:val="both"/>
        <w:ind w:firstLine="295"/>
        <w:spacing w:after="0" w:line="287" w:lineRule="auto"/>
        <w:rPr>
          <w:sz w:val="20"/>
          <w:szCs w:val="20"/>
          <w:color w:val="auto"/>
        </w:rPr>
      </w:pPr>
      <w:r>
        <w:rPr>
          <w:rFonts w:ascii="Arial" w:cs="Arial" w:eastAsia="Arial" w:hAnsi="Arial"/>
          <w:sz w:val="16"/>
          <w:szCs w:val="16"/>
          <w:color w:val="auto"/>
        </w:rPr>
        <w:t>Our amended and restated certificate of incorporation and our amended and restated bylaws include a number of provisions that may have the effect of deterring hostile takeovers or delaying or preventing changes in control of our management team, including the following:</w:t>
      </w:r>
    </w:p>
    <w:p>
      <w:pPr>
        <w:spacing w:after="0" w:line="150" w:lineRule="exact"/>
        <w:rPr>
          <w:sz w:val="20"/>
          <w:szCs w:val="20"/>
          <w:color w:val="auto"/>
        </w:rPr>
      </w:pPr>
    </w:p>
    <w:p>
      <w:pPr>
        <w:jc w:val="both"/>
        <w:ind w:left="580" w:hanging="287"/>
        <w:spacing w:after="0" w:line="266" w:lineRule="auto"/>
        <w:tabs>
          <w:tab w:leader="none" w:pos="58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Board of Directors Vacancies</w:t>
      </w:r>
      <w:r>
        <w:rPr>
          <w:rFonts w:ascii="Arial" w:cs="Arial" w:eastAsia="Arial" w:hAnsi="Arial"/>
          <w:sz w:val="16"/>
          <w:szCs w:val="16"/>
          <w:color w:val="auto"/>
        </w:rPr>
        <w:t>. Our amended and restated certificate of incorporation and amended and restated bylaws authorize our board of directors to fill vacant</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directorships, including newly-created seats. In addition, the number of directors constituting our board of directors is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67" w:lineRule="exact"/>
        <w:rPr>
          <w:rFonts w:ascii="Arial" w:cs="Arial" w:eastAsia="Arial" w:hAnsi="Arial"/>
          <w:sz w:val="16"/>
          <w:szCs w:val="16"/>
          <w:i w:val="1"/>
          <w:iCs w:val="1"/>
          <w:color w:val="auto"/>
        </w:rPr>
      </w:pPr>
    </w:p>
    <w:p>
      <w:pPr>
        <w:jc w:val="both"/>
        <w:ind w:left="580" w:hanging="287"/>
        <w:spacing w:after="0" w:line="266"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Classified Board</w:t>
      </w:r>
      <w:r>
        <w:rPr>
          <w:rFonts w:ascii="Arial" w:cs="Arial" w:eastAsia="Arial" w:hAnsi="Arial"/>
          <w:sz w:val="16"/>
          <w:szCs w:val="16"/>
          <w:color w:val="auto"/>
        </w:rPr>
        <w:t>. Our amended and restated certificate of incorporation and amended and restated bylaws provide that our board of directors is classified into three</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of directors, each of whom will hold office for a three-year term. In addition, directors may only be removed from the board of directors for cause and only by the approval of a majority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167" w:lineRule="exact"/>
        <w:rPr>
          <w:rFonts w:ascii="Arial" w:cs="Arial" w:eastAsia="Arial" w:hAnsi="Arial"/>
          <w:sz w:val="16"/>
          <w:szCs w:val="16"/>
          <w:color w:val="auto"/>
        </w:rPr>
      </w:pPr>
    </w:p>
    <w:p>
      <w:pPr>
        <w:jc w:val="both"/>
        <w:ind w:left="580" w:hanging="287"/>
        <w:spacing w:after="0" w:line="266"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Stockholder Action; Special Meeting of Stockholders</w:t>
      </w:r>
      <w:r>
        <w:rPr>
          <w:rFonts w:ascii="Arial" w:cs="Arial" w:eastAsia="Arial" w:hAnsi="Arial"/>
          <w:sz w:val="16"/>
          <w:szCs w:val="16"/>
          <w:color w:val="auto"/>
        </w:rPr>
        <w:t>. Our amended and restated certificate of incorporation provides that stockholders are not able to take action by</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consent, and are only be able to take action at annual or special meetings of our stockholders. Stockholders are not be permitted to cumulate their votes for the election of directors. Our amended and restated bylaws further provide that special meetings of our stockholders may be called only by a majority vote of our entire board of directors, the chairman of our board of directors, or our chief executive officer.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729" w:right="239" w:bottom="1440" w:gutter="0" w:footer="0" w:header="0"/>
        </w:sectPr>
      </w:pPr>
    </w:p>
    <w:bookmarkStart w:id="14" w:name="page15"/>
    <w:bookmarkEnd w:id="14"/>
    <w:p>
      <w:pPr>
        <w:jc w:val="both"/>
        <w:ind w:left="580" w:hanging="287"/>
        <w:spacing w:after="0" w:line="316" w:lineRule="auto"/>
        <w:tabs>
          <w:tab w:leader="none" w:pos="580"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Advance Notice Requirements for Stockholder Proposals and Director Nominations</w:t>
      </w:r>
      <w:r>
        <w:rPr>
          <w:rFonts w:ascii="Arial" w:cs="Arial" w:eastAsia="Arial" w:hAnsi="Arial"/>
          <w:sz w:val="14"/>
          <w:szCs w:val="14"/>
          <w:color w:val="auto"/>
        </w:rPr>
        <w:t>. Our amended and restated bylaws provide advance notice procedures for</w:t>
      </w:r>
      <w:r>
        <w:rPr>
          <w:rFonts w:ascii="Arial" w:cs="Arial" w:eastAsia="Arial" w:hAnsi="Arial"/>
          <w:sz w:val="14"/>
          <w:szCs w:val="14"/>
          <w:i w:val="1"/>
          <w:iCs w:val="1"/>
          <w:color w:val="auto"/>
        </w:rPr>
        <w:t xml:space="preserve"> </w:t>
      </w:r>
      <w:r>
        <w:rPr>
          <w:rFonts w:ascii="Arial" w:cs="Arial" w:eastAsia="Arial" w:hAnsi="Arial"/>
          <w:sz w:val="14"/>
          <w:szCs w:val="14"/>
          <w:color w:val="auto"/>
        </w:rPr>
        <w:t>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35" w:lineRule="exact"/>
        <w:rPr>
          <w:rFonts w:ascii="Arial" w:cs="Arial" w:eastAsia="Arial" w:hAnsi="Arial"/>
          <w:sz w:val="14"/>
          <w:szCs w:val="14"/>
          <w:color w:val="auto"/>
        </w:rPr>
      </w:pPr>
    </w:p>
    <w:p>
      <w:pPr>
        <w:jc w:val="both"/>
        <w:ind w:left="580" w:hanging="287"/>
        <w:spacing w:after="0" w:line="266"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have the authority, without further action by the holders of common stock, to issue up to 5,000,000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undesignated preferred stock with rights and preferences, including voting rights, designated from time to time by the board of directors. The existence of authorized but unissued shares of preferred stock enable our board of directors to render more difficult or to discourage an attempt to obtain control of us by means of a merger, tender offer, proxy contest, or otherwise.</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Choice of Forum</w:t>
      </w:r>
    </w:p>
    <w:p>
      <w:pPr>
        <w:spacing w:after="0" w:line="152" w:lineRule="exact"/>
        <w:rPr>
          <w:sz w:val="20"/>
          <w:szCs w:val="20"/>
          <w:color w:val="auto"/>
        </w:rPr>
      </w:pPr>
    </w:p>
    <w:p>
      <w:pPr>
        <w:jc w:val="both"/>
        <w:ind w:firstLine="406"/>
        <w:spacing w:after="0" w:line="314" w:lineRule="auto"/>
        <w:rPr>
          <w:sz w:val="20"/>
          <w:szCs w:val="20"/>
          <w:color w:val="auto"/>
        </w:rPr>
      </w:pPr>
      <w:r>
        <w:rPr>
          <w:rFonts w:ascii="Arial" w:cs="Arial" w:eastAsia="Arial" w:hAnsi="Arial"/>
          <w:sz w:val="15"/>
          <w:szCs w:val="15"/>
          <w:color w:val="auto"/>
        </w:rPr>
        <w:t>Our amended and restated certificate of incorporation provides that the Court of Chancery of the State of Delaware is the exclusive forum for any derivative action or proceeding brought on our behalf; any action asserting a breach of fiduciary duty by any director, officer, or other employee to us or our stockholders; any action asserting a claim against us arising pursuant to the Delaware General Corporation Law, our amended and restated certificate of incorporation or our amended and restated bylaws, or any action asserting a claim against us or any director or officer or other employee that is governed by the internal affairs doctrine. The provision does not apply to suits brought to enforce a duty or liability created by the Exchange Act.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is be the exclusive forum for resolving any complaint asserting a cause of action arising under the Securities Act. We do not currently intend to enforce the federal forum selection provision unless a recent Delaware Chancery Court decision invalidating such a clause is appealed and the Delaware Supreme Court reverses the decision.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 on the Nasdaq Global Market</w:t>
      </w:r>
    </w:p>
    <w:p>
      <w:pPr>
        <w:spacing w:after="0" w:line="324"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Our common stock is listed on the Nasdaq Global Market the symbol “SIBN.” The applicable prospectus supplement will contain information, where applicable, as to any other listing, if any, on the Nasdaq Global Market or any securities market or other exchange of the preferred stock covered by such prospectus supplement.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DEBT SECURITIES</w:t>
      </w:r>
    </w:p>
    <w:p>
      <w:pPr>
        <w:spacing w:after="0" w:line="213"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68" w:lineRule="exact"/>
        <w:rPr>
          <w:sz w:val="20"/>
          <w:szCs w:val="20"/>
          <w:color w:val="auto"/>
        </w:rPr>
      </w:pPr>
    </w:p>
    <w:p>
      <w:pPr>
        <w:jc w:val="both"/>
        <w:ind w:firstLine="295"/>
        <w:spacing w:after="0" w:line="266" w:lineRule="auto"/>
        <w:rPr>
          <w:sz w:val="20"/>
          <w:szCs w:val="20"/>
          <w:color w:val="auto"/>
        </w:rPr>
      </w:pPr>
      <w:r>
        <w:rPr>
          <w:rFonts w:ascii="Arial" w:cs="Arial" w:eastAsia="Arial" w:hAnsi="Arial"/>
          <w:sz w:val="16"/>
          <w:szCs w:val="16"/>
          <w:color w:val="auto"/>
        </w:rPr>
        <w:t>We will issue the debt securities under the indenture that we will enter into with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68"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729"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General</w:t>
      </w:r>
    </w:p>
    <w:p>
      <w:pPr>
        <w:spacing w:after="0" w:line="213" w:lineRule="exact"/>
        <w:rPr>
          <w:sz w:val="20"/>
          <w:szCs w:val="20"/>
          <w:color w:val="auto"/>
        </w:rPr>
      </w:pPr>
    </w:p>
    <w:p>
      <w:pPr>
        <w:jc w:val="both"/>
        <w:ind w:firstLine="295"/>
        <w:spacing w:after="0" w:line="266"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8" w:lineRule="exact"/>
        <w:rPr>
          <w:sz w:val="20"/>
          <w:szCs w:val="20"/>
          <w:color w:val="auto"/>
        </w:rPr>
      </w:pPr>
    </w:p>
    <w:p>
      <w:pPr>
        <w:jc w:val="both"/>
        <w:ind w:firstLine="295"/>
        <w:spacing w:after="0" w:line="266" w:lineRule="auto"/>
        <w:rPr>
          <w:sz w:val="20"/>
          <w:szCs w:val="20"/>
          <w:color w:val="auto"/>
        </w:rPr>
      </w:pPr>
      <w:r>
        <w:rPr>
          <w:rFonts w:ascii="Arial" w:cs="Arial" w:eastAsia="Arial" w:hAnsi="Arial"/>
          <w:sz w:val="16"/>
          <w:szCs w:val="16"/>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will describe in the applicable prospectus supplement the terms of the series of debt securities being offered, including:</w:t>
      </w:r>
    </w:p>
    <w:p>
      <w:pPr>
        <w:spacing w:after="0" w:line="222" w:lineRule="exact"/>
        <w:rPr>
          <w:sz w:val="20"/>
          <w:szCs w:val="20"/>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title of the series of debt securities;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limit upon the aggregate principal amount that may be issued;</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maturity date or dates;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form of the debt securities of the series;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applicability of any guarantees;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or not the debt securities will be secured or unsecured, and the terms of any secured debt;</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whether the debt securities rank as senior debt, senior subordinated debt, subordinated debt or any combination thereof, and the terms of any subordination;</w:t>
      </w:r>
    </w:p>
    <w:p>
      <w:pPr>
        <w:spacing w:after="0" w:line="147" w:lineRule="exact"/>
        <w:rPr>
          <w:rFonts w:ascii="Arial" w:cs="Arial" w:eastAsia="Arial" w:hAnsi="Arial"/>
          <w:sz w:val="15"/>
          <w:szCs w:val="15"/>
          <w:color w:val="auto"/>
        </w:rPr>
      </w:pPr>
    </w:p>
    <w:p>
      <w:pPr>
        <w:jc w:val="both"/>
        <w:ind w:left="580" w:hanging="287"/>
        <w:spacing w:after="0" w:line="332" w:lineRule="auto"/>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46" w:lineRule="exact"/>
        <w:rPr>
          <w:rFonts w:ascii="Arial" w:cs="Arial" w:eastAsia="Arial" w:hAnsi="Arial"/>
          <w:sz w:val="15"/>
          <w:szCs w:val="15"/>
          <w:color w:val="auto"/>
        </w:rPr>
      </w:pPr>
    </w:p>
    <w:p>
      <w:pPr>
        <w:ind w:left="580" w:hanging="287"/>
        <w:spacing w:after="0" w:line="319"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right, if any, to defer payment of interest and the maximum length of any such deferral period;</w:t>
      </w:r>
    </w:p>
    <w:p>
      <w:pPr>
        <w:spacing w:after="0" w:line="135"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51" w:lineRule="exact"/>
        <w:rPr>
          <w:rFonts w:ascii="Arial" w:cs="Arial" w:eastAsia="Arial" w:hAnsi="Arial"/>
          <w:sz w:val="16"/>
          <w:szCs w:val="16"/>
          <w:color w:val="auto"/>
        </w:rPr>
      </w:pPr>
    </w:p>
    <w:p>
      <w:pPr>
        <w:ind w:left="580" w:hanging="287"/>
        <w:spacing w:after="0" w:line="357" w:lineRule="auto"/>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27" w:lineRule="exact"/>
        <w:rPr>
          <w:rFonts w:ascii="Arial" w:cs="Arial" w:eastAsia="Arial" w:hAnsi="Arial"/>
          <w:sz w:val="15"/>
          <w:szCs w:val="15"/>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135"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whether the debt securities of the series shall be issued in whole or in part in the form of a global security or securities;</w:t>
      </w:r>
    </w:p>
    <w:p>
      <w:pPr>
        <w:spacing w:after="0" w:line="135"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terms and conditions, if any, upon which such global security or securities may be exchanged in whole or in part for other individual securities, and the depositary for such global security or securities;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725" w:right="239" w:bottom="1440" w:gutter="0" w:footer="0" w:header="0"/>
        </w:sectPr>
      </w:pPr>
    </w:p>
    <w:bookmarkStart w:id="16" w:name="page17"/>
    <w:bookmarkEnd w:id="16"/>
    <w:p>
      <w:pPr>
        <w:jc w:val="both"/>
        <w:ind w:left="580" w:hanging="287"/>
        <w:spacing w:after="0" w:line="299"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66"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other than the full principal amount thereof, the portion of the principal amount of debt securities of the series which shall be payable upon declaration of acceleration of the maturity thereof;</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additions to or changes in the covenants applicable to the particular debt securities being issued, including, among others, the consolidation, merger or sale covenant;</w:t>
      </w:r>
    </w:p>
    <w:p>
      <w:pPr>
        <w:spacing w:after="0" w:line="158" w:lineRule="exact"/>
        <w:rPr>
          <w:rFonts w:ascii="Arial" w:cs="Arial" w:eastAsia="Arial" w:hAnsi="Arial"/>
          <w:sz w:val="14"/>
          <w:szCs w:val="14"/>
          <w:color w:val="auto"/>
        </w:rPr>
      </w:pPr>
    </w:p>
    <w:p>
      <w:pPr>
        <w:ind w:left="580" w:hanging="287"/>
        <w:spacing w:after="0" w:line="319"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additions to or changes in or deletions of the provisions relating to covenant defeasance and legal defeasance;</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additions to or changes in the provisions relating to satisfaction and discharge of the indenture;</w:t>
      </w:r>
    </w:p>
    <w:p>
      <w:pPr>
        <w:spacing w:after="0" w:line="135"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additions to or changes in the provisions relating to the modification of the indenture both with and without the consent of holders of debt securities issued under the indenture;</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whether interest will be payable in cash or additional debt securities at our or the holders’ option and the terms and conditions upon which the election may be made;</w:t>
      </w:r>
    </w:p>
    <w:p>
      <w:pPr>
        <w:spacing w:after="0" w:line="158" w:lineRule="exact"/>
        <w:rPr>
          <w:rFonts w:ascii="Arial" w:cs="Arial" w:eastAsia="Arial" w:hAnsi="Arial"/>
          <w:sz w:val="14"/>
          <w:szCs w:val="14"/>
          <w:color w:val="auto"/>
        </w:rPr>
      </w:pPr>
    </w:p>
    <w:p>
      <w:pPr>
        <w:ind w:left="580" w:hanging="287"/>
        <w:spacing w:after="0" w:line="319"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restrictions on transfer, sale or assignment of the debt securities of the series; and</w:t>
      </w:r>
    </w:p>
    <w:p>
      <w:pPr>
        <w:spacing w:after="0" w:line="135"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Conversion or Exchange Rights</w:t>
      </w:r>
    </w:p>
    <w:p>
      <w:pPr>
        <w:spacing w:after="0" w:line="213" w:lineRule="exact"/>
        <w:rPr>
          <w:sz w:val="20"/>
          <w:szCs w:val="20"/>
          <w:color w:val="auto"/>
        </w:rPr>
      </w:pPr>
    </w:p>
    <w:p>
      <w:pPr>
        <w:jc w:val="both"/>
        <w:ind w:firstLine="295"/>
        <w:spacing w:after="0" w:line="266" w:lineRule="auto"/>
        <w:rPr>
          <w:sz w:val="20"/>
          <w:szCs w:val="20"/>
          <w:color w:val="auto"/>
        </w:rPr>
      </w:pPr>
      <w:r>
        <w:rPr>
          <w:rFonts w:ascii="Arial" w:cs="Arial" w:eastAsia="Arial" w:hAnsi="Arial"/>
          <w:sz w:val="16"/>
          <w:szCs w:val="16"/>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Consolidation, Merger or Sale</w:t>
      </w:r>
    </w:p>
    <w:p>
      <w:pPr>
        <w:spacing w:after="0" w:line="213"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Events of Default under the Indenture</w:t>
      </w:r>
    </w:p>
    <w:p>
      <w:pPr>
        <w:spacing w:after="0" w:line="213" w:lineRule="exact"/>
        <w:rPr>
          <w:sz w:val="20"/>
          <w:szCs w:val="20"/>
          <w:color w:val="auto"/>
        </w:rPr>
      </w:pPr>
    </w:p>
    <w:p>
      <w:pPr>
        <w:jc w:val="both"/>
        <w:ind w:firstLine="295"/>
        <w:spacing w:after="0" w:line="287" w:lineRule="auto"/>
        <w:rPr>
          <w:sz w:val="20"/>
          <w:szCs w:val="20"/>
          <w:color w:val="auto"/>
        </w:rPr>
      </w:pPr>
      <w:r>
        <w:rPr>
          <w:rFonts w:ascii="Arial" w:cs="Arial" w:eastAsia="Arial" w:hAnsi="Arial"/>
          <w:sz w:val="16"/>
          <w:szCs w:val="16"/>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50" w:lineRule="exact"/>
        <w:rPr>
          <w:sz w:val="20"/>
          <w:szCs w:val="20"/>
          <w:color w:val="auto"/>
        </w:rPr>
      </w:pPr>
    </w:p>
    <w:p>
      <w:pPr>
        <w:jc w:val="both"/>
        <w:ind w:left="580" w:hanging="287"/>
        <w:spacing w:after="0" w:line="272"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61"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we fail to pay the principal of, or premium, if any, on any series of debt securities as and when the same shall become due and payable whether at maturity, upon redemption, by declaration or otherwise, or in any payment required by any sinking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42" w:right="239" w:bottom="1440" w:gutter="0" w:footer="0" w:header="0"/>
        </w:sectPr>
      </w:pPr>
    </w:p>
    <w:bookmarkStart w:id="17" w:name="page18"/>
    <w:bookmarkEnd w:id="17"/>
    <w:p>
      <w:pPr>
        <w:ind w:left="580"/>
        <w:spacing w:after="0" w:line="335" w:lineRule="auto"/>
        <w:rPr>
          <w:sz w:val="20"/>
          <w:szCs w:val="20"/>
          <w:color w:val="auto"/>
        </w:rPr>
      </w:pPr>
      <w:r>
        <w:rPr>
          <w:rFonts w:ascii="Arial" w:cs="Arial" w:eastAsia="Arial" w:hAnsi="Arial"/>
          <w:sz w:val="16"/>
          <w:szCs w:val="16"/>
          <w:color w:val="auto"/>
        </w:rPr>
        <w:t>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26" w:lineRule="exact"/>
        <w:rPr>
          <w:sz w:val="20"/>
          <w:szCs w:val="20"/>
          <w:color w:val="auto"/>
        </w:rPr>
      </w:pPr>
    </w:p>
    <w:p>
      <w:pPr>
        <w:jc w:val="both"/>
        <w:ind w:left="580" w:hanging="287"/>
        <w:spacing w:after="0" w:line="266"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67" w:lineRule="exact"/>
        <w:rPr>
          <w:rFonts w:ascii="Arial" w:cs="Arial" w:eastAsia="Arial" w:hAnsi="Arial"/>
          <w:sz w:val="16"/>
          <w:szCs w:val="16"/>
          <w:color w:val="auto"/>
        </w:rPr>
      </w:pPr>
    </w:p>
    <w:p>
      <w:pPr>
        <w:ind w:left="580" w:hanging="287"/>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specified events of bankruptcy, insolvency or reorganization occur.</w:t>
      </w:r>
    </w:p>
    <w:p>
      <w:pPr>
        <w:spacing w:after="0" w:line="209"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68"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0" w:lineRule="exact"/>
        <w:rPr>
          <w:sz w:val="20"/>
          <w:szCs w:val="20"/>
          <w:color w:val="auto"/>
        </w:rPr>
      </w:pPr>
    </w:p>
    <w:p>
      <w:pPr>
        <w:ind w:left="580" w:hanging="287"/>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direction so given by the holder is not in conflict with any law or the applicable indenture; and</w:t>
      </w:r>
    </w:p>
    <w:p>
      <w:pPr>
        <w:spacing w:after="0" w:line="135"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subject to its duties under the Trust Indenture Act, the trustee need not take any action that might involve it in personal liability or might be unduly prejudicial to the holders not involved in the proceeding.</w:t>
      </w:r>
    </w:p>
    <w:p>
      <w:pPr>
        <w:spacing w:after="0" w:line="52" w:lineRule="exact"/>
        <w:rPr>
          <w:sz w:val="20"/>
          <w:szCs w:val="20"/>
          <w:color w:val="auto"/>
        </w:rPr>
      </w:pPr>
    </w:p>
    <w:p>
      <w:pPr>
        <w:ind w:firstLine="295"/>
        <w:spacing w:after="0" w:line="319" w:lineRule="auto"/>
        <w:rPr>
          <w:sz w:val="20"/>
          <w:szCs w:val="20"/>
          <w:color w:val="auto"/>
        </w:rPr>
      </w:pPr>
      <w:r>
        <w:rPr>
          <w:rFonts w:ascii="Arial" w:cs="Arial" w:eastAsia="Arial" w:hAnsi="Arial"/>
          <w:sz w:val="16"/>
          <w:szCs w:val="16"/>
          <w:color w:val="auto"/>
        </w:rPr>
        <w:t>A holder of the debt securities of any series will have the right to institute a proceeding under the indenture or to appoint a receiver or trustee, or to seek other remedies only if:</w:t>
      </w:r>
    </w:p>
    <w:p>
      <w:pPr>
        <w:spacing w:after="0" w:line="150" w:lineRule="exact"/>
        <w:rPr>
          <w:sz w:val="20"/>
          <w:szCs w:val="20"/>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holder has given written notice to the trustee of a continuing event of default with respect to that series;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outstanding debt securities of that series have made written request,</w:t>
      </w:r>
    </w:p>
    <w:p>
      <w:pPr>
        <w:spacing w:after="0" w:line="135"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such holders have offered to the trustee indemnity satisfactory to it against the costs, expenses and liabilities to be incurred by the trustee in compliance with the request; and</w:t>
      </w:r>
    </w:p>
    <w:p>
      <w:pPr>
        <w:spacing w:after="0" w:line="51"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39" w:lineRule="exact"/>
        <w:rPr>
          <w:sz w:val="20"/>
          <w:szCs w:val="20"/>
          <w:color w:val="auto"/>
        </w:rPr>
      </w:pPr>
    </w:p>
    <w:p>
      <w:pPr>
        <w:ind w:firstLine="295"/>
        <w:spacing w:after="0" w:line="287" w:lineRule="auto"/>
        <w:rPr>
          <w:sz w:val="20"/>
          <w:szCs w:val="20"/>
          <w:color w:val="auto"/>
        </w:rPr>
      </w:pPr>
      <w:r>
        <w:rPr>
          <w:rFonts w:ascii="Arial" w:cs="Arial" w:eastAsia="Arial" w:hAnsi="Arial"/>
          <w:sz w:val="16"/>
          <w:szCs w:val="16"/>
          <w:color w:val="auto"/>
        </w:rPr>
        <w:t>These limitations do not apply to a suit instituted by a holder of debt securities if we default in the payment of the principal, premium, if any, or interest on, the debt securities.</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will periodically file statements with the trustee regarding our compliance with specified covenants in the indenture.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Modification of Indenture; Waiver</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and the trustee may change an indenture without the consent of any holders with respect to specific matters:</w:t>
      </w:r>
    </w:p>
    <w:p>
      <w:pPr>
        <w:spacing w:after="0" w:line="222" w:lineRule="exact"/>
        <w:rPr>
          <w:sz w:val="20"/>
          <w:szCs w:val="20"/>
          <w:color w:val="auto"/>
        </w:rPr>
      </w:pPr>
    </w:p>
    <w:p>
      <w:pPr>
        <w:ind w:left="580" w:hanging="28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cure any ambiguity, defect or inconsistency in the indenture or in the debt securities of any series;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comply with the provisions described above under “Description of Debt Securities—Consolidation, Merger or Sale;”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54" w:right="239" w:bottom="1440" w:gutter="0" w:footer="0" w:header="0"/>
        </w:sectPr>
      </w:pPr>
    </w:p>
    <w:bookmarkStart w:id="18" w:name="page19"/>
    <w:bookmarkEnd w:id="18"/>
    <w:p>
      <w:pPr>
        <w:ind w:left="580" w:hanging="28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provide for uncertificated debt securities in addition to or in place of certificated debt securities;</w:t>
      </w:r>
    </w:p>
    <w:p>
      <w:pPr>
        <w:spacing w:after="0" w:line="135" w:lineRule="exact"/>
        <w:rPr>
          <w:rFonts w:ascii="Arial" w:cs="Arial" w:eastAsia="Arial" w:hAnsi="Arial"/>
          <w:sz w:val="16"/>
          <w:szCs w:val="16"/>
          <w:color w:val="auto"/>
        </w:rPr>
      </w:pPr>
    </w:p>
    <w:p>
      <w:pPr>
        <w:jc w:val="both"/>
        <w:ind w:left="580" w:hanging="287"/>
        <w:spacing w:after="0" w:line="304"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62"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add to, delete from or revise the conditions, limitations, and restrictions on the authorized amount, terms, or purposes of issue, authentication and delivery of debt securities, as set forth in the indenture;</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make any change that does not adversely affect the interests of any holder of debt securities of any series in any material respect;</w:t>
      </w:r>
    </w:p>
    <w:p>
      <w:pPr>
        <w:spacing w:after="0" w:line="135" w:lineRule="exact"/>
        <w:rPr>
          <w:rFonts w:ascii="Arial" w:cs="Arial" w:eastAsia="Arial" w:hAnsi="Arial"/>
          <w:sz w:val="16"/>
          <w:szCs w:val="16"/>
          <w:color w:val="auto"/>
        </w:rPr>
      </w:pPr>
    </w:p>
    <w:p>
      <w:pPr>
        <w:jc w:val="both"/>
        <w:ind w:left="580" w:hanging="287"/>
        <w:spacing w:after="0" w:line="304"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62" w:lineRule="exact"/>
        <w:rPr>
          <w:rFonts w:ascii="Arial" w:cs="Arial" w:eastAsia="Arial" w:hAnsi="Arial"/>
          <w:sz w:val="16"/>
          <w:szCs w:val="16"/>
          <w:color w:val="auto"/>
        </w:rPr>
      </w:pPr>
    </w:p>
    <w:p>
      <w:pPr>
        <w:ind w:left="580" w:hanging="28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under any indenture by a successor trustee; or</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any indenture under the Trust Indenture Act.</w:t>
      </w:r>
    </w:p>
    <w:p>
      <w:pPr>
        <w:spacing w:after="0" w:line="123" w:lineRule="exact"/>
        <w:rPr>
          <w:sz w:val="20"/>
          <w:szCs w:val="20"/>
          <w:color w:val="auto"/>
        </w:rPr>
      </w:pPr>
    </w:p>
    <w:p>
      <w:pPr>
        <w:jc w:val="both"/>
        <w:ind w:firstLine="295"/>
        <w:spacing w:after="0" w:line="266" w:lineRule="auto"/>
        <w:rPr>
          <w:sz w:val="20"/>
          <w:szCs w:val="20"/>
          <w:color w:val="auto"/>
        </w:rPr>
      </w:pPr>
      <w:r>
        <w:rPr>
          <w:rFonts w:ascii="Arial" w:cs="Arial" w:eastAsia="Arial" w:hAnsi="Arial"/>
          <w:sz w:val="16"/>
          <w:szCs w:val="16"/>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0" w:lineRule="exact"/>
        <w:rPr>
          <w:sz w:val="20"/>
          <w:szCs w:val="20"/>
          <w:color w:val="auto"/>
        </w:rPr>
      </w:pPr>
    </w:p>
    <w:p>
      <w:pPr>
        <w:ind w:left="580" w:hanging="287"/>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extending the fixed maturity of any debt securities of any series;</w:t>
      </w:r>
    </w:p>
    <w:p>
      <w:pPr>
        <w:spacing w:after="0" w:line="135"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reducing the principal amount, reducing the rate of or extending the time of payment of interest, or reducing any premium payable upon the redemption of any series of any debt securities; or</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Discharge</w:t>
      </w:r>
    </w:p>
    <w:p>
      <w:pPr>
        <w:spacing w:after="0" w:line="213" w:lineRule="exact"/>
        <w:rPr>
          <w:sz w:val="20"/>
          <w:szCs w:val="20"/>
          <w:color w:val="auto"/>
        </w:rPr>
      </w:pPr>
    </w:p>
    <w:p>
      <w:pPr>
        <w:ind w:firstLine="295"/>
        <w:spacing w:after="0" w:line="287" w:lineRule="auto"/>
        <w:rPr>
          <w:sz w:val="20"/>
          <w:szCs w:val="20"/>
          <w:color w:val="auto"/>
        </w:rPr>
      </w:pPr>
      <w:r>
        <w:rPr>
          <w:rFonts w:ascii="Arial" w:cs="Arial" w:eastAsia="Arial" w:hAnsi="Arial"/>
          <w:sz w:val="16"/>
          <w:szCs w:val="16"/>
          <w:color w:val="auto"/>
        </w:rPr>
        <w:t>Each indenture provides that we can elect to be discharged from our obligations with respect to one or more series of debt securities, except for specified obligations, including obligations to:</w:t>
      </w:r>
    </w:p>
    <w:p>
      <w:pPr>
        <w:spacing w:after="0" w:line="162" w:lineRule="exact"/>
        <w:rPr>
          <w:sz w:val="20"/>
          <w:szCs w:val="20"/>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provide for payment;</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register the transfer or exchange of debt securities of the series;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replace stolen, lost or mutilated debt securities of the series;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pay principal of and premium and interest on any debt securities of the series;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maintain paying agencies;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hold monies for payment in trust;</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recover excess money held by the trustee;</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compensate and indemnify the trustee; and</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appoint any successor trustee.</w:t>
      </w:r>
    </w:p>
    <w:p>
      <w:pPr>
        <w:spacing w:after="0" w:line="123" w:lineRule="exact"/>
        <w:rPr>
          <w:sz w:val="20"/>
          <w:szCs w:val="20"/>
          <w:color w:val="auto"/>
        </w:rPr>
      </w:pPr>
    </w:p>
    <w:p>
      <w:pPr>
        <w:ind w:firstLine="295"/>
        <w:spacing w:after="0" w:line="287" w:lineRule="auto"/>
        <w:rPr>
          <w:sz w:val="20"/>
          <w:szCs w:val="20"/>
          <w:color w:val="auto"/>
        </w:rPr>
      </w:pPr>
      <w:r>
        <w:rPr>
          <w:rFonts w:ascii="Arial" w:cs="Arial" w:eastAsia="Arial" w:hAnsi="Arial"/>
          <w:sz w:val="16"/>
          <w:szCs w:val="16"/>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42"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Form, Exchange and Transfer</w:t>
      </w:r>
    </w:p>
    <w:p>
      <w:pPr>
        <w:spacing w:after="0" w:line="213"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 entry securities will be set forth in the applicable prospectus supplement.</w:t>
      </w:r>
    </w:p>
    <w:p>
      <w:pPr>
        <w:spacing w:after="0" w:line="168"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61" w:lineRule="exact"/>
        <w:rPr>
          <w:sz w:val="20"/>
          <w:szCs w:val="20"/>
          <w:color w:val="auto"/>
        </w:rPr>
      </w:pPr>
    </w:p>
    <w:p>
      <w:pPr>
        <w:jc w:val="both"/>
        <w:ind w:firstLine="295"/>
        <w:spacing w:after="0" w:line="264" w:lineRule="auto"/>
        <w:rPr>
          <w:sz w:val="20"/>
          <w:szCs w:val="20"/>
          <w:color w:val="auto"/>
        </w:rPr>
      </w:pPr>
      <w:r>
        <w:rPr>
          <w:rFonts w:ascii="Arial" w:cs="Arial" w:eastAsia="Arial" w:hAnsi="Arial"/>
          <w:sz w:val="16"/>
          <w:szCs w:val="16"/>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68" w:lineRule="exact"/>
        <w:rPr>
          <w:sz w:val="20"/>
          <w:szCs w:val="20"/>
          <w:color w:val="auto"/>
        </w:rPr>
      </w:pPr>
    </w:p>
    <w:p>
      <w:pPr>
        <w:jc w:val="both"/>
        <w:ind w:firstLine="295"/>
        <w:spacing w:after="0" w:line="298" w:lineRule="auto"/>
        <w:rPr>
          <w:sz w:val="20"/>
          <w:szCs w:val="20"/>
          <w:color w:val="auto"/>
        </w:rPr>
      </w:pPr>
      <w:r>
        <w:rPr>
          <w:rFonts w:ascii="Arial" w:cs="Arial" w:eastAsia="Arial" w:hAnsi="Arial"/>
          <w:sz w:val="15"/>
          <w:szCs w:val="15"/>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If we elect to redeem the debt securities of any series, we will not be required to:</w:t>
      </w:r>
    </w:p>
    <w:p>
      <w:pPr>
        <w:spacing w:after="0" w:line="222" w:lineRule="exact"/>
        <w:rPr>
          <w:sz w:val="20"/>
          <w:szCs w:val="20"/>
          <w:color w:val="auto"/>
        </w:rPr>
      </w:pPr>
    </w:p>
    <w:p>
      <w:pPr>
        <w:ind w:left="580" w:hanging="287"/>
        <w:spacing w:after="0" w:line="357" w:lineRule="auto"/>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7" w:lineRule="exact"/>
        <w:rPr>
          <w:rFonts w:ascii="Arial" w:cs="Arial" w:eastAsia="Arial" w:hAnsi="Arial"/>
          <w:sz w:val="15"/>
          <w:szCs w:val="15"/>
          <w:color w:val="auto"/>
        </w:rPr>
      </w:pPr>
    </w:p>
    <w:p>
      <w:pPr>
        <w:ind w:left="580" w:hanging="287"/>
        <w:spacing w:after="0" w:line="319"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register the transfer of or exchange any debt securities so selected for redemption, in whole or in part, except the unredeemed portion of any debt securities we are redeeming in part.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Concerning the Trustee</w:t>
      </w:r>
    </w:p>
    <w:p>
      <w:pPr>
        <w:spacing w:after="0" w:line="213" w:lineRule="exact"/>
        <w:rPr>
          <w:sz w:val="20"/>
          <w:szCs w:val="20"/>
          <w:color w:val="auto"/>
        </w:rPr>
      </w:pPr>
    </w:p>
    <w:p>
      <w:pPr>
        <w:jc w:val="both"/>
        <w:ind w:firstLine="295"/>
        <w:spacing w:after="0" w:line="290" w:lineRule="auto"/>
        <w:rPr>
          <w:sz w:val="20"/>
          <w:szCs w:val="20"/>
          <w:color w:val="auto"/>
        </w:rPr>
      </w:pPr>
      <w:r>
        <w:rPr>
          <w:rFonts w:ascii="Arial" w:cs="Arial" w:eastAsia="Arial" w:hAnsi="Arial"/>
          <w:sz w:val="15"/>
          <w:szCs w:val="15"/>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and Paying Agents</w:t>
      </w:r>
    </w:p>
    <w:p>
      <w:pPr>
        <w:spacing w:after="0" w:line="213" w:lineRule="exact"/>
        <w:rPr>
          <w:sz w:val="20"/>
          <w:szCs w:val="20"/>
          <w:color w:val="auto"/>
        </w:rPr>
      </w:pPr>
    </w:p>
    <w:p>
      <w:pPr>
        <w:jc w:val="both"/>
        <w:ind w:firstLine="295"/>
        <w:spacing w:after="0" w:line="323" w:lineRule="auto"/>
        <w:rPr>
          <w:sz w:val="20"/>
          <w:szCs w:val="20"/>
          <w:color w:val="auto"/>
        </w:rPr>
      </w:pPr>
      <w:r>
        <w:rPr>
          <w:rFonts w:ascii="Arial" w:cs="Arial" w:eastAsia="Arial" w:hAnsi="Arial"/>
          <w:sz w:val="15"/>
          <w:szCs w:val="15"/>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26" w:lineRule="exact"/>
        <w:rPr>
          <w:sz w:val="20"/>
          <w:szCs w:val="20"/>
          <w:color w:val="auto"/>
        </w:rPr>
      </w:pPr>
    </w:p>
    <w:p>
      <w:pPr>
        <w:jc w:val="both"/>
        <w:ind w:firstLine="295"/>
        <w:spacing w:after="0" w:line="286" w:lineRule="auto"/>
        <w:rPr>
          <w:sz w:val="20"/>
          <w:szCs w:val="20"/>
          <w:color w:val="auto"/>
        </w:rPr>
      </w:pPr>
      <w:r>
        <w:rPr>
          <w:rFonts w:ascii="Arial" w:cs="Arial" w:eastAsia="Arial" w:hAnsi="Arial"/>
          <w:sz w:val="15"/>
          <w:szCs w:val="15"/>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52"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25"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Governing Law</w:t>
      </w:r>
    </w:p>
    <w:p>
      <w:pPr>
        <w:spacing w:after="0" w:line="213" w:lineRule="exact"/>
        <w:rPr>
          <w:sz w:val="20"/>
          <w:szCs w:val="20"/>
          <w:color w:val="auto"/>
        </w:rPr>
      </w:pPr>
    </w:p>
    <w:p>
      <w:pPr>
        <w:jc w:val="both"/>
        <w:ind w:firstLine="295"/>
        <w:spacing w:after="0" w:line="287" w:lineRule="auto"/>
        <w:rPr>
          <w:sz w:val="20"/>
          <w:szCs w:val="20"/>
          <w:color w:val="auto"/>
        </w:rPr>
      </w:pPr>
      <w:r>
        <w:rPr>
          <w:rFonts w:ascii="Arial" w:cs="Arial" w:eastAsia="Arial" w:hAnsi="Arial"/>
          <w:sz w:val="16"/>
          <w:szCs w:val="16"/>
          <w:color w:val="auto"/>
        </w:rPr>
        <w:t>The indenture and the debt securities will be governed by and construed in accordance with the internal laws of the State of New York, except to the extent that the Trust Indenture Act of 1939 is applicable.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WARRANTS</w:t>
      </w:r>
    </w:p>
    <w:p>
      <w:pPr>
        <w:spacing w:after="0" w:line="226" w:lineRule="exact"/>
        <w:rPr>
          <w:sz w:val="20"/>
          <w:szCs w:val="20"/>
          <w:color w:val="auto"/>
        </w:rPr>
      </w:pPr>
    </w:p>
    <w:p>
      <w:pPr>
        <w:jc w:val="both"/>
        <w:ind w:firstLine="295"/>
        <w:spacing w:after="0" w:line="316" w:lineRule="auto"/>
        <w:rPr>
          <w:sz w:val="20"/>
          <w:szCs w:val="20"/>
          <w:color w:val="auto"/>
        </w:rPr>
      </w:pPr>
      <w:r>
        <w:rPr>
          <w:rFonts w:ascii="Arial" w:cs="Arial" w:eastAsia="Arial" w:hAnsi="Arial"/>
          <w:sz w:val="15"/>
          <w:szCs w:val="15"/>
          <w:color w:val="auto"/>
        </w:rPr>
        <w:t>The following description, together with the additional information we may include in any applicable prospectus supplements and in any related free writing prospectuses that we may authorize to be distributed to you, summarizes the material terms and provisions of the warrants that we may offer under this prospectus, which may consist of warrants to purchase common stock, preferred stock or debt securities and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43" w:lineRule="exact"/>
        <w:rPr>
          <w:sz w:val="20"/>
          <w:szCs w:val="20"/>
          <w:color w:val="auto"/>
        </w:rPr>
      </w:pPr>
    </w:p>
    <w:p>
      <w:pPr>
        <w:jc w:val="both"/>
        <w:ind w:firstLine="295"/>
        <w:spacing w:after="0" w:line="280" w:lineRule="auto"/>
        <w:rPr>
          <w:sz w:val="20"/>
          <w:szCs w:val="20"/>
          <w:color w:val="auto"/>
        </w:rPr>
      </w:pPr>
      <w:r>
        <w:rPr>
          <w:rFonts w:ascii="Arial" w:cs="Arial" w:eastAsia="Arial" w:hAnsi="Arial"/>
          <w:sz w:val="15"/>
          <w:szCs w:val="15"/>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describe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prospectuses, and the complete form of warrant and/or the warrant agreement and warrant certificate, as applicable, and any supplemental agreements, that contain the terms of the warrants.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will describe in the applicable prospectus supplement the terms of the series of warrants being offered, including:</w:t>
      </w:r>
    </w:p>
    <w:p>
      <w:pPr>
        <w:spacing w:after="0" w:line="222" w:lineRule="exact"/>
        <w:rPr>
          <w:sz w:val="20"/>
          <w:szCs w:val="20"/>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offering price and aggregate number of warrants offered;</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currency for which the warrants may be purchased;</w:t>
      </w:r>
    </w:p>
    <w:p>
      <w:pPr>
        <w:spacing w:after="0" w:line="135"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applicable, the designation and terms of the securities with which the warrants are issued and the number of warrants issued with each such security or each principal amount of such security;</w:t>
      </w:r>
    </w:p>
    <w:p>
      <w:pPr>
        <w:spacing w:after="0" w:line="51"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1"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effect of any merger, consolidation, sale or other disposition of our business on the warrant agreements and the warrants;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terms of any rights to redeem or call the warrants;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provisions for changes to or adjustments in the exercise price or number of securities issuable upon exercise of the warrants;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dates on which the right to exercise the warrants will commence and expire;</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manner in which the warrant agreements and warrants may be modified;</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discussion of any material or special U.S. federal income tax considerations of holding or exercising the warrants;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terms of the securities issuable upon exercise of the warrants; and</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warrants.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25" w:right="239" w:bottom="1440" w:gutter="0" w:footer="0" w:header="0"/>
        </w:sectPr>
      </w:pPr>
    </w:p>
    <w:bookmarkStart w:id="21" w:name="page22"/>
    <w:bookmarkEnd w:id="21"/>
    <w:p>
      <w:pPr>
        <w:ind w:left="300"/>
        <w:spacing w:after="0"/>
        <w:rPr>
          <w:sz w:val="20"/>
          <w:szCs w:val="20"/>
          <w:color w:val="auto"/>
        </w:rPr>
      </w:pPr>
      <w:r>
        <w:rPr>
          <w:rFonts w:ascii="Arial" w:cs="Arial" w:eastAsia="Arial" w:hAnsi="Arial"/>
          <w:sz w:val="16"/>
          <w:szCs w:val="16"/>
          <w:color w:val="auto"/>
        </w:rPr>
        <w:t>Before exercising their warrants, holders of warrants will not have any of the rights of holders of the securities purchasable upon such exercise, including:</w:t>
      </w:r>
    </w:p>
    <w:p>
      <w:pPr>
        <w:spacing w:after="0" w:line="234" w:lineRule="exact"/>
        <w:rPr>
          <w:sz w:val="20"/>
          <w:szCs w:val="20"/>
          <w:color w:val="auto"/>
        </w:rPr>
      </w:pPr>
    </w:p>
    <w:p>
      <w:pPr>
        <w:ind w:left="580" w:hanging="287"/>
        <w:spacing w:after="0" w:line="319"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51"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case of warrants to purchase common stock or preferred stock, the right to receive dividends, if any, or, payments upon our liquidation, dissolution or winding up or to exercise voting rights, if any.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Warrants</w:t>
      </w:r>
    </w:p>
    <w:p>
      <w:pPr>
        <w:spacing w:after="0" w:line="238" w:lineRule="exact"/>
        <w:rPr>
          <w:sz w:val="20"/>
          <w:szCs w:val="20"/>
          <w:color w:val="auto"/>
        </w:rPr>
      </w:pPr>
    </w:p>
    <w:p>
      <w:pPr>
        <w:jc w:val="both"/>
        <w:ind w:firstLine="295"/>
        <w:spacing w:after="0" w:line="299" w:lineRule="auto"/>
        <w:rPr>
          <w:sz w:val="20"/>
          <w:szCs w:val="20"/>
          <w:color w:val="auto"/>
        </w:rPr>
      </w:pPr>
      <w:r>
        <w:rPr>
          <w:rFonts w:ascii="Arial" w:cs="Arial" w:eastAsia="Arial" w:hAnsi="Arial"/>
          <w:sz w:val="16"/>
          <w:szCs w:val="16"/>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65" w:lineRule="exact"/>
        <w:rPr>
          <w:sz w:val="20"/>
          <w:szCs w:val="20"/>
          <w:color w:val="auto"/>
        </w:rPr>
      </w:pPr>
    </w:p>
    <w:p>
      <w:pPr>
        <w:jc w:val="both"/>
        <w:ind w:firstLine="295"/>
        <w:spacing w:after="0" w:line="299" w:lineRule="auto"/>
        <w:rPr>
          <w:sz w:val="20"/>
          <w:szCs w:val="20"/>
          <w:color w:val="auto"/>
        </w:rPr>
      </w:pPr>
      <w:r>
        <w:rPr>
          <w:rFonts w:ascii="Arial" w:cs="Arial" w:eastAsia="Arial" w:hAnsi="Arial"/>
          <w:sz w:val="16"/>
          <w:szCs w:val="16"/>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Governing Law</w:t>
      </w:r>
    </w:p>
    <w:p>
      <w:pPr>
        <w:spacing w:after="0" w:line="238" w:lineRule="exact"/>
        <w:rPr>
          <w:sz w:val="20"/>
          <w:szCs w:val="20"/>
          <w:color w:val="auto"/>
        </w:rPr>
      </w:pPr>
    </w:p>
    <w:p>
      <w:pPr>
        <w:jc w:val="both"/>
        <w:ind w:firstLine="295"/>
        <w:spacing w:after="0" w:line="319" w:lineRule="auto"/>
        <w:rPr>
          <w:sz w:val="20"/>
          <w:szCs w:val="20"/>
          <w:color w:val="auto"/>
        </w:rPr>
      </w:pPr>
      <w:r>
        <w:rPr>
          <w:rFonts w:ascii="Arial" w:cs="Arial" w:eastAsia="Arial" w:hAnsi="Arial"/>
          <w:sz w:val="16"/>
          <w:szCs w:val="16"/>
          <w:color w:val="auto"/>
        </w:rPr>
        <w:t>Unless we otherwise specify in the applicable prospectus supplement, the warrants and any warrant agreements will be governed by and construed in accordance with the laws of the State of New York.</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Enforceability of Rights by Holders of Warrants</w:t>
      </w:r>
    </w:p>
    <w:p>
      <w:pPr>
        <w:spacing w:after="0" w:line="238" w:lineRule="exact"/>
        <w:rPr>
          <w:sz w:val="20"/>
          <w:szCs w:val="20"/>
          <w:color w:val="auto"/>
        </w:rPr>
      </w:pPr>
    </w:p>
    <w:p>
      <w:pPr>
        <w:jc w:val="both"/>
        <w:ind w:firstLine="295"/>
        <w:spacing w:after="0" w:line="296" w:lineRule="auto"/>
        <w:rPr>
          <w:sz w:val="20"/>
          <w:szCs w:val="20"/>
          <w:color w:val="auto"/>
        </w:rPr>
      </w:pPr>
      <w:r>
        <w:rPr>
          <w:rFonts w:ascii="Arial" w:cs="Arial" w:eastAsia="Arial" w:hAnsi="Arial"/>
          <w:sz w:val="16"/>
          <w:szCs w:val="16"/>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OWNERSHIP OF SECURITIES</w:t>
      </w:r>
    </w:p>
    <w:p>
      <w:pPr>
        <w:spacing w:after="0" w:line="238" w:lineRule="exact"/>
        <w:rPr>
          <w:sz w:val="20"/>
          <w:szCs w:val="20"/>
          <w:color w:val="auto"/>
        </w:rPr>
      </w:pPr>
    </w:p>
    <w:p>
      <w:pPr>
        <w:jc w:val="both"/>
        <w:ind w:firstLine="295"/>
        <w:spacing w:after="0" w:line="296" w:lineRule="auto"/>
        <w:rPr>
          <w:sz w:val="20"/>
          <w:szCs w:val="20"/>
          <w:color w:val="auto"/>
        </w:rPr>
      </w:pPr>
      <w:r>
        <w:rPr>
          <w:rFonts w:ascii="Arial" w:cs="Arial" w:eastAsia="Arial" w:hAnsi="Arial"/>
          <w:sz w:val="16"/>
          <w:szCs w:val="16"/>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Book-Entry Holders</w:t>
      </w:r>
    </w:p>
    <w:p>
      <w:pPr>
        <w:spacing w:after="0" w:line="238" w:lineRule="exact"/>
        <w:rPr>
          <w:sz w:val="20"/>
          <w:szCs w:val="20"/>
          <w:color w:val="auto"/>
        </w:rPr>
      </w:pPr>
    </w:p>
    <w:p>
      <w:pPr>
        <w:jc w:val="both"/>
        <w:ind w:firstLine="295"/>
        <w:spacing w:after="0" w:line="299" w:lineRule="auto"/>
        <w:rPr>
          <w:sz w:val="20"/>
          <w:szCs w:val="20"/>
          <w:color w:val="auto"/>
        </w:rPr>
      </w:pPr>
      <w:r>
        <w:rPr>
          <w:rFonts w:ascii="Arial" w:cs="Arial" w:eastAsia="Arial" w:hAnsi="Arial"/>
          <w:sz w:val="16"/>
          <w:szCs w:val="16"/>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742" w:right="239" w:bottom="1440" w:gutter="0" w:footer="0" w:header="0"/>
        </w:sectPr>
      </w:pPr>
    </w:p>
    <w:bookmarkStart w:id="22" w:name="page23"/>
    <w:bookmarkEnd w:id="22"/>
    <w:p>
      <w:pPr>
        <w:jc w:val="both"/>
        <w:ind w:firstLine="295"/>
        <w:spacing w:after="0" w:line="296" w:lineRule="auto"/>
        <w:rPr>
          <w:sz w:val="20"/>
          <w:szCs w:val="20"/>
          <w:color w:val="auto"/>
        </w:rPr>
      </w:pPr>
      <w:r>
        <w:rPr>
          <w:rFonts w:ascii="Arial" w:cs="Arial" w:eastAsia="Arial" w:hAnsi="Arial"/>
          <w:sz w:val="16"/>
          <w:szCs w:val="16"/>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68"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Street Name Holders</w:t>
      </w:r>
    </w:p>
    <w:p>
      <w:pPr>
        <w:spacing w:after="0" w:line="238"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61" w:lineRule="exact"/>
        <w:rPr>
          <w:sz w:val="20"/>
          <w:szCs w:val="20"/>
          <w:color w:val="auto"/>
        </w:rPr>
      </w:pPr>
    </w:p>
    <w:p>
      <w:pPr>
        <w:jc w:val="both"/>
        <w:ind w:firstLine="295"/>
        <w:spacing w:after="0" w:line="299" w:lineRule="auto"/>
        <w:rPr>
          <w:sz w:val="20"/>
          <w:szCs w:val="20"/>
          <w:color w:val="auto"/>
        </w:rPr>
      </w:pPr>
      <w:r>
        <w:rPr>
          <w:rFonts w:ascii="Arial" w:cs="Arial" w:eastAsia="Arial" w:hAnsi="Arial"/>
          <w:sz w:val="16"/>
          <w:szCs w:val="16"/>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Holders</w:t>
      </w:r>
    </w:p>
    <w:p>
      <w:pPr>
        <w:spacing w:after="0" w:line="238"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61" w:lineRule="exact"/>
        <w:rPr>
          <w:sz w:val="20"/>
          <w:szCs w:val="20"/>
          <w:color w:val="auto"/>
        </w:rPr>
      </w:pPr>
    </w:p>
    <w:p>
      <w:pPr>
        <w:jc w:val="both"/>
        <w:ind w:firstLine="295"/>
        <w:spacing w:after="0" w:line="296"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Considerations For Indirect Holders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If you hold securities through a bank, broker or other financial institution, either in book-entry form or in street name, you should check with your own institution to find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out:</w:t>
      </w:r>
    </w:p>
    <w:p>
      <w:pPr>
        <w:spacing w:after="0" w:line="234" w:lineRule="exact"/>
        <w:rPr>
          <w:sz w:val="20"/>
          <w:szCs w:val="20"/>
          <w:color w:val="auto"/>
        </w:rPr>
      </w:pPr>
    </w:p>
    <w:p>
      <w:pPr>
        <w:ind w:left="580" w:hanging="287"/>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how it handles securities payments and notices;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it imposes fees or charges;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how it would handle a request for the holders’ consent, if ever required;</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and how you can instruct it to send you securities registered in your own name so you can be a holder, if that is permitted in the future;</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how it would exercise rights under the securities if there were a default or other event triggering the need for holders to act to protect their interests; and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2" w:right="239" w:bottom="1440" w:gutter="0" w:footer="0" w:header="0"/>
        </w:sectPr>
      </w:pPr>
    </w:p>
    <w:bookmarkStart w:id="23" w:name="page24"/>
    <w:bookmarkEnd w:id="23"/>
    <w:p>
      <w:pPr>
        <w:ind w:left="580" w:hanging="287"/>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securities are in book-entry form, how the depositary’s rules and procedures will affect these matters.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Securities</w:t>
      </w:r>
    </w:p>
    <w:p>
      <w:pPr>
        <w:spacing w:after="0" w:line="201" w:lineRule="exact"/>
        <w:rPr>
          <w:sz w:val="20"/>
          <w:szCs w:val="20"/>
          <w:color w:val="auto"/>
        </w:rPr>
      </w:pPr>
    </w:p>
    <w:p>
      <w:pPr>
        <w:jc w:val="both"/>
        <w:ind w:firstLine="295"/>
        <w:spacing w:after="0" w:line="319" w:lineRule="auto"/>
        <w:rPr>
          <w:sz w:val="20"/>
          <w:szCs w:val="20"/>
          <w:color w:val="auto"/>
        </w:rPr>
      </w:pPr>
      <w:r>
        <w:rPr>
          <w:rFonts w:ascii="Arial" w:cs="Arial" w:eastAsia="Arial" w:hAnsi="Arial"/>
          <w:sz w:val="16"/>
          <w:szCs w:val="16"/>
          <w:color w:val="auto"/>
        </w:rPr>
        <w:t>A global security is a security that represents one or any other number of individual securities held by a depositary. Generally, all securities represented by the same global securities will have the same terms.</w:t>
      </w:r>
    </w:p>
    <w:p>
      <w:pPr>
        <w:spacing w:after="0" w:line="150"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61" w:lineRule="exact"/>
        <w:rPr>
          <w:sz w:val="20"/>
          <w:szCs w:val="20"/>
          <w:color w:val="auto"/>
        </w:rPr>
      </w:pPr>
    </w:p>
    <w:p>
      <w:pPr>
        <w:jc w:val="both"/>
        <w:ind w:firstLine="295"/>
        <w:spacing w:after="0" w:line="294" w:lineRule="auto"/>
        <w:rPr>
          <w:sz w:val="20"/>
          <w:szCs w:val="20"/>
          <w:color w:val="auto"/>
        </w:rPr>
      </w:pPr>
      <w:r>
        <w:rPr>
          <w:rFonts w:ascii="Arial" w:cs="Arial" w:eastAsia="Arial" w:hAnsi="Arial"/>
          <w:sz w:val="16"/>
          <w:szCs w:val="16"/>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72"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Special Considerations For Global Securities</w:t>
      </w:r>
    </w:p>
    <w:p>
      <w:pPr>
        <w:spacing w:after="0" w:line="238"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If securities are issued only in the form of a global security, an investor should be aware of the following:</w:t>
      </w:r>
    </w:p>
    <w:p>
      <w:pPr>
        <w:spacing w:after="0" w:line="234" w:lineRule="exact"/>
        <w:rPr>
          <w:sz w:val="20"/>
          <w:szCs w:val="20"/>
          <w:color w:val="auto"/>
        </w:rPr>
      </w:pPr>
    </w:p>
    <w:p>
      <w:pPr>
        <w:ind w:left="580" w:hanging="287"/>
        <w:spacing w:after="0" w:line="319"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investor cannot cause the securities to be registered in his or her name, and cannot obtain non-global certificates for his or her interest in the securities, except in the special situations we describe below;</w:t>
      </w:r>
    </w:p>
    <w:p>
      <w:pPr>
        <w:spacing w:after="0" w:line="51"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investor will be an indirect holder and must look to his or her own bank or broker for payments on the securities and protection of his or her legal rights relating to the securities, as we describe above;</w:t>
      </w:r>
    </w:p>
    <w:p>
      <w:pPr>
        <w:spacing w:after="0" w:line="51"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investor may not be able to sell interests in the securities to some insurance companies and to other institutions that are required by law to own their securities in non-book-entry form;</w:t>
      </w:r>
    </w:p>
    <w:p>
      <w:pPr>
        <w:spacing w:after="0" w:line="51"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51"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w:t>
      </w:r>
    </w:p>
    <w:p>
      <w:pPr>
        <w:spacing w:after="0" w:line="51"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51"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51" w:lineRule="exact"/>
        <w:rPr>
          <w:rFonts w:ascii="Arial" w:cs="Arial" w:eastAsia="Arial" w:hAnsi="Arial"/>
          <w:sz w:val="16"/>
          <w:szCs w:val="16"/>
          <w:color w:val="auto"/>
        </w:rPr>
      </w:pPr>
    </w:p>
    <w:p>
      <w:pPr>
        <w:ind w:left="580" w:hanging="287"/>
        <w:spacing w:after="0" w:line="319"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52" w:lineRule="exact"/>
        <w:rPr>
          <w:sz w:val="20"/>
          <w:szCs w:val="20"/>
          <w:color w:val="auto"/>
        </w:rPr>
      </w:pPr>
    </w:p>
    <w:p>
      <w:pPr>
        <w:ind w:firstLine="295"/>
        <w:spacing w:after="0" w:line="319" w:lineRule="auto"/>
        <w:rPr>
          <w:sz w:val="20"/>
          <w:szCs w:val="20"/>
          <w:color w:val="auto"/>
        </w:rPr>
      </w:pPr>
      <w:r>
        <w:rPr>
          <w:rFonts w:ascii="Arial" w:cs="Arial" w:eastAsia="Arial" w:hAnsi="Arial"/>
          <w:sz w:val="16"/>
          <w:szCs w:val="16"/>
          <w:color w:val="auto"/>
        </w:rPr>
        <w:t>There may be more than one financial intermediary in the chain of ownership for an investor. We do not monitor and are not responsible for the actions of any of those intermediaries.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2"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Special Situations When a Global Security Will Be Terminated</w:t>
      </w:r>
    </w:p>
    <w:p>
      <w:pPr>
        <w:spacing w:after="0" w:line="238" w:lineRule="exact"/>
        <w:rPr>
          <w:sz w:val="20"/>
          <w:szCs w:val="20"/>
          <w:color w:val="auto"/>
        </w:rPr>
      </w:pPr>
    </w:p>
    <w:p>
      <w:pPr>
        <w:jc w:val="both"/>
        <w:ind w:firstLine="295"/>
        <w:spacing w:after="0" w:line="299" w:lineRule="auto"/>
        <w:rPr>
          <w:sz w:val="20"/>
          <w:szCs w:val="20"/>
          <w:color w:val="auto"/>
        </w:rPr>
      </w:pPr>
      <w:r>
        <w:rPr>
          <w:rFonts w:ascii="Arial" w:cs="Arial" w:eastAsia="Arial" w:hAnsi="Arial"/>
          <w:sz w:val="16"/>
          <w:szCs w:val="16"/>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Unless we provide otherwise in the applicable prospectus supplement, the global security will terminate when the following special situations occur:</w:t>
      </w:r>
    </w:p>
    <w:p>
      <w:pPr>
        <w:spacing w:after="0" w:line="234" w:lineRule="exact"/>
        <w:rPr>
          <w:sz w:val="20"/>
          <w:szCs w:val="20"/>
          <w:color w:val="auto"/>
        </w:rPr>
      </w:pPr>
    </w:p>
    <w:p>
      <w:pPr>
        <w:ind w:left="580" w:hanging="287"/>
        <w:spacing w:after="0" w:line="319"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the depositary notifies us that it is unwilling, unable or no longer qualified to continue as depositary for that global security and we do not appoint another institution to act as depositary within 90 days;</w:t>
      </w:r>
    </w:p>
    <w:p>
      <w:pPr>
        <w:spacing w:after="0" w:line="51" w:lineRule="exact"/>
        <w:rPr>
          <w:rFonts w:ascii="Arial" w:cs="Arial" w:eastAsia="Arial" w:hAnsi="Arial"/>
          <w:sz w:val="16"/>
          <w:szCs w:val="16"/>
          <w:color w:val="auto"/>
        </w:rPr>
      </w:pPr>
    </w:p>
    <w:p>
      <w:pPr>
        <w:ind w:left="580" w:hanging="287"/>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we notify any applicable trustee that we wish to terminate that global security; or</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an event of default has occurred with regard to securities represented by that global security and has not been cured or waived.</w:t>
      </w:r>
    </w:p>
    <w:p>
      <w:pPr>
        <w:spacing w:after="0" w:line="136"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PLAN OF DISTRIBUTION</w:t>
      </w:r>
    </w:p>
    <w:p>
      <w:pPr>
        <w:spacing w:after="0" w:line="226"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We may sell the securities from time to time pursuant to underwritten public offerings, direct sales to the public,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61" w:lineRule="exact"/>
        <w:rPr>
          <w:sz w:val="20"/>
          <w:szCs w:val="20"/>
          <w:color w:val="auto"/>
        </w:rPr>
      </w:pPr>
    </w:p>
    <w:p>
      <w:pPr>
        <w:ind w:left="580" w:hanging="287"/>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 a fixed price or prices, which may be changed;</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 market prices prevailing at the time of sale;</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 prices related to such prevailing market prices; or</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at negotiated prices.</w:t>
      </w:r>
    </w:p>
    <w:p>
      <w:pPr>
        <w:spacing w:after="0" w:line="136" w:lineRule="exact"/>
        <w:rPr>
          <w:sz w:val="20"/>
          <w:szCs w:val="20"/>
          <w:color w:val="auto"/>
        </w:rPr>
      </w:pPr>
    </w:p>
    <w:p>
      <w:pPr>
        <w:ind w:firstLine="295"/>
        <w:spacing w:after="0" w:line="319" w:lineRule="auto"/>
        <w:rPr>
          <w:sz w:val="20"/>
          <w:szCs w:val="20"/>
          <w:color w:val="auto"/>
        </w:rPr>
      </w:pPr>
      <w:r>
        <w:rPr>
          <w:rFonts w:ascii="Arial" w:cs="Arial" w:eastAsia="Arial" w:hAnsi="Arial"/>
          <w:sz w:val="16"/>
          <w:szCs w:val="16"/>
          <w:color w:val="auto"/>
        </w:rPr>
        <w:t>A prospectus supplement or supplements (and any related free writing prospectus that we may authorize to be provided to you) will describe the terms of the offering of the securities, including, to the extent applicable:</w:t>
      </w:r>
    </w:p>
    <w:p>
      <w:pPr>
        <w:spacing w:after="0" w:line="150" w:lineRule="exact"/>
        <w:rPr>
          <w:sz w:val="20"/>
          <w:szCs w:val="20"/>
          <w:color w:val="auto"/>
        </w:rPr>
      </w:pPr>
    </w:p>
    <w:p>
      <w:pPr>
        <w:ind w:left="580" w:hanging="287"/>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name or names of the underwriters, if any;</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purchase price of the securities or other consideration therefor, and the proceeds, if any, we will receive from the sale;</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over-allotment options under which underwriters may purchase additional securities from us;</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agency fees or underwriting discounts and other items constituting agents’ or underwriters’ compensation;</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public offering price;</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135" w:lineRule="exact"/>
        <w:rPr>
          <w:rFonts w:ascii="Arial" w:cs="Arial" w:eastAsia="Arial" w:hAnsi="Arial"/>
          <w:sz w:val="16"/>
          <w:szCs w:val="16"/>
          <w:color w:val="auto"/>
        </w:rPr>
      </w:pPr>
    </w:p>
    <w:p>
      <w:pPr>
        <w:ind w:left="580" w:hanging="287"/>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securities exchange or market on which the securities may be listed.</w:t>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Only underwriters named in the prospectus supplement will be underwriters of the securities offered by the prospectus supplement.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38" w:right="239" w:bottom="1440" w:gutter="0" w:footer="0" w:header="0"/>
        </w:sectPr>
      </w:pPr>
    </w:p>
    <w:bookmarkStart w:id="25" w:name="page26"/>
    <w:bookmarkEnd w:id="25"/>
    <w:p>
      <w:pPr>
        <w:jc w:val="both"/>
        <w:ind w:firstLine="295"/>
        <w:spacing w:after="0" w:line="293"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73"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61"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61"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49"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3" w:lineRule="exact"/>
        <w:rPr>
          <w:sz w:val="20"/>
          <w:szCs w:val="20"/>
          <w:color w:val="auto"/>
        </w:rPr>
      </w:pPr>
    </w:p>
    <w:p>
      <w:pPr>
        <w:jc w:val="both"/>
        <w:ind w:firstLine="295"/>
        <w:spacing w:after="0" w:line="293"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3" w:lineRule="exact"/>
        <w:rPr>
          <w:sz w:val="20"/>
          <w:szCs w:val="20"/>
          <w:color w:val="auto"/>
        </w:rPr>
      </w:pPr>
    </w:p>
    <w:p>
      <w:pPr>
        <w:jc w:val="both"/>
        <w:ind w:firstLine="295"/>
        <w:spacing w:after="0" w:line="317" w:lineRule="auto"/>
        <w:rPr>
          <w:sz w:val="20"/>
          <w:szCs w:val="20"/>
          <w:color w:val="auto"/>
        </w:rPr>
      </w:pPr>
      <w:r>
        <w:rPr>
          <w:rFonts w:ascii="Arial" w:cs="Arial" w:eastAsia="Arial" w:hAnsi="Arial"/>
          <w:sz w:val="15"/>
          <w:szCs w:val="15"/>
          <w:color w:val="auto"/>
        </w:rPr>
        <w:t>Any underwriters or agents that are qualified market makers on the Nasdaq Global Market may engage in passive market making transactions in the common stock on the Nasdaq Global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57" w:lineRule="exact"/>
        <w:rPr>
          <w:sz w:val="20"/>
          <w:szCs w:val="20"/>
          <w:color w:val="auto"/>
        </w:rPr>
      </w:pPr>
    </w:p>
    <w:p>
      <w:pPr>
        <w:jc w:val="both"/>
        <w:ind w:firstLine="295"/>
        <w:spacing w:after="0" w:line="357" w:lineRule="auto"/>
        <w:rPr>
          <w:sz w:val="20"/>
          <w:szCs w:val="20"/>
          <w:color w:val="auto"/>
        </w:rPr>
      </w:pPr>
      <w:r>
        <w:rPr>
          <w:rFonts w:ascii="Arial" w:cs="Arial" w:eastAsia="Arial" w:hAnsi="Arial"/>
          <w:sz w:val="15"/>
          <w:szCs w:val="15"/>
          <w:color w:val="auto"/>
        </w:rPr>
        <w:t>In compliance with guidelines of the Financial Industry Regulatory Authority,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38" w:lineRule="exact"/>
        <w:rPr>
          <w:sz w:val="20"/>
          <w:szCs w:val="20"/>
          <w:color w:val="auto"/>
        </w:rPr>
      </w:pPr>
    </w:p>
    <w:p>
      <w:pPr>
        <w:jc w:val="both"/>
        <w:ind w:firstLine="295"/>
        <w:spacing w:after="0" w:line="399" w:lineRule="auto"/>
        <w:rPr>
          <w:sz w:val="20"/>
          <w:szCs w:val="20"/>
          <w:color w:val="auto"/>
        </w:rPr>
      </w:pPr>
      <w:r>
        <w:rPr>
          <w:rFonts w:ascii="Arial" w:cs="Arial" w:eastAsia="Arial" w:hAnsi="Arial"/>
          <w:sz w:val="14"/>
          <w:szCs w:val="14"/>
          <w:color w:val="auto"/>
        </w:rPr>
        <w:t>Cooley LLP will pass upon the validity of the securities offered by this prospectus, and any supplement thereto, unless otherwise indicated in the applicable prospectus supplement. Additional legal matters may be passed upon for us or any underwriters, dealers or agents, by counsel that we will name in the applicable prospectus supplement.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2"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EXPERTS</w:t>
      </w:r>
    </w:p>
    <w:p>
      <w:pPr>
        <w:spacing w:after="0" w:line="200" w:lineRule="exact"/>
        <w:rPr>
          <w:sz w:val="20"/>
          <w:szCs w:val="20"/>
          <w:color w:val="auto"/>
        </w:rPr>
      </w:pPr>
    </w:p>
    <w:p>
      <w:pPr>
        <w:spacing w:after="0" w:line="247" w:lineRule="exact"/>
        <w:rPr>
          <w:sz w:val="20"/>
          <w:szCs w:val="20"/>
          <w:color w:val="auto"/>
        </w:rPr>
      </w:pPr>
    </w:p>
    <w:p>
      <w:pPr>
        <w:jc w:val="both"/>
        <w:ind w:firstLine="295"/>
        <w:spacing w:after="0" w:line="272" w:lineRule="auto"/>
        <w:rPr>
          <w:sz w:val="20"/>
          <w:szCs w:val="20"/>
          <w:color w:val="auto"/>
        </w:rPr>
      </w:pPr>
      <w:r>
        <w:rPr>
          <w:rFonts w:ascii="Arial" w:cs="Arial" w:eastAsia="Arial" w:hAnsi="Arial"/>
          <w:sz w:val="16"/>
          <w:szCs w:val="16"/>
          <w:color w:val="auto"/>
        </w:rPr>
        <w:t>The financial statements incorporated in this prospectus by reference to the Annual Report on Form 10-K for the year ended December 31, 2018, have been so incorporated in reliance on the report of PricewaterhouseCoopers LLP, an independent registered public accounting firm, given on the authority of said firm as experts in auditing and accounting.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373" w:lineRule="exact"/>
        <w:rPr>
          <w:sz w:val="20"/>
          <w:szCs w:val="20"/>
          <w:color w:val="auto"/>
        </w:rPr>
      </w:pPr>
    </w:p>
    <w:p>
      <w:pPr>
        <w:jc w:val="both"/>
        <w:ind w:firstLine="295"/>
        <w:spacing w:after="0" w:line="310" w:lineRule="auto"/>
        <w:rPr>
          <w:sz w:val="20"/>
          <w:szCs w:val="20"/>
          <w:color w:val="auto"/>
        </w:rPr>
      </w:pPr>
      <w:r>
        <w:rPr>
          <w:rFonts w:ascii="Arial" w:cs="Arial" w:eastAsia="Arial" w:hAnsi="Arial"/>
          <w:sz w:val="14"/>
          <w:szCs w:val="14"/>
          <w:color w:val="auto"/>
        </w:rPr>
        <w:t xml:space="preserve">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4"/>
          <w:szCs w:val="14"/>
          <w:u w:val="single" w:color="auto"/>
          <w:color w:val="0000EE"/>
        </w:rPr>
        <w:t>www.sec.gov</w:t>
      </w:r>
      <w:r>
        <w:rPr>
          <w:rFonts w:ascii="Arial" w:cs="Arial" w:eastAsia="Arial" w:hAnsi="Arial"/>
          <w:sz w:val="14"/>
          <w:szCs w:val="14"/>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00" w:lineRule="exact"/>
        <w:rPr>
          <w:sz w:val="20"/>
          <w:szCs w:val="20"/>
          <w:color w:val="auto"/>
        </w:rPr>
      </w:pPr>
    </w:p>
    <w:p>
      <w:pPr>
        <w:spacing w:after="0" w:line="210"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001-38701):</w:t>
      </w:r>
    </w:p>
    <w:p>
      <w:pPr>
        <w:spacing w:after="0" w:line="365" w:lineRule="exact"/>
        <w:rPr>
          <w:sz w:val="20"/>
          <w:szCs w:val="20"/>
          <w:color w:val="auto"/>
        </w:rPr>
      </w:pPr>
    </w:p>
    <w:p>
      <w:pPr>
        <w:ind w:left="580" w:hanging="287"/>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our </w:t>
      </w:r>
      <w:hyperlink r:id="rId24">
        <w:r>
          <w:rPr>
            <w:rFonts w:ascii="Arial" w:cs="Arial" w:eastAsia="Arial" w:hAnsi="Arial"/>
            <w:sz w:val="16"/>
            <w:szCs w:val="16"/>
            <w:u w:val="single" w:color="auto"/>
            <w:color w:val="0000EE"/>
          </w:rPr>
          <w:t>Annual Report on Form 10-K, for the year ended December 31, 2018</w:t>
        </w:r>
      </w:hyperlink>
      <w:r>
        <w:rPr>
          <w:rFonts w:ascii="Arial" w:cs="Arial" w:eastAsia="Arial" w:hAnsi="Arial"/>
          <w:sz w:val="16"/>
          <w:szCs w:val="16"/>
          <w:color w:val="auto"/>
        </w:rPr>
        <w:t>, filed with the SEC on March 14, 2019;</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80" w:hanging="287"/>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our </w:t>
      </w:r>
      <w:hyperlink r:id="rId25">
        <w:r>
          <w:rPr>
            <w:rFonts w:ascii="Arial" w:cs="Arial" w:eastAsia="Arial" w:hAnsi="Arial"/>
            <w:sz w:val="16"/>
            <w:szCs w:val="16"/>
            <w:u w:val="single" w:color="auto"/>
            <w:color w:val="0000EE"/>
          </w:rPr>
          <w:t>Quarterly Report on Form 10-Q, for the quarter ended March 31, 2019</w:t>
        </w:r>
      </w:hyperlink>
      <w:r>
        <w:rPr>
          <w:rFonts w:ascii="Arial" w:cs="Arial" w:eastAsia="Arial" w:hAnsi="Arial"/>
          <w:sz w:val="16"/>
          <w:szCs w:val="16"/>
          <w:color w:val="auto"/>
        </w:rPr>
        <w:t>, filed with the SEC on May 9, 2019;</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80" w:hanging="287"/>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our </w:t>
      </w:r>
      <w:hyperlink r:id="rId26">
        <w:r>
          <w:rPr>
            <w:rFonts w:ascii="Arial" w:cs="Arial" w:eastAsia="Arial" w:hAnsi="Arial"/>
            <w:sz w:val="16"/>
            <w:szCs w:val="16"/>
            <w:u w:val="single" w:color="auto"/>
            <w:color w:val="0000EE"/>
          </w:rPr>
          <w:t>Quarterly Report on Form 10-Q, for the quarter ended June 30, 2019</w:t>
        </w:r>
      </w:hyperlink>
      <w:r>
        <w:rPr>
          <w:rFonts w:ascii="Arial" w:cs="Arial" w:eastAsia="Arial" w:hAnsi="Arial"/>
          <w:sz w:val="16"/>
          <w:szCs w:val="16"/>
          <w:color w:val="auto"/>
        </w:rPr>
        <w:t>, filed with the SEC on August 7, 2019;</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80" w:hanging="287"/>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our </w:t>
      </w:r>
      <w:hyperlink r:id="rId27">
        <w:r>
          <w:rPr>
            <w:rFonts w:ascii="Arial" w:cs="Arial" w:eastAsia="Arial" w:hAnsi="Arial"/>
            <w:sz w:val="16"/>
            <w:szCs w:val="16"/>
            <w:u w:val="single" w:color="auto"/>
            <w:color w:val="0000EE"/>
          </w:rPr>
          <w:t>Quarterly Report on Form 10-Q, for the quarter ended September 30, 2019</w:t>
        </w:r>
      </w:hyperlink>
      <w:r>
        <w:rPr>
          <w:rFonts w:ascii="Arial" w:cs="Arial" w:eastAsia="Arial" w:hAnsi="Arial"/>
          <w:sz w:val="16"/>
          <w:szCs w:val="16"/>
          <w:color w:val="auto"/>
        </w:rPr>
        <w:t>, filed with the SEC on November 12, 2019;</w:t>
      </w: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our Current Reports on Form 8-K filed with the SEC on </w:t>
      </w:r>
      <w:hyperlink r:id="rId28">
        <w:r>
          <w:rPr>
            <w:rFonts w:ascii="Arial" w:cs="Arial" w:eastAsia="Arial" w:hAnsi="Arial"/>
            <w:sz w:val="16"/>
            <w:szCs w:val="16"/>
            <w:u w:val="single" w:color="auto"/>
            <w:color w:val="0000EE"/>
          </w:rPr>
          <w:t>January 22, 2019</w:t>
        </w:r>
      </w:hyperlink>
      <w:r>
        <w:rPr>
          <w:rFonts w:ascii="Arial" w:cs="Arial" w:eastAsia="Arial" w:hAnsi="Arial"/>
          <w:sz w:val="16"/>
          <w:szCs w:val="16"/>
          <w:color w:val="auto"/>
        </w:rPr>
        <w:t xml:space="preserve">, </w:t>
      </w:r>
      <w:hyperlink r:id="rId29">
        <w:r>
          <w:rPr>
            <w:rFonts w:ascii="Arial" w:cs="Arial" w:eastAsia="Arial" w:hAnsi="Arial"/>
            <w:sz w:val="16"/>
            <w:szCs w:val="16"/>
            <w:u w:val="single" w:color="auto"/>
            <w:color w:val="0000EE"/>
          </w:rPr>
          <w:t>April 11, 2019</w:t>
        </w:r>
      </w:hyperlink>
      <w:r>
        <w:rPr>
          <w:rFonts w:ascii="Arial" w:cs="Arial" w:eastAsia="Arial" w:hAnsi="Arial"/>
          <w:sz w:val="16"/>
          <w:szCs w:val="16"/>
          <w:color w:val="auto"/>
        </w:rPr>
        <w:t xml:space="preserve">, </w:t>
      </w:r>
      <w:hyperlink r:id="rId30">
        <w:r>
          <w:rPr>
            <w:rFonts w:ascii="Arial" w:cs="Arial" w:eastAsia="Arial" w:hAnsi="Arial"/>
            <w:sz w:val="16"/>
            <w:szCs w:val="16"/>
            <w:u w:val="single" w:color="auto"/>
            <w:color w:val="0000EE"/>
          </w:rPr>
          <w:t>June 14, 2019</w:t>
        </w:r>
      </w:hyperlink>
      <w:r>
        <w:rPr>
          <w:rFonts w:ascii="Arial" w:cs="Arial" w:eastAsia="Arial" w:hAnsi="Arial"/>
          <w:sz w:val="16"/>
          <w:szCs w:val="16"/>
          <w:color w:val="auto"/>
        </w:rPr>
        <w:t xml:space="preserve">, </w:t>
      </w:r>
      <w:hyperlink r:id="rId31">
        <w:r>
          <w:rPr>
            <w:rFonts w:ascii="Arial" w:cs="Arial" w:eastAsia="Arial" w:hAnsi="Arial"/>
            <w:sz w:val="16"/>
            <w:szCs w:val="16"/>
            <w:u w:val="single" w:color="auto"/>
            <w:color w:val="0000EE"/>
          </w:rPr>
          <w:t>August 6,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(other than Item 2.02 and related exhibit), and </w:t>
      </w:r>
      <w:hyperlink r:id="rId32">
        <w:r>
          <w:rPr>
            <w:rFonts w:ascii="Arial" w:cs="Arial" w:eastAsia="Arial" w:hAnsi="Arial"/>
            <w:sz w:val="16"/>
            <w:szCs w:val="16"/>
            <w:u w:val="single" w:color="auto"/>
            <w:color w:val="0000EE"/>
          </w:rPr>
          <w:t>August 14, 2019</w:t>
        </w:r>
      </w:hyperlink>
      <w:r>
        <w:rPr>
          <w:rFonts w:ascii="Arial" w:cs="Arial" w:eastAsia="Arial" w:hAnsi="Arial"/>
          <w:sz w:val="16"/>
          <w:szCs w:val="16"/>
          <w:color w:val="auto"/>
        </w:rPr>
        <w:t>; and</w:t>
      </w:r>
    </w:p>
    <w:p>
      <w:pPr>
        <w:spacing w:after="0" w:line="346" w:lineRule="exact"/>
        <w:rPr>
          <w:rFonts w:ascii="Arial" w:cs="Arial" w:eastAsia="Arial" w:hAnsi="Arial"/>
          <w:sz w:val="16"/>
          <w:szCs w:val="16"/>
          <w:color w:val="auto"/>
        </w:rPr>
      </w:pPr>
    </w:p>
    <w:p>
      <w:pPr>
        <w:ind w:left="580" w:hanging="287"/>
        <w:spacing w:after="0" w:line="287"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set forth in our registration statement on </w:t>
      </w:r>
      <w:hyperlink r:id="rId33">
        <w:r>
          <w:rPr>
            <w:rFonts w:ascii="Arial" w:cs="Arial" w:eastAsia="Arial" w:hAnsi="Arial"/>
            <w:sz w:val="16"/>
            <w:szCs w:val="16"/>
            <w:u w:val="single" w:color="auto"/>
            <w:color w:val="0000EE"/>
          </w:rPr>
          <w:t>Form 8-A, filed with the SEC on October 11, 2018</w:t>
        </w:r>
      </w:hyperlink>
      <w:r>
        <w:rPr>
          <w:rFonts w:ascii="Arial" w:cs="Arial" w:eastAsia="Arial" w:hAnsi="Arial"/>
          <w:sz w:val="16"/>
          <w:szCs w:val="16"/>
          <w:color w:val="auto"/>
        </w:rPr>
        <w:t>, including any amendment or report filed for the purpose of updating such description.</w:t>
      </w:r>
    </w:p>
    <w:p>
      <w:pPr>
        <w:spacing w:after="0" w:line="261" w:lineRule="exact"/>
        <w:rPr>
          <w:rFonts w:ascii="Arial" w:cs="Arial" w:eastAsia="Arial" w:hAnsi="Arial"/>
          <w:sz w:val="16"/>
          <w:szCs w:val="16"/>
          <w:color w:val="auto"/>
        </w:rPr>
      </w:pPr>
    </w:p>
    <w:p>
      <w:pPr>
        <w:jc w:val="both"/>
        <w:ind w:firstLine="270"/>
        <w:spacing w:after="0" w:line="260"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which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 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spacing w:after="0" w:line="170"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SI-BONE, Inc.</w:t>
      </w:r>
    </w:p>
    <w:p>
      <w:pPr>
        <w:spacing w:after="0" w:line="24"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471 El Camino Real, Suite 101</w:t>
      </w:r>
    </w:p>
    <w:p>
      <w:pPr>
        <w:spacing w:after="0" w:line="1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Santa Clara, California 95050</w:t>
      </w:r>
    </w:p>
    <w:p>
      <w:pPr>
        <w:spacing w:after="0" w:line="1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Attn: Corporate Secretary</w:t>
      </w:r>
    </w:p>
    <w:p>
      <w:pPr>
        <w:spacing w:after="0" w:line="14" w:lineRule="exact"/>
        <w:rPr>
          <w:rFonts w:ascii="Arial" w:cs="Arial" w:eastAsia="Arial" w:hAnsi="Arial"/>
          <w:sz w:val="16"/>
          <w:szCs w:val="16"/>
          <w:color w:val="auto"/>
        </w:rPr>
      </w:pPr>
    </w:p>
    <w:p>
      <w:pPr>
        <w:jc w:val="center"/>
        <w:spacing w:after="0" w:line="184" w:lineRule="exact"/>
        <w:rPr>
          <w:sz w:val="20"/>
          <w:szCs w:val="20"/>
          <w:color w:val="auto"/>
        </w:rPr>
      </w:pPr>
      <w:r>
        <w:rPr>
          <w:rFonts w:ascii="Arial" w:cs="Arial" w:eastAsia="Arial" w:hAnsi="Arial"/>
          <w:sz w:val="16"/>
          <w:szCs w:val="16"/>
          <w:color w:val="auto"/>
        </w:rPr>
        <w:t>(408) 207</w:t>
      </w:r>
      <w:r>
        <w:rPr>
          <w:rFonts w:ascii="MS PGothic" w:cs="MS PGothic" w:eastAsia="MS PGothic" w:hAnsi="MS PGothic"/>
          <w:sz w:val="16"/>
          <w:szCs w:val="16"/>
          <w:color w:val="auto"/>
        </w:rPr>
        <w:t>‑</w:t>
      </w:r>
      <w:r>
        <w:rPr>
          <w:rFonts w:ascii="Arial" w:cs="Arial" w:eastAsia="Arial" w:hAnsi="Arial"/>
          <w:sz w:val="16"/>
          <w:szCs w:val="16"/>
          <w:color w:val="auto"/>
        </w:rPr>
        <w:t>0700</w:t>
      </w:r>
    </w:p>
    <w:p>
      <w:pPr>
        <w:sectPr>
          <w:pgSz w:w="11900" w:h="16838" w:orient="portrait"/>
          <w:cols w:equalWidth="0" w:num="1">
            <w:col w:w="11420"/>
          </w:cols>
          <w:pgMar w:left="240" w:top="738" w:right="239" w:bottom="1440" w:gutter="0" w:footer="0" w:header="0"/>
        </w:sectPr>
      </w:pPr>
    </w:p>
    <w:p>
      <w:pPr>
        <w:spacing w:after="0" w:line="200" w:lineRule="exact"/>
        <w:rPr>
          <w:rFonts w:ascii="Arial" w:cs="Arial" w:eastAsia="Arial" w:hAnsi="Arial"/>
          <w:sz w:val="16"/>
          <w:szCs w:val="16"/>
          <w:color w:val="auto"/>
        </w:rPr>
      </w:pPr>
    </w:p>
    <w:p>
      <w:pPr>
        <w:spacing w:after="0" w:line="255"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738"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PART II</w:t>
      </w:r>
    </w:p>
    <w:p>
      <w:pPr>
        <w:spacing w:after="0" w:line="234"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INFORMATION NOT REQUIRED IN THE PROSPECTUS</w:t>
      </w:r>
    </w:p>
    <w:p>
      <w:pPr>
        <w:spacing w:after="0" w:line="234"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4"/>
          <w:szCs w:val="14"/>
          <w:b w:val="1"/>
          <w:bCs w:val="1"/>
          <w:color w:val="auto"/>
        </w:rPr>
        <w:t>Other Expenses of Issuance and Distribution</w:t>
      </w:r>
    </w:p>
    <w:p>
      <w:pPr>
        <w:spacing w:after="0" w:line="201" w:lineRule="exact"/>
        <w:rPr>
          <w:sz w:val="20"/>
          <w:szCs w:val="20"/>
          <w:color w:val="auto"/>
        </w:rPr>
      </w:pPr>
    </w:p>
    <w:p>
      <w:pPr>
        <w:jc w:val="both"/>
        <w:ind w:firstLine="295"/>
        <w:spacing w:after="0" w:line="319" w:lineRule="auto"/>
        <w:rPr>
          <w:sz w:val="20"/>
          <w:szCs w:val="20"/>
          <w:color w:val="auto"/>
        </w:rPr>
      </w:pPr>
      <w:r>
        <w:rPr>
          <w:rFonts w:ascii="Arial" w:cs="Arial" w:eastAsia="Arial" w:hAnsi="Arial"/>
          <w:sz w:val="16"/>
          <w:szCs w:val="16"/>
          <w:color w:val="auto"/>
        </w:rPr>
        <w:t>The following table sets forth an estimate of the fees and expenses, other than the underwriting discounts and commissions, payable by the registrant in connection with the issuance and distribution of the securities being registered. All the amounts shown are estimates, except for the SEC registration fee.</w:t>
      </w:r>
    </w:p>
    <w:p>
      <w:pPr>
        <w:spacing w:after="0" w:line="339" w:lineRule="exact"/>
        <w:rPr>
          <w:sz w:val="20"/>
          <w:szCs w:val="20"/>
          <w:color w:val="auto"/>
        </w:rPr>
      </w:pPr>
    </w:p>
    <w:tbl>
      <w:tblPr>
        <w:tblLayout w:type="fixed"/>
        <w:tblInd w:w="1600" w:type="dxa"/>
        <w:tblCellMar>
          <w:top w:w="0" w:type="dxa"/>
          <w:left w:w="0" w:type="dxa"/>
          <w:bottom w:w="0" w:type="dxa"/>
          <w:right w:w="0" w:type="dxa"/>
        </w:tblCellMar>
      </w:tblPr>
      <w:tr>
        <w:trPr>
          <w:trHeight w:val="172"/>
        </w:trPr>
        <w:tc>
          <w:tcPr>
            <w:tcW w:w="68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6"/>
                <w:szCs w:val="16"/>
                <w:color w:val="auto"/>
              </w:rPr>
              <w:t>SEC registration fee</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27"/>
              <w:spacing w:after="0"/>
              <w:rPr>
                <w:sz w:val="20"/>
                <w:szCs w:val="20"/>
                <w:color w:val="auto"/>
              </w:rPr>
            </w:pPr>
            <w:r>
              <w:rPr>
                <w:rFonts w:ascii="Arial" w:cs="Arial" w:eastAsia="Arial" w:hAnsi="Arial"/>
                <w:sz w:val="15"/>
                <w:szCs w:val="15"/>
                <w:color w:val="auto"/>
              </w:rPr>
              <w:t>25,960</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0"/>
                <w:szCs w:val="20"/>
                <w:color w:val="auto"/>
              </w:rPr>
            </w:pPr>
            <w:r>
              <w:rPr>
                <w:rFonts w:ascii="Arial" w:cs="Arial" w:eastAsia="Arial" w:hAnsi="Arial"/>
                <w:sz w:val="16"/>
                <w:szCs w:val="16"/>
                <w:color w:val="auto"/>
              </w:rPr>
              <w:t>The Nasdaq Global Market listing fee</w:t>
            </w:r>
          </w:p>
        </w:tc>
        <w:tc>
          <w:tcPr>
            <w:tcW w:w="28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6860" w:type="dxa"/>
            <w:vAlign w:val="bottom"/>
          </w:tcPr>
          <w:p>
            <w:pPr>
              <w:spacing w:after="0"/>
              <w:rPr>
                <w:sz w:val="20"/>
                <w:szCs w:val="20"/>
                <w:color w:val="auto"/>
              </w:rPr>
            </w:pPr>
            <w:r>
              <w:rPr>
                <w:rFonts w:ascii="Arial" w:cs="Arial" w:eastAsia="Arial" w:hAnsi="Arial"/>
                <w:sz w:val="16"/>
                <w:szCs w:val="16"/>
                <w:color w:val="auto"/>
              </w:rPr>
              <w:t>FINRA filing fee (if applicable)</w:t>
            </w:r>
          </w:p>
        </w:tc>
        <w:tc>
          <w:tcPr>
            <w:tcW w:w="28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686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28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686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28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6860" w:type="dxa"/>
            <w:vAlign w:val="bottom"/>
          </w:tcPr>
          <w:p>
            <w:pPr>
              <w:spacing w:after="0"/>
              <w:rPr>
                <w:sz w:val="20"/>
                <w:szCs w:val="20"/>
                <w:color w:val="auto"/>
              </w:rPr>
            </w:pPr>
            <w:r>
              <w:rPr>
                <w:rFonts w:ascii="Arial" w:cs="Arial" w:eastAsia="Arial" w:hAnsi="Arial"/>
                <w:sz w:val="16"/>
                <w:szCs w:val="16"/>
                <w:color w:val="auto"/>
              </w:rPr>
              <w:t>Transfer agent and registrar fees and expenses</w:t>
            </w:r>
          </w:p>
        </w:tc>
        <w:tc>
          <w:tcPr>
            <w:tcW w:w="28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6"/>
        </w:trPr>
        <w:tc>
          <w:tcPr>
            <w:tcW w:w="6860" w:type="dxa"/>
            <w:vAlign w:val="bottom"/>
          </w:tcPr>
          <w:p>
            <w:pPr>
              <w:spacing w:after="0"/>
              <w:rPr>
                <w:sz w:val="20"/>
                <w:szCs w:val="20"/>
                <w:color w:val="auto"/>
              </w:rPr>
            </w:pPr>
            <w:r>
              <w:rPr>
                <w:rFonts w:ascii="Arial" w:cs="Arial" w:eastAsia="Arial" w:hAnsi="Arial"/>
                <w:sz w:val="16"/>
                <w:szCs w:val="16"/>
                <w:color w:val="auto"/>
              </w:rPr>
              <w:t>Printing and miscellaneous fees and expenses</w:t>
            </w:r>
          </w:p>
        </w:tc>
        <w:tc>
          <w:tcPr>
            <w:tcW w:w="28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
        </w:trPr>
        <w:tc>
          <w:tcPr>
            <w:tcW w:w="686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8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0"/>
        </w:trPr>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These fees are calculated based on the securities offered and the number of issuances and accordingly cannot be estimated at this time.</w:t>
      </w:r>
    </w:p>
    <w:p>
      <w:pPr>
        <w:spacing w:after="0" w:line="200" w:lineRule="exact"/>
        <w:rPr>
          <w:sz w:val="20"/>
          <w:szCs w:val="20"/>
          <w:color w:val="auto"/>
        </w:rPr>
      </w:pPr>
    </w:p>
    <w:p>
      <w:pPr>
        <w:spacing w:after="0" w:line="202"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4"/>
          <w:szCs w:val="14"/>
          <w:b w:val="1"/>
          <w:bCs w:val="1"/>
          <w:color w:val="auto"/>
        </w:rPr>
        <w:t>Indemnification of Directors and Officers</w:t>
      </w:r>
    </w:p>
    <w:p>
      <w:pPr>
        <w:spacing w:after="0" w:line="287" w:lineRule="exact"/>
        <w:rPr>
          <w:sz w:val="20"/>
          <w:szCs w:val="20"/>
          <w:color w:val="auto"/>
        </w:rPr>
      </w:pPr>
    </w:p>
    <w:p>
      <w:pPr>
        <w:jc w:val="both"/>
        <w:ind w:firstLine="406"/>
        <w:spacing w:after="0" w:line="266" w:lineRule="auto"/>
        <w:rPr>
          <w:sz w:val="20"/>
          <w:szCs w:val="20"/>
          <w:color w:val="auto"/>
        </w:rPr>
      </w:pPr>
      <w:r>
        <w:rPr>
          <w:rFonts w:ascii="Arial" w:cs="Arial" w:eastAsia="Arial" w:hAnsi="Arial"/>
          <w:sz w:val="16"/>
          <w:szCs w:val="16"/>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68" w:lineRule="exact"/>
        <w:rPr>
          <w:sz w:val="20"/>
          <w:szCs w:val="20"/>
          <w:color w:val="auto"/>
        </w:rPr>
      </w:pPr>
    </w:p>
    <w:p>
      <w:pPr>
        <w:jc w:val="both"/>
        <w:ind w:firstLine="406"/>
        <w:spacing w:after="0" w:line="272" w:lineRule="auto"/>
        <w:rPr>
          <w:sz w:val="20"/>
          <w:szCs w:val="20"/>
          <w:color w:val="auto"/>
        </w:rPr>
      </w:pPr>
      <w:r>
        <w:rPr>
          <w:rFonts w:ascii="Arial" w:cs="Arial" w:eastAsia="Arial" w:hAnsi="Arial"/>
          <w:sz w:val="16"/>
          <w:szCs w:val="16"/>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59" w:lineRule="exact"/>
        <w:rPr>
          <w:sz w:val="20"/>
          <w:szCs w:val="20"/>
          <w:color w:val="auto"/>
        </w:rPr>
      </w:pPr>
    </w:p>
    <w:p>
      <w:pPr>
        <w:ind w:left="580" w:hanging="287"/>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any breach of the director’s duty of loyalty to us or our stockholders;</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acts or omissions not in good faith or that involve intentional misconduct or a knowing violation of law;</w:t>
      </w:r>
    </w:p>
    <w:p>
      <w:pPr>
        <w:spacing w:after="0" w:line="111" w:lineRule="exact"/>
        <w:rPr>
          <w:rFonts w:ascii="Arial" w:cs="Arial" w:eastAsia="Arial" w:hAnsi="Arial"/>
          <w:sz w:val="16"/>
          <w:szCs w:val="16"/>
          <w:color w:val="auto"/>
        </w:rPr>
      </w:pPr>
    </w:p>
    <w:p>
      <w:pPr>
        <w:ind w:left="580" w:hanging="287"/>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respect of unlawful payments of dividends or unlawful stock repurchases or redemptions as provided in Section 174 of the Delaware General Corporation Law; or</w:t>
      </w:r>
    </w:p>
    <w:p>
      <w:pPr>
        <w:spacing w:after="0" w:line="134" w:lineRule="exact"/>
        <w:rPr>
          <w:rFonts w:ascii="Arial" w:cs="Arial" w:eastAsia="Arial" w:hAnsi="Arial"/>
          <w:sz w:val="14"/>
          <w:szCs w:val="14"/>
          <w:color w:val="auto"/>
        </w:rPr>
      </w:pPr>
    </w:p>
    <w:p>
      <w:pPr>
        <w:ind w:left="580" w:hanging="287"/>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derives any improper personal benefit.</w:t>
      </w:r>
    </w:p>
    <w:p>
      <w:pPr>
        <w:spacing w:after="0" w:line="308" w:lineRule="exact"/>
        <w:rPr>
          <w:sz w:val="20"/>
          <w:szCs w:val="20"/>
          <w:color w:val="auto"/>
        </w:rPr>
      </w:pPr>
    </w:p>
    <w:p>
      <w:pPr>
        <w:jc w:val="both"/>
        <w:ind w:firstLine="406"/>
        <w:spacing w:after="0" w:line="261" w:lineRule="auto"/>
        <w:rPr>
          <w:sz w:val="20"/>
          <w:szCs w:val="20"/>
          <w:color w:val="auto"/>
        </w:rPr>
      </w:pPr>
      <w:r>
        <w:rPr>
          <w:rFonts w:ascii="Arial" w:cs="Arial" w:eastAsia="Arial" w:hAnsi="Arial"/>
          <w:sz w:val="16"/>
          <w:szCs w:val="16"/>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420"/>
          </w:cols>
          <w:pgMar w:left="240" w:top="738" w:right="239" w:bottom="1440" w:gutter="0" w:footer="0" w:header="0"/>
        </w:sectPr>
      </w:pPr>
    </w:p>
    <w:bookmarkStart w:id="28" w:name="page29"/>
    <w:bookmarkEnd w:id="28"/>
    <w:p>
      <w:pPr>
        <w:jc w:val="both"/>
        <w:ind w:left="2" w:firstLine="406"/>
        <w:spacing w:after="0" w:line="262" w:lineRule="auto"/>
        <w:rPr>
          <w:sz w:val="20"/>
          <w:szCs w:val="20"/>
          <w:color w:val="auto"/>
        </w:rPr>
      </w:pPr>
      <w:r>
        <w:rPr>
          <w:rFonts w:ascii="Arial" w:cs="Arial" w:eastAsia="Arial" w:hAnsi="Arial"/>
          <w:sz w:val="16"/>
          <w:szCs w:val="16"/>
          <w:color w:val="auto"/>
        </w:rPr>
        <w:t>We have entered into, and intend to continue to enter into, indemnification agreements with each of our directors and executive officers and certain other key employees. The form of our indemnification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72" w:lineRule="exact"/>
        <w:rPr>
          <w:sz w:val="20"/>
          <w:szCs w:val="20"/>
          <w:color w:val="auto"/>
        </w:rPr>
      </w:pPr>
    </w:p>
    <w:p>
      <w:pPr>
        <w:jc w:val="both"/>
        <w:ind w:left="2" w:firstLine="406"/>
        <w:spacing w:after="0" w:line="287" w:lineRule="auto"/>
        <w:rPr>
          <w:sz w:val="20"/>
          <w:szCs w:val="20"/>
          <w:color w:val="auto"/>
        </w:rPr>
      </w:pPr>
      <w:r>
        <w:rPr>
          <w:rFonts w:ascii="Arial" w:cs="Arial" w:eastAsia="Arial" w:hAnsi="Arial"/>
          <w:sz w:val="16"/>
          <w:szCs w:val="16"/>
          <w:color w:val="auto"/>
        </w:rPr>
        <w:t>Section 1.9 of our amended and restated investors’ rights agreement, or IRA, provides for indemnification of certain of our stockholders against liabilities described in our IRA.</w:t>
      </w:r>
    </w:p>
    <w:p>
      <w:pPr>
        <w:spacing w:after="0" w:line="150" w:lineRule="exact"/>
        <w:rPr>
          <w:sz w:val="20"/>
          <w:szCs w:val="20"/>
          <w:color w:val="auto"/>
        </w:rPr>
      </w:pPr>
    </w:p>
    <w:p>
      <w:pPr>
        <w:jc w:val="both"/>
        <w:ind w:left="2" w:firstLine="406"/>
        <w:spacing w:after="0" w:line="287" w:lineRule="auto"/>
        <w:rPr>
          <w:sz w:val="20"/>
          <w:szCs w:val="20"/>
          <w:color w:val="auto"/>
        </w:rPr>
      </w:pPr>
      <w:r>
        <w:rPr>
          <w:rFonts w:ascii="Arial" w:cs="Arial" w:eastAsia="Arial" w:hAnsi="Arial"/>
          <w:sz w:val="16"/>
          <w:szCs w:val="16"/>
          <w:color w:val="auto"/>
        </w:rPr>
        <w:t>We maintain insurance policies that indemnify our directors and officers against various liabilities under the Securities Act and the Exchange Act of 1934, as amended, that might be incurred by any director or officer in his or her capacity as such.</w:t>
      </w:r>
    </w:p>
    <w:p>
      <w:pPr>
        <w:spacing w:after="0" w:line="162" w:lineRule="exact"/>
        <w:rPr>
          <w:sz w:val="20"/>
          <w:szCs w:val="20"/>
          <w:color w:val="auto"/>
        </w:rPr>
      </w:pPr>
    </w:p>
    <w:p>
      <w:pPr>
        <w:jc w:val="both"/>
        <w:ind w:left="2" w:firstLine="295"/>
        <w:spacing w:after="0" w:line="319" w:lineRule="auto"/>
        <w:rPr>
          <w:sz w:val="20"/>
          <w:szCs w:val="20"/>
          <w:color w:val="auto"/>
        </w:rPr>
      </w:pPr>
      <w:r>
        <w:rPr>
          <w:rFonts w:ascii="Arial" w:cs="Arial" w:eastAsia="Arial" w:hAnsi="Arial"/>
          <w:sz w:val="16"/>
          <w:szCs w:val="16"/>
          <w:color w:val="auto"/>
        </w:rPr>
        <w:t>The underwriting agreement that we may enter into (Exhibit 1.1) may provide for indemnification by any underwriters of SI-BONE, its directors, its officers who sign the registration statement and SI-BONE’s controlling persons for some liabilities, including liabilities arising under the Securities Act.</w:t>
      </w:r>
    </w:p>
    <w:p>
      <w:pPr>
        <w:spacing w:after="0" w:line="85" w:lineRule="exact"/>
        <w:rPr>
          <w:sz w:val="20"/>
          <w:szCs w:val="20"/>
          <w:color w:val="auto"/>
        </w:rPr>
      </w:pPr>
    </w:p>
    <w:p>
      <w:pPr>
        <w:ind w:left="2"/>
        <w:spacing w:after="0"/>
        <w:tabs>
          <w:tab w:leader="none" w:pos="721"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4"/>
          <w:szCs w:val="14"/>
          <w:b w:val="1"/>
          <w:bCs w:val="1"/>
          <w:color w:val="auto"/>
        </w:rPr>
        <w:t>Exhibits</w:t>
      </w:r>
    </w:p>
    <w:p>
      <w:pPr>
        <w:spacing w:after="0" w:line="22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 w:type="dxa"/>
        <w:tblCellMar>
          <w:top w:w="0" w:type="dxa"/>
          <w:left w:w="0" w:type="dxa"/>
          <w:bottom w:w="0" w:type="dxa"/>
          <w:right w:w="0" w:type="dxa"/>
        </w:tblCellMar>
      </w:tblPr>
      <w:tr>
        <w:trPr>
          <w:trHeight w:val="174"/>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Incorporation by Reference</w:t>
            </w: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7"/>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Exhibit/</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60"/>
        </w:trPr>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Exhibit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Appendix</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r>
      <w:tr>
        <w:trPr>
          <w:trHeight w:val="174"/>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Form</w:t>
            </w:r>
          </w:p>
        </w:tc>
        <w:tc>
          <w:tcPr>
            <w:tcW w:w="120" w:type="dxa"/>
            <w:vAlign w:val="bottom"/>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File Number</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Reference</w:t>
            </w:r>
          </w:p>
        </w:tc>
        <w:tc>
          <w:tcPr>
            <w:tcW w:w="100" w:type="dxa"/>
            <w:vAlign w:val="bottom"/>
          </w:tcPr>
          <w:p>
            <w:pPr>
              <w:spacing w:after="0"/>
              <w:rPr>
                <w:sz w:val="15"/>
                <w:szCs w:val="15"/>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Filing Date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Herewith</w:t>
            </w:r>
          </w:p>
        </w:tc>
      </w:tr>
      <w:tr>
        <w:trPr>
          <w:trHeight w:val="218"/>
        </w:trPr>
        <w:tc>
          <w:tcPr>
            <w:tcW w:w="900" w:type="dxa"/>
            <w:vAlign w:val="bottom"/>
          </w:tcPr>
          <w:p>
            <w:pPr>
              <w:jc w:val="center"/>
              <w:spacing w:after="0"/>
              <w:rPr>
                <w:sz w:val="20"/>
                <w:szCs w:val="20"/>
                <w:color w:val="auto"/>
              </w:rPr>
            </w:pPr>
            <w:r>
              <w:rPr>
                <w:rFonts w:ascii="Arial" w:cs="Arial" w:eastAsia="Arial" w:hAnsi="Arial"/>
                <w:sz w:val="16"/>
                <w:szCs w:val="16"/>
                <w:color w:val="auto"/>
                <w:w w:val="98"/>
              </w:rPr>
              <w:t>1.1*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20" w:type="dxa"/>
            <w:vAlign w:val="bottom"/>
            <w:gridSpan w:val="17"/>
          </w:tcPr>
          <w:p>
            <w:pPr>
              <w:spacing w:after="0"/>
              <w:rPr>
                <w:sz w:val="20"/>
                <w:szCs w:val="20"/>
                <w:color w:val="auto"/>
              </w:rPr>
            </w:pPr>
            <w:r>
              <w:rPr>
                <w:rFonts w:ascii="Arial" w:cs="Arial" w:eastAsia="Arial" w:hAnsi="Arial"/>
                <w:sz w:val="16"/>
                <w:szCs w:val="16"/>
                <w:color w:val="auto"/>
              </w:rPr>
              <w:t>Form of Underwriting Agreement.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9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20" w:type="dxa"/>
            <w:vAlign w:val="bottom"/>
            <w:gridSpan w:val="17"/>
          </w:tcPr>
          <w:p>
            <w:pPr>
              <w:spacing w:after="0"/>
              <w:rPr>
                <w:rFonts w:ascii="Arial" w:cs="Arial" w:eastAsia="Arial" w:hAnsi="Arial"/>
                <w:sz w:val="16"/>
                <w:szCs w:val="16"/>
                <w:color w:val="0000EE"/>
              </w:rPr>
            </w:pPr>
            <w:hyperlink r:id="rId34">
              <w:r>
                <w:rPr>
                  <w:rFonts w:ascii="Arial" w:cs="Arial" w:eastAsia="Arial" w:hAnsi="Arial"/>
                  <w:sz w:val="16"/>
                  <w:szCs w:val="16"/>
                  <w:color w:val="0000EE"/>
                </w:rPr>
                <w:t>Amended and Restated Certificate of Incorporation.</w:t>
              </w:r>
            </w:hyperlink>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001-38701</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4"/>
              </w:rPr>
              <w:t>10/19/2018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6"/>
        </w:trPr>
        <w:tc>
          <w:tcPr>
            <w:tcW w:w="9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1"/>
              </w:rPr>
            </w:pPr>
            <w:hyperlink r:id="rId35">
              <w:r>
                <w:rPr>
                  <w:rFonts w:ascii="Arial" w:cs="Arial" w:eastAsia="Arial" w:hAnsi="Arial"/>
                  <w:sz w:val="16"/>
                  <w:szCs w:val="16"/>
                  <w:color w:val="0000EE"/>
                  <w:w w:val="91"/>
                </w:rPr>
                <w:t>Amended and Restated Bylaws</w:t>
              </w:r>
            </w:hyperlink>
          </w:p>
        </w:tc>
        <w:tc>
          <w:tcPr>
            <w:tcW w:w="1340" w:type="dxa"/>
            <w:vAlign w:val="bottom"/>
            <w:tcBorders>
              <w:top w:val="single" w:sz="8" w:color="0000EE"/>
            </w:tcBorders>
            <w:gridSpan w:val="8"/>
          </w:tcPr>
          <w:p>
            <w:pPr>
              <w:spacing w:after="0"/>
              <w:rPr>
                <w:sz w:val="19"/>
                <w:szCs w:val="19"/>
                <w:color w:val="auto"/>
              </w:rPr>
            </w:pPr>
          </w:p>
        </w:tc>
        <w:tc>
          <w:tcPr>
            <w:tcW w:w="420" w:type="dxa"/>
            <w:vAlign w:val="bottom"/>
            <w:gridSpan w:val="3"/>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333-227445</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10/5/2018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6"/>
        </w:trPr>
        <w:tc>
          <w:tcPr>
            <w:tcW w:w="9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20" w:type="dxa"/>
            <w:vAlign w:val="bottom"/>
            <w:gridSpan w:val="17"/>
          </w:tcPr>
          <w:p>
            <w:pPr>
              <w:spacing w:after="0"/>
              <w:rPr>
                <w:rFonts w:ascii="Arial" w:cs="Arial" w:eastAsia="Arial" w:hAnsi="Arial"/>
                <w:sz w:val="16"/>
                <w:szCs w:val="16"/>
                <w:color w:val="auto"/>
              </w:rPr>
            </w:pPr>
            <w:r>
              <w:rPr>
                <w:rFonts w:ascii="Arial" w:cs="Arial" w:eastAsia="Arial" w:hAnsi="Arial"/>
                <w:sz w:val="16"/>
                <w:szCs w:val="16"/>
                <w:color w:val="auto"/>
              </w:rPr>
              <w:t xml:space="preserve">Reference is made to Exhibits </w:t>
            </w:r>
            <w:hyperlink r:id="rId34">
              <w:r>
                <w:rPr>
                  <w:rFonts w:ascii="Arial" w:cs="Arial" w:eastAsia="Arial" w:hAnsi="Arial"/>
                  <w:sz w:val="16"/>
                  <w:szCs w:val="16"/>
                  <w:color w:val="0000EE"/>
                </w:rPr>
                <w:t>3.1</w:t>
              </w:r>
              <w:r>
                <w:rPr>
                  <w:rFonts w:ascii="Arial" w:cs="Arial" w:eastAsia="Arial" w:hAnsi="Arial"/>
                  <w:sz w:val="16"/>
                  <w:szCs w:val="16"/>
                  <w:color w:val="auto"/>
                </w:rPr>
                <w:t xml:space="preserve"> </w:t>
              </w:r>
            </w:hyperlink>
            <w:r>
              <w:rPr>
                <w:rFonts w:ascii="Arial" w:cs="Arial" w:eastAsia="Arial" w:hAnsi="Arial"/>
                <w:sz w:val="16"/>
                <w:szCs w:val="16"/>
                <w:color w:val="auto"/>
              </w:rPr>
              <w:t xml:space="preserve">and </w:t>
            </w:r>
            <w:hyperlink r:id="rId35">
              <w:r>
                <w:rPr>
                  <w:rFonts w:ascii="Arial" w:cs="Arial" w:eastAsia="Arial" w:hAnsi="Arial"/>
                  <w:sz w:val="16"/>
                  <w:szCs w:val="16"/>
                  <w:color w:val="0000EE"/>
                </w:rPr>
                <w:t>3.2</w:t>
              </w:r>
            </w:hyperlink>
            <w:r>
              <w:rPr>
                <w:rFonts w:ascii="Arial" w:cs="Arial" w:eastAsia="Arial" w:hAnsi="Arial"/>
                <w:sz w:val="16"/>
                <w:szCs w:val="16"/>
                <w:color w:val="auto"/>
              </w:rPr>
              <w:t>.</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6"/>
        </w:trPr>
        <w:tc>
          <w:tcPr>
            <w:tcW w:w="9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20" w:type="dxa"/>
            <w:vAlign w:val="bottom"/>
            <w:gridSpan w:val="17"/>
          </w:tcPr>
          <w:p>
            <w:pPr>
              <w:spacing w:after="0"/>
              <w:rPr>
                <w:rFonts w:ascii="Arial" w:cs="Arial" w:eastAsia="Arial" w:hAnsi="Arial"/>
                <w:sz w:val="16"/>
                <w:szCs w:val="16"/>
                <w:color w:val="0000EE"/>
              </w:rPr>
            </w:pPr>
            <w:hyperlink r:id="rId36">
              <w:r>
                <w:rPr>
                  <w:rFonts w:ascii="Arial" w:cs="Arial" w:eastAsia="Arial" w:hAnsi="Arial"/>
                  <w:sz w:val="16"/>
                  <w:szCs w:val="16"/>
                  <w:color w:val="0000EE"/>
                </w:rPr>
                <w:t>Form of Common Stock Certificate</w:t>
              </w:r>
            </w:hyperlink>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60" w:type="dxa"/>
            <w:vAlign w:val="bottom"/>
          </w:tcPr>
          <w:p>
            <w:pPr>
              <w:jc w:val="center"/>
              <w:spacing w:after="0"/>
              <w:rPr>
                <w:sz w:val="20"/>
                <w:szCs w:val="20"/>
                <w:color w:val="auto"/>
              </w:rPr>
            </w:pPr>
            <w:r>
              <w:rPr>
                <w:rFonts w:ascii="Arial" w:cs="Arial" w:eastAsia="Arial" w:hAnsi="Arial"/>
                <w:sz w:val="16"/>
                <w:szCs w:val="16"/>
                <w:color w:val="auto"/>
                <w:w w:val="91"/>
              </w:rPr>
              <w:t>333-227445</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10/5/2018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9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20" w:type="dxa"/>
            <w:vAlign w:val="bottom"/>
            <w:gridSpan w:val="17"/>
          </w:tcPr>
          <w:p>
            <w:pPr>
              <w:spacing w:after="0"/>
              <w:rPr>
                <w:sz w:val="20"/>
                <w:szCs w:val="20"/>
                <w:color w:val="auto"/>
              </w:rPr>
            </w:pPr>
            <w:r>
              <w:rPr>
                <w:rFonts w:ascii="Arial" w:cs="Arial" w:eastAsia="Arial" w:hAnsi="Arial"/>
                <w:sz w:val="16"/>
                <w:szCs w:val="16"/>
                <w:color w:val="auto"/>
              </w:rPr>
              <w:t>Specimen Preferred Stock Certificate and Form of</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08"/>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20" w:type="dxa"/>
            <w:vAlign w:val="bottom"/>
            <w:gridSpan w:val="17"/>
          </w:tcPr>
          <w:p>
            <w:pPr>
              <w:spacing w:after="0"/>
              <w:rPr>
                <w:sz w:val="20"/>
                <w:szCs w:val="20"/>
                <w:color w:val="auto"/>
              </w:rPr>
            </w:pPr>
            <w:r>
              <w:rPr>
                <w:rFonts w:ascii="Arial" w:cs="Arial" w:eastAsia="Arial" w:hAnsi="Arial"/>
                <w:sz w:val="16"/>
                <w:szCs w:val="16"/>
                <w:color w:val="auto"/>
              </w:rPr>
              <w:t>Certificate of Designation of Preferred Stock</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90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20" w:type="dxa"/>
            <w:vAlign w:val="bottom"/>
            <w:gridSpan w:val="17"/>
          </w:tcPr>
          <w:p>
            <w:pPr>
              <w:spacing w:after="0"/>
              <w:rPr>
                <w:sz w:val="20"/>
                <w:szCs w:val="20"/>
                <w:color w:val="auto"/>
              </w:rPr>
            </w:pPr>
            <w:r>
              <w:rPr>
                <w:rFonts w:ascii="Arial" w:cs="Arial" w:eastAsia="Arial" w:hAnsi="Arial"/>
                <w:sz w:val="16"/>
                <w:szCs w:val="16"/>
                <w:color w:val="0000EE"/>
              </w:rPr>
              <w:t>Form of Debt Indenture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x</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2"/>
        </w:trPr>
        <w:tc>
          <w:tcPr>
            <w:tcW w:w="90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20" w:type="dxa"/>
            <w:vAlign w:val="bottom"/>
            <w:gridSpan w:val="17"/>
          </w:tcPr>
          <w:p>
            <w:pPr>
              <w:spacing w:after="0"/>
              <w:rPr>
                <w:sz w:val="20"/>
                <w:szCs w:val="20"/>
                <w:color w:val="auto"/>
              </w:rPr>
            </w:pPr>
            <w:r>
              <w:rPr>
                <w:rFonts w:ascii="Arial" w:cs="Arial" w:eastAsia="Arial" w:hAnsi="Arial"/>
                <w:sz w:val="16"/>
                <w:szCs w:val="16"/>
                <w:color w:val="auto"/>
              </w:rPr>
              <w:t>Form of Debt Securities</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0"/>
        </w:trPr>
        <w:tc>
          <w:tcPr>
            <w:tcW w:w="900" w:type="dxa"/>
            <w:vAlign w:val="bottom"/>
          </w:tcPr>
          <w:p>
            <w:pPr>
              <w:jc w:val="center"/>
              <w:spacing w:after="0"/>
              <w:rPr>
                <w:sz w:val="20"/>
                <w:szCs w:val="20"/>
                <w:color w:val="auto"/>
              </w:rPr>
            </w:pPr>
            <w:r>
              <w:rPr>
                <w:rFonts w:ascii="Arial" w:cs="Arial" w:eastAsia="Arial" w:hAnsi="Arial"/>
                <w:sz w:val="16"/>
                <w:szCs w:val="16"/>
                <w:color w:val="auto"/>
                <w:w w:val="89"/>
              </w:rPr>
              <w:t>4.6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w w:val="92"/>
              </w:rPr>
              <w:t>Form of Common Stock Warrant Agreement and</w:t>
            </w:r>
          </w:p>
        </w:tc>
        <w:tc>
          <w:tcPr>
            <w:tcW w:w="600" w:type="dxa"/>
            <w:vAlign w:val="bottom"/>
            <w:gridSpan w:val="4"/>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x</w:t>
            </w:r>
          </w:p>
        </w:tc>
      </w:tr>
      <w:tr>
        <w:trPr>
          <w:trHeight w:val="177"/>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bottom w:val="single" w:sz="8" w:color="0000EE"/>
            </w:tcBorders>
            <w:gridSpan w:val="3"/>
          </w:tcPr>
          <w:p>
            <w:pPr>
              <w:spacing w:after="0" w:line="177" w:lineRule="exact"/>
              <w:rPr>
                <w:sz w:val="20"/>
                <w:szCs w:val="20"/>
                <w:color w:val="auto"/>
              </w:rPr>
            </w:pPr>
            <w:r>
              <w:rPr>
                <w:rFonts w:ascii="Arial" w:cs="Arial" w:eastAsia="Arial" w:hAnsi="Arial"/>
                <w:sz w:val="16"/>
                <w:szCs w:val="16"/>
                <w:color w:val="0000EE"/>
                <w:w w:val="94"/>
              </w:rPr>
              <w:t>Warrant Certificate</w:t>
            </w:r>
          </w:p>
        </w:tc>
        <w:tc>
          <w:tcPr>
            <w:tcW w:w="2540" w:type="dxa"/>
            <w:vAlign w:val="bottom"/>
            <w:gridSpan w:val="14"/>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6"/>
        </w:trPr>
        <w:tc>
          <w:tcPr>
            <w:tcW w:w="900" w:type="dxa"/>
            <w:vAlign w:val="bottom"/>
          </w:tcPr>
          <w:p>
            <w:pPr>
              <w:jc w:val="center"/>
              <w:spacing w:after="0"/>
              <w:rPr>
                <w:sz w:val="20"/>
                <w:szCs w:val="20"/>
                <w:color w:val="auto"/>
              </w:rPr>
            </w:pPr>
            <w:r>
              <w:rPr>
                <w:rFonts w:ascii="Arial" w:cs="Arial" w:eastAsia="Arial" w:hAnsi="Arial"/>
                <w:sz w:val="16"/>
                <w:szCs w:val="16"/>
                <w:color w:val="auto"/>
                <w:w w:val="89"/>
              </w:rPr>
              <w:t>4.7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20" w:type="dxa"/>
            <w:vAlign w:val="bottom"/>
            <w:gridSpan w:val="17"/>
          </w:tcPr>
          <w:p>
            <w:pPr>
              <w:spacing w:after="0"/>
              <w:rPr>
                <w:sz w:val="20"/>
                <w:szCs w:val="20"/>
                <w:color w:val="auto"/>
              </w:rPr>
            </w:pPr>
            <w:r>
              <w:rPr>
                <w:rFonts w:ascii="Arial" w:cs="Arial" w:eastAsia="Arial" w:hAnsi="Arial"/>
                <w:sz w:val="16"/>
                <w:szCs w:val="16"/>
                <w:color w:val="0000EE"/>
              </w:rPr>
              <w:t>Form of Preferred Stock Warrant Agreement and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x</w:t>
            </w:r>
          </w:p>
        </w:tc>
      </w:tr>
      <w:tr>
        <w:trPr>
          <w:trHeight w:val="177"/>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0000EE"/>
              <w:bottom w:val="single" w:sz="8" w:color="0000EE"/>
            </w:tcBorders>
            <w:gridSpan w:val="3"/>
          </w:tcPr>
          <w:p>
            <w:pPr>
              <w:spacing w:after="0" w:line="177" w:lineRule="exact"/>
              <w:rPr>
                <w:sz w:val="20"/>
                <w:szCs w:val="20"/>
                <w:color w:val="auto"/>
              </w:rPr>
            </w:pPr>
            <w:r>
              <w:rPr>
                <w:rFonts w:ascii="Arial" w:cs="Arial" w:eastAsia="Arial" w:hAnsi="Arial"/>
                <w:sz w:val="16"/>
                <w:szCs w:val="16"/>
                <w:color w:val="0000EE"/>
                <w:w w:val="94"/>
              </w:rPr>
              <w:t>Warrant Certificate</w:t>
            </w:r>
          </w:p>
        </w:tc>
        <w:tc>
          <w:tcPr>
            <w:tcW w:w="1920" w:type="dxa"/>
            <w:vAlign w:val="bottom"/>
            <w:tcBorders>
              <w:top w:val="single" w:sz="8" w:color="0000EE"/>
            </w:tcBorders>
            <w:gridSpan w:val="9"/>
          </w:tcPr>
          <w:p>
            <w:pPr>
              <w:spacing w:after="0"/>
              <w:rPr>
                <w:sz w:val="15"/>
                <w:szCs w:val="15"/>
                <w:color w:val="auto"/>
              </w:rPr>
            </w:pPr>
          </w:p>
        </w:tc>
        <w:tc>
          <w:tcPr>
            <w:tcW w:w="620" w:type="dxa"/>
            <w:vAlign w:val="bottom"/>
            <w:gridSpan w:val="5"/>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6"/>
        </w:trPr>
        <w:tc>
          <w:tcPr>
            <w:tcW w:w="90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20" w:type="dxa"/>
            <w:vAlign w:val="bottom"/>
            <w:gridSpan w:val="17"/>
          </w:tcPr>
          <w:p>
            <w:pPr>
              <w:spacing w:after="0"/>
              <w:rPr>
                <w:sz w:val="20"/>
                <w:szCs w:val="20"/>
                <w:color w:val="auto"/>
              </w:rPr>
            </w:pPr>
            <w:r>
              <w:rPr>
                <w:rFonts w:ascii="Arial" w:cs="Arial" w:eastAsia="Arial" w:hAnsi="Arial"/>
                <w:sz w:val="16"/>
                <w:szCs w:val="16"/>
                <w:color w:val="0000EE"/>
              </w:rPr>
              <w:t>Form of Debt Securities Warrant Agreement and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x</w:t>
            </w:r>
          </w:p>
        </w:tc>
      </w:tr>
      <w:tr>
        <w:trPr>
          <w:trHeight w:val="177"/>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2"/>
          </w:tcPr>
          <w:p>
            <w:pPr>
              <w:spacing w:after="0" w:line="177" w:lineRule="exact"/>
              <w:rPr>
                <w:sz w:val="20"/>
                <w:szCs w:val="20"/>
                <w:color w:val="auto"/>
              </w:rPr>
            </w:pPr>
            <w:r>
              <w:rPr>
                <w:rFonts w:ascii="Arial" w:cs="Arial" w:eastAsia="Arial" w:hAnsi="Arial"/>
                <w:sz w:val="16"/>
                <w:szCs w:val="16"/>
                <w:color w:val="0000EE"/>
                <w:w w:val="92"/>
              </w:rPr>
              <w:t>Warrant Certificate</w:t>
            </w:r>
          </w:p>
        </w:tc>
        <w:tc>
          <w:tcPr>
            <w:tcW w:w="1920" w:type="dxa"/>
            <w:vAlign w:val="bottom"/>
            <w:tcBorders>
              <w:top w:val="single" w:sz="8" w:color="0000EE"/>
            </w:tcBorders>
            <w:gridSpan w:val="9"/>
          </w:tcPr>
          <w:p>
            <w:pPr>
              <w:spacing w:after="0"/>
              <w:rPr>
                <w:sz w:val="15"/>
                <w:szCs w:val="15"/>
                <w:color w:val="auto"/>
              </w:rPr>
            </w:pPr>
          </w:p>
        </w:tc>
        <w:tc>
          <w:tcPr>
            <w:tcW w:w="640" w:type="dxa"/>
            <w:vAlign w:val="bottom"/>
            <w:gridSpan w:val="6"/>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6"/>
        </w:trPr>
        <w:tc>
          <w:tcPr>
            <w:tcW w:w="90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20" w:type="dxa"/>
            <w:vAlign w:val="bottom"/>
            <w:gridSpan w:val="17"/>
          </w:tcPr>
          <w:p>
            <w:pPr>
              <w:spacing w:after="0"/>
              <w:rPr>
                <w:sz w:val="20"/>
                <w:szCs w:val="20"/>
                <w:color w:val="auto"/>
              </w:rPr>
            </w:pPr>
            <w:r>
              <w:rPr>
                <w:rFonts w:ascii="Arial" w:cs="Arial" w:eastAsia="Arial" w:hAnsi="Arial"/>
                <w:sz w:val="16"/>
                <w:szCs w:val="16"/>
                <w:color w:val="0000EE"/>
              </w:rPr>
              <w:t>Opinion of Cooley LLP</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x</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6"/>
        </w:trPr>
        <w:tc>
          <w:tcPr>
            <w:tcW w:w="90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58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w w:val="92"/>
              </w:rPr>
              <w:t>Consent of Independent Registered Public Accounting</w:t>
            </w:r>
          </w:p>
        </w:tc>
        <w:tc>
          <w:tcPr>
            <w:tcW w:w="240" w:type="dxa"/>
            <w:vAlign w:val="bottom"/>
            <w:gridSpan w:val="2"/>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x</w:t>
            </w:r>
          </w:p>
        </w:tc>
      </w:tr>
      <w:tr>
        <w:trPr>
          <w:trHeight w:val="177"/>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bottom w:val="single" w:sz="8" w:color="0000EE"/>
            </w:tcBorders>
          </w:tcPr>
          <w:p>
            <w:pPr>
              <w:spacing w:after="0" w:line="177" w:lineRule="exact"/>
              <w:rPr>
                <w:sz w:val="20"/>
                <w:szCs w:val="20"/>
                <w:color w:val="auto"/>
              </w:rPr>
            </w:pPr>
            <w:r>
              <w:rPr>
                <w:rFonts w:ascii="Arial" w:cs="Arial" w:eastAsia="Arial" w:hAnsi="Arial"/>
                <w:sz w:val="16"/>
                <w:szCs w:val="16"/>
                <w:color w:val="0000EE"/>
                <w:w w:val="93"/>
              </w:rPr>
              <w:t>Firm</w:t>
            </w:r>
          </w:p>
        </w:tc>
        <w:tc>
          <w:tcPr>
            <w:tcW w:w="3500" w:type="dxa"/>
            <w:vAlign w:val="bottom"/>
            <w:gridSpan w:val="16"/>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spacing w:after="0" w:line="50" w:lineRule="exact"/>
        <w:rPr>
          <w:sz w:val="20"/>
          <w:szCs w:val="20"/>
          <w:color w:val="auto"/>
        </w:rPr>
      </w:pPr>
    </w:p>
    <w:p>
      <w:pPr>
        <w:sectPr>
          <w:pgSz w:w="11900" w:h="16838" w:orient="portrait"/>
          <w:cols w:equalWidth="0" w:num="1">
            <w:col w:w="11422"/>
          </w:cols>
          <w:pgMar w:left="238" w:top="926" w:right="239" w:bottom="1440" w:gutter="0" w:footer="0" w:header="0"/>
        </w:sectPr>
      </w:pPr>
    </w:p>
    <w:p>
      <w:pPr>
        <w:spacing w:after="0" w:line="11" w:lineRule="exact"/>
        <w:rPr>
          <w:sz w:val="20"/>
          <w:szCs w:val="20"/>
          <w:color w:val="auto"/>
        </w:rPr>
      </w:pPr>
    </w:p>
    <w:p>
      <w:pPr>
        <w:ind w:left="322"/>
        <w:spacing w:after="0"/>
        <w:rPr>
          <w:sz w:val="20"/>
          <w:szCs w:val="20"/>
          <w:color w:val="auto"/>
        </w:rPr>
      </w:pPr>
      <w:r>
        <w:rPr>
          <w:rFonts w:ascii="Arial" w:cs="Arial" w:eastAsia="Arial" w:hAnsi="Arial"/>
          <w:sz w:val="16"/>
          <w:szCs w:val="16"/>
          <w:color w:val="auto"/>
        </w:rPr>
        <w:t>23.2</w:t>
      </w:r>
    </w:p>
    <w:p>
      <w:pPr>
        <w:spacing w:after="0" w:line="62" w:lineRule="exact"/>
        <w:rPr>
          <w:sz w:val="20"/>
          <w:szCs w:val="20"/>
          <w:color w:val="auto"/>
        </w:rPr>
      </w:pPr>
    </w:p>
    <w:p>
      <w:pPr>
        <w:ind w:left="322"/>
        <w:spacing w:after="0"/>
        <w:rPr>
          <w:sz w:val="20"/>
          <w:szCs w:val="20"/>
          <w:color w:val="auto"/>
        </w:rPr>
      </w:pPr>
      <w:r>
        <w:rPr>
          <w:rFonts w:ascii="Arial" w:cs="Arial" w:eastAsia="Arial" w:hAnsi="Arial"/>
          <w:sz w:val="16"/>
          <w:szCs w:val="16"/>
          <w:color w:val="auto"/>
        </w:rPr>
        <w:t>24.1</w:t>
      </w:r>
    </w:p>
    <w:p>
      <w:pPr>
        <w:spacing w:after="0" w:line="62" w:lineRule="exact"/>
        <w:rPr>
          <w:sz w:val="20"/>
          <w:szCs w:val="20"/>
          <w:color w:val="auto"/>
        </w:rPr>
      </w:pPr>
    </w:p>
    <w:p>
      <w:pPr>
        <w:ind w:left="282"/>
        <w:spacing w:after="0"/>
        <w:rPr>
          <w:sz w:val="20"/>
          <w:szCs w:val="20"/>
          <w:color w:val="auto"/>
        </w:rPr>
      </w:pPr>
      <w:r>
        <w:rPr>
          <w:rFonts w:ascii="Arial" w:cs="Arial" w:eastAsia="Arial" w:hAnsi="Arial"/>
          <w:sz w:val="15"/>
          <w:szCs w:val="15"/>
          <w:color w:val="auto"/>
        </w:rPr>
        <w:t>25.1*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620" w:type="dxa"/>
            <w:vAlign w:val="bottom"/>
            <w:gridSpan w:val="3"/>
          </w:tcPr>
          <w:p>
            <w:pPr>
              <w:spacing w:after="0"/>
              <w:rPr>
                <w:sz w:val="20"/>
                <w:szCs w:val="20"/>
                <w:color w:val="auto"/>
              </w:rPr>
            </w:pPr>
            <w:r>
              <w:rPr>
                <w:rFonts w:ascii="Arial" w:cs="Arial" w:eastAsia="Arial" w:hAnsi="Arial"/>
                <w:sz w:val="16"/>
                <w:szCs w:val="16"/>
                <w:color w:val="0000EE"/>
              </w:rPr>
              <w:t xml:space="preserve">Consent of Cooley LLP </w:t>
            </w:r>
            <w:r>
              <w:rPr>
                <w:rFonts w:ascii="Arial" w:cs="Arial" w:eastAsia="Arial" w:hAnsi="Arial"/>
                <w:sz w:val="16"/>
                <w:szCs w:val="16"/>
                <w:color w:val="000000"/>
              </w:rPr>
              <w:t>(See Exhibit 5.1)</w:t>
            </w:r>
          </w:p>
        </w:tc>
        <w:tc>
          <w:tcPr>
            <w:tcW w:w="3260" w:type="dxa"/>
            <w:vAlign w:val="bottom"/>
          </w:tcPr>
          <w:p>
            <w:pPr>
              <w:ind w:left="3180"/>
              <w:spacing w:after="0"/>
              <w:rPr>
                <w:sz w:val="20"/>
                <w:szCs w:val="20"/>
                <w:color w:val="auto"/>
              </w:rPr>
            </w:pPr>
            <w:r>
              <w:rPr>
                <w:rFonts w:ascii="Arial" w:cs="Arial" w:eastAsia="Arial" w:hAnsi="Arial"/>
                <w:sz w:val="16"/>
                <w:szCs w:val="16"/>
                <w:color w:val="auto"/>
                <w:w w:val="74"/>
              </w:rPr>
              <w:t>x</w:t>
            </w: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26"/>
        </w:trPr>
        <w:tc>
          <w:tcPr>
            <w:tcW w:w="6620" w:type="dxa"/>
            <w:vAlign w:val="bottom"/>
            <w:gridSpan w:val="3"/>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 xml:space="preserve">Power of Attorney </w:t>
              </w:r>
            </w:hyperlink>
            <w:r>
              <w:rPr>
                <w:rFonts w:ascii="Arial" w:cs="Arial" w:eastAsia="Arial" w:hAnsi="Arial"/>
                <w:sz w:val="16"/>
                <w:szCs w:val="16"/>
                <w:color w:val="000000"/>
              </w:rPr>
              <w:t>(See</w:t>
            </w:r>
            <w:r>
              <w:rPr>
                <w:rFonts w:ascii="Arial" w:cs="Arial" w:eastAsia="Arial" w:hAnsi="Arial"/>
                <w:sz w:val="16"/>
                <w:szCs w:val="16"/>
                <w:color w:val="0000EE"/>
              </w:rPr>
              <w:t xml:space="preserve"> </w:t>
            </w:r>
            <w:r>
              <w:rPr>
                <w:rFonts w:ascii="Arial" w:cs="Arial" w:eastAsia="Arial" w:hAnsi="Arial"/>
                <w:sz w:val="16"/>
                <w:szCs w:val="16"/>
                <w:color w:val="000000"/>
              </w:rPr>
              <w:t>signature page)</w:t>
            </w:r>
          </w:p>
        </w:tc>
        <w:tc>
          <w:tcPr>
            <w:tcW w:w="3260" w:type="dxa"/>
            <w:vAlign w:val="bottom"/>
          </w:tcPr>
          <w:p>
            <w:pPr>
              <w:ind w:left="3180"/>
              <w:spacing w:after="0"/>
              <w:rPr>
                <w:sz w:val="20"/>
                <w:szCs w:val="20"/>
                <w:color w:val="auto"/>
              </w:rPr>
            </w:pPr>
            <w:r>
              <w:rPr>
                <w:rFonts w:ascii="Arial" w:cs="Arial" w:eastAsia="Arial" w:hAnsi="Arial"/>
                <w:sz w:val="16"/>
                <w:szCs w:val="16"/>
                <w:color w:val="auto"/>
                <w:w w:val="74"/>
              </w:rPr>
              <w:t>x</w:t>
            </w:r>
          </w:p>
        </w:tc>
      </w:tr>
      <w:tr>
        <w:trPr>
          <w:trHeight w:val="20"/>
        </w:trPr>
        <w:tc>
          <w:tcPr>
            <w:tcW w:w="1220" w:type="dxa"/>
            <w:vAlign w:val="bottom"/>
            <w:shd w:val="clear" w:color="auto" w:fill="0000EE"/>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75"/>
        </w:trPr>
        <w:tc>
          <w:tcPr>
            <w:tcW w:w="6620" w:type="dxa"/>
            <w:vAlign w:val="bottom"/>
            <w:gridSpan w:val="3"/>
          </w:tcPr>
          <w:p>
            <w:pPr>
              <w:spacing w:after="0"/>
              <w:rPr>
                <w:sz w:val="20"/>
                <w:szCs w:val="20"/>
                <w:color w:val="auto"/>
              </w:rPr>
            </w:pPr>
            <w:r>
              <w:rPr>
                <w:rFonts w:ascii="Arial" w:cs="Arial" w:eastAsia="Arial" w:hAnsi="Arial"/>
                <w:sz w:val="16"/>
                <w:szCs w:val="16"/>
                <w:color w:val="auto"/>
              </w:rPr>
              <w:t>Statement of Eligibility of Trustee under the Debt</w:t>
            </w:r>
          </w:p>
        </w:tc>
        <w:tc>
          <w:tcPr>
            <w:tcW w:w="3260" w:type="dxa"/>
            <w:vAlign w:val="bottom"/>
          </w:tcPr>
          <w:p>
            <w:pPr>
              <w:spacing w:after="0"/>
              <w:rPr>
                <w:sz w:val="23"/>
                <w:szCs w:val="23"/>
                <w:color w:val="auto"/>
              </w:rPr>
            </w:pPr>
          </w:p>
        </w:tc>
      </w:tr>
      <w:tr>
        <w:trPr>
          <w:trHeight w:val="197"/>
        </w:trPr>
        <w:tc>
          <w:tcPr>
            <w:tcW w:w="6620" w:type="dxa"/>
            <w:vAlign w:val="bottom"/>
            <w:gridSpan w:val="3"/>
          </w:tcPr>
          <w:p>
            <w:pPr>
              <w:spacing w:after="0"/>
              <w:rPr>
                <w:sz w:val="20"/>
                <w:szCs w:val="20"/>
                <w:color w:val="auto"/>
              </w:rPr>
            </w:pPr>
            <w:r>
              <w:rPr>
                <w:rFonts w:ascii="Arial" w:cs="Arial" w:eastAsia="Arial" w:hAnsi="Arial"/>
                <w:sz w:val="16"/>
                <w:szCs w:val="16"/>
                <w:color w:val="auto"/>
              </w:rPr>
              <w:t>Indenture (to be filed separately under the electronic</w:t>
            </w:r>
          </w:p>
        </w:tc>
        <w:tc>
          <w:tcPr>
            <w:tcW w:w="3260" w:type="dxa"/>
            <w:vAlign w:val="bottom"/>
          </w:tcPr>
          <w:p>
            <w:pPr>
              <w:spacing w:after="0"/>
              <w:rPr>
                <w:sz w:val="17"/>
                <w:szCs w:val="17"/>
                <w:color w:val="auto"/>
              </w:rPr>
            </w:pPr>
          </w:p>
        </w:tc>
      </w:tr>
      <w:tr>
        <w:trPr>
          <w:trHeight w:val="208"/>
        </w:trPr>
        <w:tc>
          <w:tcPr>
            <w:tcW w:w="6620" w:type="dxa"/>
            <w:vAlign w:val="bottom"/>
            <w:gridSpan w:val="3"/>
          </w:tcPr>
          <w:p>
            <w:pPr>
              <w:spacing w:after="0"/>
              <w:rPr>
                <w:sz w:val="20"/>
                <w:szCs w:val="20"/>
                <w:color w:val="auto"/>
              </w:rPr>
            </w:pPr>
            <w:r>
              <w:rPr>
                <w:rFonts w:ascii="Arial" w:cs="Arial" w:eastAsia="Arial" w:hAnsi="Arial"/>
                <w:sz w:val="16"/>
                <w:szCs w:val="16"/>
                <w:color w:val="auto"/>
              </w:rPr>
              <w:t>form type 305B2, if applicable)</w:t>
            </w:r>
          </w:p>
        </w:tc>
        <w:tc>
          <w:tcPr>
            <w:tcW w:w="3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164465</wp:posOffset>
            </wp:positionV>
            <wp:extent cx="11944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119443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 w:space="440"/>
            <w:col w:w="10340"/>
          </w:cols>
          <w:pgMar w:left="238" w:top="926" w:right="239" w:bottom="1440" w:gutter="0" w:footer="0" w:header="0"/>
          <w:type w:val="continuous"/>
        </w:sectPr>
      </w:pPr>
    </w:p>
    <w:p>
      <w:pPr>
        <w:spacing w:after="0" w:line="76" w:lineRule="exact"/>
        <w:rPr>
          <w:sz w:val="20"/>
          <w:szCs w:val="20"/>
          <w:color w:val="auto"/>
        </w:rPr>
      </w:pPr>
    </w:p>
    <w:p>
      <w:pPr>
        <w:ind w:left="302" w:hanging="302"/>
        <w:spacing w:after="0"/>
        <w:tabs>
          <w:tab w:leader="none" w:pos="302" w:val="left"/>
        </w:tabs>
        <w:numPr>
          <w:ilvl w:val="0"/>
          <w:numId w:val="35"/>
        </w:numPr>
        <w:rPr>
          <w:rFonts w:ascii="Arial" w:cs="Arial" w:eastAsia="Arial" w:hAnsi="Arial"/>
          <w:sz w:val="13"/>
          <w:szCs w:val="13"/>
          <w:color w:val="auto"/>
        </w:rPr>
      </w:pPr>
      <w:r>
        <w:rPr>
          <w:rFonts w:ascii="Arial" w:cs="Arial" w:eastAsia="Arial" w:hAnsi="Arial"/>
          <w:sz w:val="13"/>
          <w:szCs w:val="13"/>
          <w:color w:val="auto"/>
        </w:rPr>
        <w:t>To be filed by amendment or as an exhibit to a Current Report on Form 8-K and incorporated herein by reference, if applicable.</w:t>
      </w:r>
    </w:p>
    <w:p>
      <w:pPr>
        <w:spacing w:after="0" w:line="313" w:lineRule="exact"/>
        <w:rPr>
          <w:rFonts w:ascii="Arial" w:cs="Arial" w:eastAsia="Arial" w:hAnsi="Arial"/>
          <w:sz w:val="13"/>
          <w:szCs w:val="13"/>
          <w:color w:val="auto"/>
        </w:rPr>
      </w:pPr>
    </w:p>
    <w:p>
      <w:pPr>
        <w:ind w:left="5602"/>
        <w:spacing w:after="0"/>
        <w:rPr>
          <w:rFonts w:ascii="Arial" w:cs="Arial" w:eastAsia="Arial" w:hAnsi="Arial"/>
          <w:sz w:val="13"/>
          <w:szCs w:val="13"/>
          <w:color w:val="auto"/>
        </w:rPr>
      </w:pPr>
      <w:r>
        <w:rPr>
          <w:rFonts w:ascii="Arial" w:cs="Arial" w:eastAsia="Arial" w:hAnsi="Arial"/>
          <w:sz w:val="16"/>
          <w:szCs w:val="16"/>
          <w:color w:val="auto"/>
        </w:rPr>
        <w:t>II-2</w:t>
      </w:r>
    </w:p>
    <w:p>
      <w:pPr>
        <w:sectPr>
          <w:pgSz w:w="11900" w:h="16838" w:orient="portrait"/>
          <w:cols w:equalWidth="0" w:num="1">
            <w:col w:w="11422"/>
          </w:cols>
          <w:pgMar w:left="238" w:top="926" w:right="239" w:bottom="1440" w:gutter="0" w:footer="0" w:header="0"/>
          <w:type w:val="continuous"/>
        </w:sectPr>
      </w:pPr>
    </w:p>
    <w:bookmarkStart w:id="29" w:name="page30"/>
    <w:bookmarkEnd w:id="29"/>
    <w:p>
      <w:pPr>
        <w:spacing w:after="0"/>
        <w:tabs>
          <w:tab w:leader="none" w:pos="720"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undersigned registrant hereby undertakes:</w:t>
      </w:r>
    </w:p>
    <w:p>
      <w:pPr>
        <w:spacing w:after="0" w:line="234" w:lineRule="exact"/>
        <w:rPr>
          <w:sz w:val="20"/>
          <w:szCs w:val="20"/>
          <w:color w:val="auto"/>
        </w:rPr>
      </w:pPr>
    </w:p>
    <w:p>
      <w:pPr>
        <w:ind w:left="640" w:hanging="347"/>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33" w:lineRule="exact"/>
        <w:rPr>
          <w:rFonts w:ascii="Arial" w:cs="Arial" w:eastAsia="Arial" w:hAnsi="Arial"/>
          <w:sz w:val="16"/>
          <w:szCs w:val="16"/>
          <w:color w:val="auto"/>
        </w:rPr>
      </w:pPr>
    </w:p>
    <w:p>
      <w:pPr>
        <w:ind w:left="900" w:hanging="312"/>
        <w:spacing w:after="0"/>
        <w:tabs>
          <w:tab w:leader="none" w:pos="9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w:t>
      </w:r>
    </w:p>
    <w:p>
      <w:pPr>
        <w:spacing w:after="0" w:line="233" w:lineRule="exact"/>
        <w:rPr>
          <w:rFonts w:ascii="Arial" w:cs="Arial" w:eastAsia="Arial" w:hAnsi="Arial"/>
          <w:sz w:val="16"/>
          <w:szCs w:val="16"/>
          <w:color w:val="auto"/>
        </w:rPr>
      </w:pPr>
    </w:p>
    <w:p>
      <w:pPr>
        <w:jc w:val="both"/>
        <w:ind w:firstLine="588"/>
        <w:spacing w:after="0" w:line="294" w:lineRule="auto"/>
        <w:tabs>
          <w:tab w:leader="none" w:pos="957"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1" w:lineRule="exact"/>
        <w:rPr>
          <w:rFonts w:ascii="Arial" w:cs="Arial" w:eastAsia="Arial" w:hAnsi="Arial"/>
          <w:sz w:val="16"/>
          <w:szCs w:val="16"/>
          <w:color w:val="auto"/>
        </w:rPr>
      </w:pPr>
    </w:p>
    <w:p>
      <w:pPr>
        <w:ind w:firstLine="588"/>
        <w:spacing w:after="0" w:line="319" w:lineRule="auto"/>
        <w:tabs>
          <w:tab w:leader="none" w:pos="1001"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50" w:lineRule="exact"/>
        <w:rPr>
          <w:sz w:val="20"/>
          <w:szCs w:val="20"/>
          <w:color w:val="auto"/>
        </w:rPr>
      </w:pPr>
    </w:p>
    <w:p>
      <w:pPr>
        <w:jc w:val="both"/>
        <w:ind w:firstLine="295"/>
        <w:spacing w:after="0" w:line="332" w:lineRule="auto"/>
        <w:rPr>
          <w:sz w:val="20"/>
          <w:szCs w:val="20"/>
          <w:color w:val="auto"/>
        </w:rPr>
      </w:pPr>
      <w:r>
        <w:rPr>
          <w:rFonts w:ascii="Arial" w:cs="Arial" w:eastAsia="Arial" w:hAnsi="Arial"/>
          <w:sz w:val="15"/>
          <w:szCs w:val="15"/>
          <w:i w:val="1"/>
          <w:iCs w:val="1"/>
          <w:color w:val="auto"/>
        </w:rPr>
        <w:t xml:space="preserve">provided, however, </w:t>
      </w:r>
      <w:r>
        <w:rPr>
          <w:rFonts w:ascii="Arial" w:cs="Arial" w:eastAsia="Arial" w:hAnsi="Arial"/>
          <w:sz w:val="15"/>
          <w:szCs w:val="15"/>
          <w:color w:val="auto"/>
        </w:rPr>
        <w:t>that paragraphs (1)(i), (1)(ii) and (1)(iii) do not apply if the information required to be included in a post-effective amendment by those paragraphs is</w:t>
      </w:r>
      <w:r>
        <w:rPr>
          <w:rFonts w:ascii="Arial" w:cs="Arial" w:eastAsia="Arial" w:hAnsi="Arial"/>
          <w:sz w:val="15"/>
          <w:szCs w:val="15"/>
          <w:i w:val="1"/>
          <w:iCs w:val="1"/>
          <w:color w:val="auto"/>
        </w:rPr>
        <w:t xml:space="preserve"> </w:t>
      </w:r>
      <w:r>
        <w:rPr>
          <w:rFonts w:ascii="Arial" w:cs="Arial" w:eastAsia="Arial" w:hAnsi="Arial"/>
          <w:sz w:val="15"/>
          <w:szCs w:val="15"/>
          <w:color w:val="auto"/>
        </w:rPr>
        <w:t>contained in reports filed with or furnished to the Commission by the registrant pursuant to Section 13 or 15(d) of the Securities Exchange Act of 1934 that are incorporated by reference in the registration statement, or is contained in a form of prospectus filed pursuant to Rule 424(b) that is part of the registration statement.</w:t>
      </w:r>
    </w:p>
    <w:p>
      <w:pPr>
        <w:spacing w:after="0" w:line="145" w:lineRule="exact"/>
        <w:rPr>
          <w:sz w:val="20"/>
          <w:szCs w:val="20"/>
          <w:color w:val="auto"/>
        </w:rPr>
      </w:pPr>
    </w:p>
    <w:p>
      <w:pPr>
        <w:ind w:firstLine="293"/>
        <w:spacing w:after="0" w:line="357" w:lineRule="auto"/>
        <w:tabs>
          <w:tab w:leader="none" w:pos="682"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126" w:lineRule="exact"/>
        <w:rPr>
          <w:rFonts w:ascii="Arial" w:cs="Arial" w:eastAsia="Arial" w:hAnsi="Arial"/>
          <w:sz w:val="15"/>
          <w:szCs w:val="15"/>
          <w:color w:val="auto"/>
        </w:rPr>
      </w:pPr>
    </w:p>
    <w:p>
      <w:pPr>
        <w:ind w:left="640" w:hanging="347"/>
        <w:spacing w:after="0"/>
        <w:tabs>
          <w:tab w:leader="none" w:pos="6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245" w:lineRule="exact"/>
        <w:rPr>
          <w:rFonts w:ascii="Arial" w:cs="Arial" w:eastAsia="Arial" w:hAnsi="Arial"/>
          <w:sz w:val="15"/>
          <w:szCs w:val="15"/>
          <w:color w:val="auto"/>
        </w:rPr>
      </w:pPr>
    </w:p>
    <w:p>
      <w:pPr>
        <w:ind w:left="640" w:hanging="347"/>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w:t>
      </w:r>
    </w:p>
    <w:p>
      <w:pPr>
        <w:spacing w:after="0" w:line="233" w:lineRule="exact"/>
        <w:rPr>
          <w:rFonts w:ascii="Arial" w:cs="Arial" w:eastAsia="Arial" w:hAnsi="Arial"/>
          <w:sz w:val="16"/>
          <w:szCs w:val="16"/>
          <w:color w:val="auto"/>
        </w:rPr>
      </w:pPr>
    </w:p>
    <w:p>
      <w:pPr>
        <w:ind w:firstLine="662"/>
        <w:spacing w:after="0" w:line="319" w:lineRule="auto"/>
        <w:tabs>
          <w:tab w:leader="none" w:pos="1018" w:val="left"/>
        </w:tabs>
        <w:numPr>
          <w:ilvl w:val="1"/>
          <w:numId w:val="37"/>
        </w:numPr>
        <w:rPr>
          <w:rFonts w:ascii="Arial" w:cs="Arial" w:eastAsia="Arial" w:hAnsi="Arial"/>
          <w:sz w:val="16"/>
          <w:szCs w:val="16"/>
          <w:color w:val="auto"/>
        </w:rPr>
      </w:pPr>
      <w:r>
        <w:rPr>
          <w:rFonts w:ascii="Arial" w:cs="Arial" w:eastAsia="Arial" w:hAnsi="Arial"/>
          <w:sz w:val="16"/>
          <w:szCs w:val="16"/>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50" w:lineRule="exact"/>
        <w:rPr>
          <w:rFonts w:ascii="Arial" w:cs="Arial" w:eastAsia="Arial" w:hAnsi="Arial"/>
          <w:sz w:val="16"/>
          <w:szCs w:val="16"/>
          <w:color w:val="auto"/>
        </w:rPr>
      </w:pPr>
    </w:p>
    <w:p>
      <w:pPr>
        <w:jc w:val="both"/>
        <w:ind w:firstLine="662"/>
        <w:spacing w:after="0" w:line="314" w:lineRule="auto"/>
        <w:tabs>
          <w:tab w:leader="none" w:pos="1072" w:val="left"/>
        </w:tabs>
        <w:numPr>
          <w:ilvl w:val="1"/>
          <w:numId w:val="37"/>
        </w:numPr>
        <w:rPr>
          <w:rFonts w:ascii="Arial" w:cs="Arial" w:eastAsia="Arial" w:hAnsi="Arial"/>
          <w:sz w:val="15"/>
          <w:szCs w:val="15"/>
          <w:color w:val="auto"/>
        </w:rPr>
      </w:pPr>
      <w:r>
        <w:rPr>
          <w:rFonts w:ascii="Arial" w:cs="Arial" w:eastAsia="Arial" w:hAnsi="Arial"/>
          <w:sz w:val="15"/>
          <w:szCs w:val="15"/>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56" w:lineRule="exact"/>
        <w:rPr>
          <w:rFonts w:ascii="Arial" w:cs="Arial" w:eastAsia="Arial" w:hAnsi="Arial"/>
          <w:sz w:val="15"/>
          <w:szCs w:val="15"/>
          <w:color w:val="auto"/>
        </w:rPr>
      </w:pPr>
    </w:p>
    <w:p>
      <w:pPr>
        <w:jc w:val="both"/>
        <w:ind w:firstLine="293"/>
        <w:spacing w:after="0" w:line="299" w:lineRule="auto"/>
        <w:tabs>
          <w:tab w:leader="none" w:pos="71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420"/>
          </w:cols>
          <w:pgMar w:left="240" w:top="738" w:right="239" w:bottom="1440" w:gutter="0" w:footer="0" w:header="0"/>
        </w:sectPr>
      </w:pPr>
    </w:p>
    <w:bookmarkStart w:id="30" w:name="page31"/>
    <w:bookmarkEnd w:id="30"/>
    <w:p>
      <w:pPr>
        <w:ind w:left="900" w:hanging="312"/>
        <w:spacing w:after="0"/>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33" w:lineRule="exact"/>
        <w:rPr>
          <w:rFonts w:ascii="Arial" w:cs="Arial" w:eastAsia="Arial" w:hAnsi="Arial"/>
          <w:sz w:val="16"/>
          <w:szCs w:val="16"/>
          <w:color w:val="auto"/>
        </w:rPr>
      </w:pPr>
    </w:p>
    <w:p>
      <w:pPr>
        <w:ind w:left="940" w:hanging="352"/>
        <w:spacing w:after="0"/>
        <w:tabs>
          <w:tab w:leader="none" w:pos="9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Any free writing prospectus relating to the offering prepared by or on behalf of the undersigned registrant or used or referred to by the undersigned registrant;</w:t>
      </w:r>
    </w:p>
    <w:p>
      <w:pPr>
        <w:spacing w:after="0" w:line="245" w:lineRule="exact"/>
        <w:rPr>
          <w:rFonts w:ascii="Arial" w:cs="Arial" w:eastAsia="Arial" w:hAnsi="Arial"/>
          <w:sz w:val="15"/>
          <w:szCs w:val="15"/>
          <w:color w:val="auto"/>
        </w:rPr>
      </w:pPr>
    </w:p>
    <w:p>
      <w:pPr>
        <w:ind w:right="20" w:firstLine="588"/>
        <w:spacing w:after="0" w:line="319" w:lineRule="auto"/>
        <w:tabs>
          <w:tab w:leader="none" w:pos="1069"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0" w:lineRule="exact"/>
        <w:rPr>
          <w:rFonts w:ascii="Arial" w:cs="Arial" w:eastAsia="Arial" w:hAnsi="Arial"/>
          <w:sz w:val="16"/>
          <w:szCs w:val="16"/>
          <w:color w:val="auto"/>
        </w:rPr>
      </w:pPr>
    </w:p>
    <w:p>
      <w:pPr>
        <w:ind w:left="980" w:hanging="392"/>
        <w:spacing w:after="0"/>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233" w:lineRule="exact"/>
        <w:rPr>
          <w:rFonts w:ascii="Arial" w:cs="Arial" w:eastAsia="Arial" w:hAnsi="Arial"/>
          <w:sz w:val="16"/>
          <w:szCs w:val="16"/>
          <w:color w:val="auto"/>
        </w:rPr>
      </w:pPr>
    </w:p>
    <w:p>
      <w:pPr>
        <w:jc w:val="both"/>
        <w:ind w:right="20" w:firstLine="293"/>
        <w:spacing w:after="0" w:line="324" w:lineRule="auto"/>
        <w:tabs>
          <w:tab w:leader="none" w:pos="672"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285" w:lineRule="exact"/>
        <w:rPr>
          <w:rFonts w:ascii="Arial" w:cs="Arial" w:eastAsia="Arial" w:hAnsi="Arial"/>
          <w:sz w:val="15"/>
          <w:szCs w:val="15"/>
          <w:color w:val="auto"/>
        </w:rPr>
      </w:pPr>
    </w:p>
    <w:p>
      <w:pPr>
        <w:jc w:val="both"/>
        <w:ind w:right="20" w:firstLine="293"/>
        <w:spacing w:after="0" w:line="264" w:lineRule="auto"/>
        <w:tabs>
          <w:tab w:leader="none" w:pos="70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8" w:lineRule="exact"/>
        <w:rPr>
          <w:rFonts w:ascii="Arial" w:cs="Arial" w:eastAsia="Arial" w:hAnsi="Arial"/>
          <w:sz w:val="16"/>
          <w:szCs w:val="16"/>
          <w:color w:val="auto"/>
        </w:rPr>
      </w:pPr>
    </w:p>
    <w:p>
      <w:pPr>
        <w:ind w:right="20" w:firstLine="293"/>
        <w:spacing w:after="0" w:line="287" w:lineRule="auto"/>
        <w:tabs>
          <w:tab w:leader="none" w:pos="69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01" w:lineRule="exact"/>
        <w:rPr>
          <w:sz w:val="20"/>
          <w:szCs w:val="20"/>
          <w:color w:val="auto"/>
        </w:rPr>
      </w:pPr>
    </w:p>
    <w:p>
      <w:pPr>
        <w:jc w:val="both"/>
        <w:ind w:firstLine="295"/>
        <w:spacing w:after="0" w:line="261"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440"/>
          </w:cols>
          <w:pgMar w:left="240" w:top="742"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SIGNATURES</w:t>
      </w:r>
    </w:p>
    <w:p>
      <w:pPr>
        <w:spacing w:after="0" w:line="127" w:lineRule="exact"/>
        <w:rPr>
          <w:sz w:val="20"/>
          <w:szCs w:val="20"/>
          <w:color w:val="auto"/>
        </w:rPr>
      </w:pPr>
    </w:p>
    <w:p>
      <w:pPr>
        <w:jc w:val="both"/>
        <w:ind w:firstLine="295"/>
        <w:spacing w:after="0" w:line="304"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Santa Clara, State of California, on November 13, 2019 .</w:t>
      </w:r>
    </w:p>
    <w:p>
      <w:pPr>
        <w:spacing w:after="0" w:line="194" w:lineRule="exact"/>
        <w:rPr>
          <w:sz w:val="20"/>
          <w:szCs w:val="20"/>
          <w:color w:val="auto"/>
        </w:rPr>
      </w:pPr>
    </w:p>
    <w:p>
      <w:pPr>
        <w:ind w:left="6780"/>
        <w:spacing w:after="0"/>
        <w:rPr>
          <w:sz w:val="20"/>
          <w:szCs w:val="20"/>
          <w:color w:val="auto"/>
        </w:rPr>
      </w:pPr>
      <w:r>
        <w:rPr>
          <w:rFonts w:ascii="Arial" w:cs="Arial" w:eastAsia="Arial" w:hAnsi="Arial"/>
          <w:sz w:val="16"/>
          <w:szCs w:val="16"/>
          <w:b w:val="1"/>
          <w:bCs w:val="1"/>
          <w:color w:val="auto"/>
        </w:rPr>
        <w:t>SI-BONE, INC.</w:t>
      </w:r>
    </w:p>
    <w:p>
      <w:pPr>
        <w:spacing w:after="0" w:line="66" w:lineRule="exact"/>
        <w:rPr>
          <w:sz w:val="20"/>
          <w:szCs w:val="20"/>
          <w:color w:val="auto"/>
        </w:rPr>
      </w:pPr>
    </w:p>
    <w:p>
      <w:pPr>
        <w:ind w:left="6780"/>
        <w:spacing w:after="0"/>
        <w:tabs>
          <w:tab w:leader="none" w:pos="74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4713605</wp:posOffset>
            </wp:positionH>
            <wp:positionV relativeFrom="paragraph">
              <wp:posOffset>31750</wp:posOffset>
            </wp:positionV>
            <wp:extent cx="25444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2544445" cy="7620"/>
                    </a:xfrm>
                    <a:prstGeom prst="rect">
                      <a:avLst/>
                    </a:prstGeom>
                    <a:noFill/>
                  </pic:spPr>
                </pic:pic>
              </a:graphicData>
            </a:graphic>
          </wp:anchor>
        </w:drawing>
      </w:r>
    </w:p>
    <w:p>
      <w:pPr>
        <w:spacing w:after="0" w:line="54"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Jeffrey W. Dunn</w:t>
      </w:r>
    </w:p>
    <w:p>
      <w:pPr>
        <w:spacing w:after="0" w:line="62"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President and Chief Executive Officer and Chairman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136" w:lineRule="exact"/>
        <w:rPr>
          <w:sz w:val="20"/>
          <w:szCs w:val="20"/>
          <w:color w:val="auto"/>
        </w:rPr>
      </w:pPr>
    </w:p>
    <w:p>
      <w:pPr>
        <w:jc w:val="both"/>
        <w:ind w:firstLine="295"/>
        <w:spacing w:after="0" w:line="315" w:lineRule="auto"/>
        <w:rPr>
          <w:sz w:val="20"/>
          <w:szCs w:val="20"/>
          <w:color w:val="auto"/>
        </w:rPr>
      </w:pPr>
      <w:r>
        <w:rPr>
          <w:rFonts w:ascii="Arial" w:cs="Arial" w:eastAsia="Arial" w:hAnsi="Arial"/>
          <w:sz w:val="15"/>
          <w:szCs w:val="15"/>
          <w:b w:val="1"/>
          <w:bCs w:val="1"/>
          <w:color w:val="auto"/>
        </w:rPr>
        <w:t>KNOW ALL PERSONS BY THESE PRESENTS</w:t>
      </w:r>
      <w:r>
        <w:rPr>
          <w:rFonts w:ascii="Arial" w:cs="Arial" w:eastAsia="Arial" w:hAnsi="Arial"/>
          <w:sz w:val="15"/>
          <w:szCs w:val="15"/>
          <w:color w:val="auto"/>
        </w:rPr>
        <w:t>, that each person whose signature appears below constitutes and appoints Jeffrey W. Dunn, Laura Francis and</w:t>
      </w:r>
      <w:r>
        <w:rPr>
          <w:rFonts w:ascii="Arial" w:cs="Arial" w:eastAsia="Arial" w:hAnsi="Arial"/>
          <w:sz w:val="15"/>
          <w:szCs w:val="15"/>
          <w:b w:val="1"/>
          <w:bCs w:val="1"/>
          <w:color w:val="auto"/>
        </w:rPr>
        <w:t xml:space="preserve"> </w:t>
      </w:r>
      <w:r>
        <w:rPr>
          <w:rFonts w:ascii="Arial" w:cs="Arial" w:eastAsia="Arial" w:hAnsi="Arial"/>
          <w:sz w:val="15"/>
          <w:szCs w:val="15"/>
          <w:color w:val="auto"/>
        </w:rPr>
        <w:t>Michael A. Pisetsky, and each of them, as her or his true and lawful attorneys-in-fact and agents, with full powers of substitution and resubstitution, for her or him and in her or his name, place and stead, in any and all capacities, to sign any and all amendments (including post-effective amendments) to this registration statement, and to file the same, with all exhibits thereto, and other documents in connection therewith, with the SEC, and generally to do all such things in her or his name and behalf in her or his capacities as officers and directors to enable the SI-BONE, Inc. to comply with the provisions of the Securities Act of 1933 and all requirements of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her or his substitutes or substitute, may lawfully do or cause to be done by virtue hereof.</w:t>
      </w:r>
    </w:p>
    <w:p>
      <w:pPr>
        <w:spacing w:after="0" w:line="61" w:lineRule="exact"/>
        <w:rPr>
          <w:sz w:val="20"/>
          <w:szCs w:val="20"/>
          <w:color w:val="auto"/>
        </w:rPr>
      </w:pPr>
    </w:p>
    <w:p>
      <w:pPr>
        <w:jc w:val="both"/>
        <w:ind w:firstLine="295"/>
        <w:spacing w:after="0" w:line="319"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420"/>
          </w:cols>
          <w:pgMar w:left="240" w:top="725" w:right="239" w:bottom="1440" w:gutter="0" w:footer="0" w:header="0"/>
        </w:sectPr>
      </w:pPr>
    </w:p>
    <w:p>
      <w:pPr>
        <w:spacing w:after="0" w:line="134"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21697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2169795" cy="7620"/>
                    </a:xfrm>
                    <a:prstGeom prst="rect">
                      <a:avLst/>
                    </a:prstGeom>
                    <a:noFill/>
                  </pic:spPr>
                </pic:pic>
              </a:graphicData>
            </a:graphic>
          </wp:anchor>
        </w:drawing>
      </w:r>
    </w:p>
    <w:p>
      <w:pPr>
        <w:spacing w:after="0" w:line="329"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16979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2169795" cy="7620"/>
                    </a:xfrm>
                    <a:prstGeom prst="rect">
                      <a:avLst/>
                    </a:prstGeom>
                    <a:noFill/>
                  </pic:spPr>
                </pic:pic>
              </a:graphicData>
            </a:graphic>
          </wp:anchor>
        </w:drawing>
      </w:r>
    </w:p>
    <w:p>
      <w:pPr>
        <w:spacing w:after="0" w:line="54"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Jeffrey W. Dunn</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1697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2169795" cy="7620"/>
                    </a:xfrm>
                    <a:prstGeom prst="rect">
                      <a:avLst/>
                    </a:prstGeom>
                    <a:noFill/>
                  </pic:spPr>
                </pic:pic>
              </a:graphicData>
            </a:graphic>
          </wp:anchor>
        </w:drawing>
      </w:r>
    </w:p>
    <w:p>
      <w:pPr>
        <w:spacing w:after="0" w:line="54"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Laura A. Francis</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/s/ 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21697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2169795" cy="7620"/>
                    </a:xfrm>
                    <a:prstGeom prst="rect">
                      <a:avLst/>
                    </a:prstGeom>
                    <a:noFill/>
                  </pic:spPr>
                </pic:pic>
              </a:graphicData>
            </a:graphic>
          </wp:anchor>
        </w:drawing>
      </w:r>
    </w:p>
    <w:p>
      <w:pPr>
        <w:spacing w:after="0" w:line="77"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Timothy E. Davis, Jr.</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Mark J.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1697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2169795" cy="7620"/>
                    </a:xfrm>
                    <a:prstGeom prst="rect">
                      <a:avLst/>
                    </a:prstGeom>
                    <a:noFill/>
                  </pic:spPr>
                </pic:pic>
              </a:graphicData>
            </a:graphic>
          </wp:anchor>
        </w:drawing>
      </w:r>
    </w:p>
    <w:p>
      <w:pPr>
        <w:spacing w:after="0" w:line="54"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Mark J. Foley</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1697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2169795" cy="7620"/>
                    </a:xfrm>
                    <a:prstGeom prst="rect">
                      <a:avLst/>
                    </a:prstGeom>
                    <a:noFill/>
                  </pic:spPr>
                </pic:pic>
              </a:graphicData>
            </a:graphic>
          </wp:anchor>
        </w:drawing>
      </w:r>
    </w:p>
    <w:p>
      <w:pPr>
        <w:spacing w:after="0" w:line="54"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John G. Freund, M.D.</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5"/>
          <w:szCs w:val="15"/>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216979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2169795" cy="7620"/>
                    </a:xfrm>
                    <a:prstGeom prst="rect">
                      <a:avLst/>
                    </a:prstGeom>
                    <a:noFill/>
                  </pic:spPr>
                </pic:pic>
              </a:graphicData>
            </a:graphic>
          </wp:anchor>
        </w:drawing>
      </w:r>
    </w:p>
    <w:p>
      <w:pPr>
        <w:spacing w:after="0" w:line="66"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Gregory K. Hinckley</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Karen A. Licitra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1697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2169795" cy="7620"/>
                    </a:xfrm>
                    <a:prstGeom prst="rect">
                      <a:avLst/>
                    </a:prstGeom>
                    <a:noFill/>
                  </pic:spPr>
                </pic:pic>
              </a:graphicData>
            </a:graphic>
          </wp:anchor>
        </w:drawing>
      </w:r>
    </w:p>
    <w:p>
      <w:pPr>
        <w:spacing w:after="0" w:line="54"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Karen A. Licitra</w:t>
      </w:r>
    </w:p>
    <w:p>
      <w:pPr>
        <w:spacing w:after="0" w:line="222"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Keith C.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1697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2169795" cy="7620"/>
                    </a:xfrm>
                    <a:prstGeom prst="rect">
                      <a:avLst/>
                    </a:prstGeom>
                    <a:noFill/>
                  </pic:spPr>
                </pic:pic>
              </a:graphicData>
            </a:graphic>
          </wp:anchor>
        </w:drawing>
      </w:r>
    </w:p>
    <w:p>
      <w:pPr>
        <w:spacing w:after="0" w:line="54"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Keith C. Valentine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5360" w:type="dxa"/>
            <w:vAlign w:val="bottom"/>
            <w:gridSpan w:val="2"/>
          </w:tcPr>
          <w:p>
            <w:pPr>
              <w:ind w:left="2360"/>
              <w:spacing w:after="0"/>
              <w:rPr>
                <w:sz w:val="20"/>
                <w:szCs w:val="20"/>
                <w:color w:val="auto"/>
              </w:rPr>
            </w:pPr>
            <w:r>
              <w:rPr>
                <w:rFonts w:ascii="Arial" w:cs="Arial" w:eastAsia="Arial" w:hAnsi="Arial"/>
                <w:sz w:val="16"/>
                <w:szCs w:val="16"/>
                <w:b w:val="1"/>
                <w:bCs w:val="1"/>
                <w:color w:val="auto"/>
              </w:rPr>
              <w:t>Title</w:t>
            </w:r>
          </w:p>
        </w:tc>
        <w:tc>
          <w:tcPr>
            <w:tcW w:w="2380" w:type="dxa"/>
            <w:vAlign w:val="bottom"/>
          </w:tcPr>
          <w:p>
            <w:pPr>
              <w:ind w:left="1020"/>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6"/>
        </w:trPr>
        <w:tc>
          <w:tcPr>
            <w:tcW w:w="5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1"/>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President, Chief Executive Officer and Chairman</w:t>
            </w:r>
          </w:p>
        </w:tc>
        <w:tc>
          <w:tcPr>
            <w:tcW w:w="2380" w:type="dxa"/>
            <w:vAlign w:val="bottom"/>
            <w:vMerge w:val="restart"/>
          </w:tcPr>
          <w:p>
            <w:pPr>
              <w:ind w:left="20"/>
              <w:spacing w:after="0"/>
              <w:rPr>
                <w:sz w:val="20"/>
                <w:szCs w:val="20"/>
                <w:color w:val="auto"/>
              </w:rPr>
            </w:pPr>
            <w:r>
              <w:rPr>
                <w:rFonts w:ascii="Arial" w:cs="Arial" w:eastAsia="Arial" w:hAnsi="Arial"/>
                <w:sz w:val="16"/>
                <w:szCs w:val="16"/>
                <w:color w:val="auto"/>
              </w:rPr>
              <w:t>November 13, 2019</w:t>
            </w:r>
          </w:p>
        </w:tc>
        <w:tc>
          <w:tcPr>
            <w:tcW w:w="0" w:type="dxa"/>
            <w:vAlign w:val="bottom"/>
          </w:tcPr>
          <w:p>
            <w:pPr>
              <w:spacing w:after="0"/>
              <w:rPr>
                <w:sz w:val="1"/>
                <w:szCs w:val="1"/>
                <w:color w:val="auto"/>
              </w:rPr>
            </w:pPr>
          </w:p>
        </w:tc>
      </w:tr>
      <w:tr>
        <w:trPr>
          <w:trHeight w:val="134"/>
        </w:trPr>
        <w:tc>
          <w:tcPr>
            <w:tcW w:w="5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(Principal Executive Officer)</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5360" w:type="dxa"/>
            <w:vAlign w:val="bottom"/>
            <w:gridSpan w:val="2"/>
            <w:vMerge w:val="continue"/>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6"/>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Chief Operating Officer and Chief Financial Officer</w:t>
            </w:r>
          </w:p>
        </w:tc>
        <w:tc>
          <w:tcPr>
            <w:tcW w:w="2380" w:type="dxa"/>
            <w:vAlign w:val="bottom"/>
            <w:vMerge w:val="restart"/>
          </w:tcPr>
          <w:p>
            <w:pPr>
              <w:ind w:left="20"/>
              <w:spacing w:after="0"/>
              <w:rPr>
                <w:sz w:val="20"/>
                <w:szCs w:val="20"/>
                <w:color w:val="auto"/>
              </w:rPr>
            </w:pPr>
            <w:r>
              <w:rPr>
                <w:rFonts w:ascii="Arial" w:cs="Arial" w:eastAsia="Arial" w:hAnsi="Arial"/>
                <w:sz w:val="16"/>
                <w:szCs w:val="16"/>
                <w:color w:val="auto"/>
              </w:rPr>
              <w:t>November 13, 2019</w:t>
            </w:r>
          </w:p>
        </w:tc>
        <w:tc>
          <w:tcPr>
            <w:tcW w:w="0" w:type="dxa"/>
            <w:vAlign w:val="bottom"/>
          </w:tcPr>
          <w:p>
            <w:pPr>
              <w:spacing w:after="0"/>
              <w:rPr>
                <w:sz w:val="1"/>
                <w:szCs w:val="1"/>
                <w:color w:val="auto"/>
              </w:rPr>
            </w:pPr>
          </w:p>
        </w:tc>
      </w:tr>
      <w:tr>
        <w:trPr>
          <w:trHeight w:val="134"/>
        </w:trPr>
        <w:tc>
          <w:tcPr>
            <w:tcW w:w="5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(Principal Financial and Accounting Officer)</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5360" w:type="dxa"/>
            <w:vAlign w:val="bottom"/>
            <w:gridSpan w:val="2"/>
            <w:vMerge w:val="continue"/>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0"/>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Lead Independent Director, Director</w:t>
            </w:r>
          </w:p>
        </w:tc>
        <w:tc>
          <w:tcPr>
            <w:tcW w:w="2380" w:type="dxa"/>
            <w:vAlign w:val="bottom"/>
          </w:tcPr>
          <w:p>
            <w:pPr>
              <w:ind w:left="20"/>
              <w:spacing w:after="0"/>
              <w:rPr>
                <w:sz w:val="20"/>
                <w:szCs w:val="20"/>
                <w:color w:val="auto"/>
              </w:rPr>
            </w:pPr>
            <w:r>
              <w:rPr>
                <w:rFonts w:ascii="Arial" w:cs="Arial" w:eastAsia="Arial" w:hAnsi="Arial"/>
                <w:sz w:val="16"/>
                <w:szCs w:val="16"/>
                <w:color w:val="auto"/>
              </w:rPr>
              <w:t>November 13, 2019</w:t>
            </w:r>
          </w:p>
        </w:tc>
        <w:tc>
          <w:tcPr>
            <w:tcW w:w="0" w:type="dxa"/>
            <w:vAlign w:val="bottom"/>
          </w:tcPr>
          <w:p>
            <w:pPr>
              <w:spacing w:after="0"/>
              <w:rPr>
                <w:sz w:val="1"/>
                <w:szCs w:val="1"/>
                <w:color w:val="auto"/>
              </w:rPr>
            </w:pPr>
          </w:p>
        </w:tc>
      </w:tr>
      <w:tr>
        <w:trPr>
          <w:trHeight w:val="664"/>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380" w:type="dxa"/>
            <w:vAlign w:val="bottom"/>
          </w:tcPr>
          <w:p>
            <w:pPr>
              <w:ind w:left="20"/>
              <w:spacing w:after="0"/>
              <w:rPr>
                <w:sz w:val="20"/>
                <w:szCs w:val="20"/>
                <w:color w:val="auto"/>
              </w:rPr>
            </w:pPr>
            <w:r>
              <w:rPr>
                <w:rFonts w:ascii="Arial" w:cs="Arial" w:eastAsia="Arial" w:hAnsi="Arial"/>
                <w:sz w:val="16"/>
                <w:szCs w:val="16"/>
                <w:color w:val="auto"/>
              </w:rPr>
              <w:t>November 13, 2019</w:t>
            </w:r>
          </w:p>
        </w:tc>
        <w:tc>
          <w:tcPr>
            <w:tcW w:w="0" w:type="dxa"/>
            <w:vAlign w:val="bottom"/>
          </w:tcPr>
          <w:p>
            <w:pPr>
              <w:spacing w:after="0"/>
              <w:rPr>
                <w:sz w:val="1"/>
                <w:szCs w:val="1"/>
                <w:color w:val="auto"/>
              </w:rPr>
            </w:pPr>
          </w:p>
        </w:tc>
      </w:tr>
      <w:tr>
        <w:trPr>
          <w:trHeight w:val="664"/>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380" w:type="dxa"/>
            <w:vAlign w:val="bottom"/>
          </w:tcPr>
          <w:p>
            <w:pPr>
              <w:ind w:left="20"/>
              <w:spacing w:after="0"/>
              <w:rPr>
                <w:sz w:val="20"/>
                <w:szCs w:val="20"/>
                <w:color w:val="auto"/>
              </w:rPr>
            </w:pPr>
            <w:r>
              <w:rPr>
                <w:rFonts w:ascii="Arial" w:cs="Arial" w:eastAsia="Arial" w:hAnsi="Arial"/>
                <w:sz w:val="16"/>
                <w:szCs w:val="16"/>
                <w:color w:val="auto"/>
              </w:rPr>
              <w:t>November 13, 2019</w:t>
            </w:r>
          </w:p>
        </w:tc>
        <w:tc>
          <w:tcPr>
            <w:tcW w:w="0" w:type="dxa"/>
            <w:vAlign w:val="bottom"/>
          </w:tcPr>
          <w:p>
            <w:pPr>
              <w:spacing w:after="0"/>
              <w:rPr>
                <w:sz w:val="1"/>
                <w:szCs w:val="1"/>
                <w:color w:val="auto"/>
              </w:rPr>
            </w:pPr>
          </w:p>
        </w:tc>
      </w:tr>
      <w:tr>
        <w:trPr>
          <w:trHeight w:val="664"/>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380" w:type="dxa"/>
            <w:vAlign w:val="bottom"/>
          </w:tcPr>
          <w:p>
            <w:pPr>
              <w:ind w:left="20"/>
              <w:spacing w:after="0"/>
              <w:rPr>
                <w:sz w:val="20"/>
                <w:szCs w:val="20"/>
                <w:color w:val="auto"/>
              </w:rPr>
            </w:pPr>
            <w:r>
              <w:rPr>
                <w:rFonts w:ascii="Arial" w:cs="Arial" w:eastAsia="Arial" w:hAnsi="Arial"/>
                <w:sz w:val="16"/>
                <w:szCs w:val="16"/>
                <w:color w:val="auto"/>
              </w:rPr>
              <w:t>November 13, 2019</w:t>
            </w:r>
          </w:p>
        </w:tc>
        <w:tc>
          <w:tcPr>
            <w:tcW w:w="0" w:type="dxa"/>
            <w:vAlign w:val="bottom"/>
          </w:tcPr>
          <w:p>
            <w:pPr>
              <w:spacing w:after="0"/>
              <w:rPr>
                <w:sz w:val="1"/>
                <w:szCs w:val="1"/>
                <w:color w:val="auto"/>
              </w:rPr>
            </w:pPr>
          </w:p>
        </w:tc>
      </w:tr>
      <w:tr>
        <w:trPr>
          <w:trHeight w:val="664"/>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380" w:type="dxa"/>
            <w:vAlign w:val="bottom"/>
          </w:tcPr>
          <w:p>
            <w:pPr>
              <w:ind w:left="20"/>
              <w:spacing w:after="0"/>
              <w:rPr>
                <w:sz w:val="20"/>
                <w:szCs w:val="20"/>
                <w:color w:val="auto"/>
              </w:rPr>
            </w:pPr>
            <w:r>
              <w:rPr>
                <w:rFonts w:ascii="Arial" w:cs="Arial" w:eastAsia="Arial" w:hAnsi="Arial"/>
                <w:sz w:val="16"/>
                <w:szCs w:val="16"/>
                <w:color w:val="auto"/>
              </w:rPr>
              <w:t>November 13, 2019</w:t>
            </w:r>
          </w:p>
        </w:tc>
        <w:tc>
          <w:tcPr>
            <w:tcW w:w="0" w:type="dxa"/>
            <w:vAlign w:val="bottom"/>
          </w:tcPr>
          <w:p>
            <w:pPr>
              <w:spacing w:after="0"/>
              <w:rPr>
                <w:sz w:val="1"/>
                <w:szCs w:val="1"/>
                <w:color w:val="auto"/>
              </w:rPr>
            </w:pPr>
          </w:p>
        </w:tc>
      </w:tr>
      <w:tr>
        <w:trPr>
          <w:trHeight w:val="664"/>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Director</w:t>
            </w:r>
          </w:p>
        </w:tc>
        <w:tc>
          <w:tcPr>
            <w:tcW w:w="2380" w:type="dxa"/>
            <w:vAlign w:val="bottom"/>
          </w:tcPr>
          <w:p>
            <w:pPr>
              <w:ind w:left="20"/>
              <w:spacing w:after="0"/>
              <w:rPr>
                <w:sz w:val="20"/>
                <w:szCs w:val="20"/>
                <w:color w:val="auto"/>
              </w:rPr>
            </w:pPr>
            <w:r>
              <w:rPr>
                <w:rFonts w:ascii="Arial" w:cs="Arial" w:eastAsia="Arial" w:hAnsi="Arial"/>
                <w:sz w:val="16"/>
                <w:szCs w:val="16"/>
                <w:color w:val="auto"/>
              </w:rPr>
              <w:t>November 13, 2019</w:t>
            </w:r>
          </w:p>
        </w:tc>
        <w:tc>
          <w:tcPr>
            <w:tcW w:w="0" w:type="dxa"/>
            <w:vAlign w:val="bottom"/>
          </w:tcPr>
          <w:p>
            <w:pPr>
              <w:spacing w:after="0"/>
              <w:rPr>
                <w:sz w:val="1"/>
                <w:szCs w:val="1"/>
                <w:color w:val="auto"/>
              </w:rPr>
            </w:pPr>
          </w:p>
        </w:tc>
      </w:tr>
    </w:tbl>
    <w:p>
      <w:pPr>
        <w:spacing w:after="0" w:line="311" w:lineRule="exact"/>
        <w:rPr>
          <w:sz w:val="20"/>
          <w:szCs w:val="20"/>
          <w:color w:val="auto"/>
        </w:rPr>
      </w:pPr>
    </w:p>
    <w:p>
      <w:pPr>
        <w:sectPr>
          <w:pgSz w:w="11900" w:h="16838" w:orient="portrait"/>
          <w:cols w:equalWidth="0" w:num="2">
            <w:col w:w="2920" w:space="720"/>
            <w:col w:w="7780"/>
          </w:cols>
          <w:pgMar w:left="240" w:top="725" w:right="239" w:bottom="1440" w:gutter="0" w:footer="0" w:header="0"/>
          <w:type w:val="continuous"/>
        </w:sect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420"/>
          </w:cols>
          <w:pgMar w:left="240" w:top="725" w:right="23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SI-BONE, INC,</w:t>
      </w:r>
    </w:p>
    <w:p>
      <w:pPr>
        <w:spacing w:after="0" w:line="28"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Iss</w:t>
      </w:r>
      <w:r>
        <w:rPr>
          <w:rFonts w:ascii="Arial" w:cs="Arial" w:eastAsia="Arial" w:hAnsi="Arial"/>
          <w:sz w:val="16"/>
          <w:szCs w:val="16"/>
          <w:color w:val="auto"/>
        </w:rPr>
        <w:t>u</w:t>
      </w:r>
      <w:r>
        <w:rPr>
          <w:rFonts w:ascii="Arial" w:cs="Arial" w:eastAsia="Arial" w:hAnsi="Arial"/>
          <w:sz w:val="16"/>
          <w:szCs w:val="16"/>
          <w:b w:val="1"/>
          <w:bCs w:val="1"/>
          <w:color w:val="auto"/>
        </w:rPr>
        <w:t>er</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AND</w:t>
      </w:r>
    </w:p>
    <w:p>
      <w:pPr>
        <w:spacing w:after="0" w:line="209"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[TRUSTEE],</w:t>
      </w:r>
    </w:p>
    <w:p>
      <w:pPr>
        <w:spacing w:after="0" w:line="28"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Trustee</w:t>
      </w:r>
    </w:p>
    <w:p>
      <w:pPr>
        <w:spacing w:after="0" w:line="391"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_______________</w:t>
      </w:r>
    </w:p>
    <w:p>
      <w:pPr>
        <w:spacing w:after="0" w:line="209"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INDENTURE</w:t>
      </w: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Dated as of [•], 20__</w:t>
      </w:r>
    </w:p>
    <w:p>
      <w:pPr>
        <w:spacing w:after="0" w:line="232"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_______________</w:t>
      </w:r>
    </w:p>
    <w:p>
      <w:pPr>
        <w:spacing w:after="0" w:line="209"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Debt Securities</w:t>
      </w:r>
    </w:p>
    <w:p>
      <w:pPr>
        <w:sectPr>
          <w:pgSz w:w="11900" w:h="16838" w:orient="portrait"/>
          <w:cols w:equalWidth="0" w:num="1">
            <w:col w:w="10220"/>
          </w:cols>
          <w:pgMar w:left="1440" w:top="344" w:right="239" w:bottom="1440" w:gutter="0" w:footer="0" w:header="0"/>
        </w:sectPr>
      </w:pPr>
    </w:p>
    <w:bookmarkStart w:id="33" w:name="page34"/>
    <w:bookmarkEnd w:id="33"/>
    <w:p>
      <w:pPr>
        <w:ind w:left="350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60" w:type="dxa"/>
            <w:vAlign w:val="bottom"/>
          </w:tcPr>
          <w:p>
            <w:pPr>
              <w:ind w:left="820"/>
              <w:spacing w:after="0"/>
              <w:rPr>
                <w:sz w:val="20"/>
                <w:szCs w:val="20"/>
                <w:color w:val="auto"/>
              </w:rPr>
            </w:pPr>
            <w:r>
              <w:rPr>
                <w:rFonts w:ascii="Arial" w:cs="Arial" w:eastAsia="Arial" w:hAnsi="Arial"/>
                <w:sz w:val="16"/>
                <w:szCs w:val="16"/>
                <w:b w:val="1"/>
                <w:bCs w:val="1"/>
                <w:color w:val="auto"/>
                <w:w w:val="92"/>
              </w:rPr>
              <w:t>PAGE</w:t>
            </w:r>
          </w:p>
        </w:tc>
      </w:tr>
      <w:tr>
        <w:trPr>
          <w:trHeight w:val="406"/>
        </w:trPr>
        <w:tc>
          <w:tcPr>
            <w:tcW w:w="8860" w:type="dxa"/>
            <w:vAlign w:val="bottom"/>
            <w:gridSpan w:val="2"/>
          </w:tcPr>
          <w:p>
            <w:pPr>
              <w:spacing w:after="0"/>
              <w:rPr>
                <w:sz w:val="20"/>
                <w:szCs w:val="20"/>
                <w:color w:val="auto"/>
              </w:rPr>
            </w:pPr>
            <w:r>
              <w:rPr>
                <w:rFonts w:ascii="Arial" w:cs="Arial" w:eastAsia="Arial" w:hAnsi="Arial"/>
                <w:sz w:val="16"/>
                <w:szCs w:val="16"/>
                <w:color w:val="auto"/>
              </w:rPr>
              <w:t>ARTICLE 1 DEFINITIONS</w:t>
            </w:r>
          </w:p>
        </w:tc>
        <w:tc>
          <w:tcPr>
            <w:tcW w:w="1260" w:type="dxa"/>
            <w:vAlign w:val="bottom"/>
          </w:tcPr>
          <w:p>
            <w:pPr>
              <w:spacing w:after="0"/>
              <w:rPr>
                <w:sz w:val="24"/>
                <w:szCs w:val="24"/>
                <w:color w:val="auto"/>
              </w:rPr>
            </w:pP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1.01  Definitions of Terms</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w:t>
            </w:r>
          </w:p>
        </w:tc>
      </w:tr>
      <w:tr>
        <w:trPr>
          <w:trHeight w:val="541"/>
        </w:trPr>
        <w:tc>
          <w:tcPr>
            <w:tcW w:w="8860" w:type="dxa"/>
            <w:vAlign w:val="bottom"/>
            <w:gridSpan w:val="2"/>
          </w:tcPr>
          <w:p>
            <w:pPr>
              <w:spacing w:after="0"/>
              <w:rPr>
                <w:sz w:val="20"/>
                <w:szCs w:val="20"/>
                <w:color w:val="auto"/>
              </w:rPr>
            </w:pPr>
            <w:r>
              <w:rPr>
                <w:rFonts w:ascii="Arial" w:cs="Arial" w:eastAsia="Arial" w:hAnsi="Arial"/>
                <w:sz w:val="16"/>
                <w:szCs w:val="16"/>
                <w:color w:val="auto"/>
              </w:rPr>
              <w:t>ARTICLE 2  ISSUE, DESCRIPTION, TERMS, EXECUTION, REGISTRATION AND EXCHANGE OF SECURITIES</w:t>
            </w:r>
          </w:p>
        </w:tc>
        <w:tc>
          <w:tcPr>
            <w:tcW w:w="1260" w:type="dxa"/>
            <w:vAlign w:val="bottom"/>
          </w:tcPr>
          <w:p>
            <w:pPr>
              <w:spacing w:after="0"/>
              <w:rPr>
                <w:sz w:val="24"/>
                <w:szCs w:val="24"/>
                <w:color w:val="auto"/>
              </w:rPr>
            </w:pP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2.01  Designation and Terms of Securities</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4</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2.02  Form of Securities and Trustee’s Certificate</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6</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2.03  Denominations: Provisions for Payment</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6</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2.04  Execution and Authentications</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7</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2.05  Registration of Transfer and Exchange</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7</w:t>
            </w:r>
          </w:p>
        </w:tc>
      </w:tr>
      <w:tr>
        <w:trPr>
          <w:trHeight w:val="246"/>
        </w:trPr>
        <w:tc>
          <w:tcPr>
            <w:tcW w:w="1220" w:type="dxa"/>
            <w:vAlign w:val="bottom"/>
          </w:tcPr>
          <w:p>
            <w:pPr>
              <w:ind w:left="320"/>
              <w:spacing w:after="0"/>
              <w:rPr>
                <w:sz w:val="20"/>
                <w:szCs w:val="20"/>
                <w:color w:val="auto"/>
              </w:rPr>
            </w:pPr>
            <w:r>
              <w:rPr>
                <w:rFonts w:ascii="Arial" w:cs="Arial" w:eastAsia="Arial" w:hAnsi="Arial"/>
                <w:sz w:val="16"/>
                <w:szCs w:val="16"/>
                <w:color w:val="auto"/>
                <w:w w:val="98"/>
              </w:rPr>
              <w:t>Section 2.06</w:t>
            </w:r>
          </w:p>
        </w:tc>
        <w:tc>
          <w:tcPr>
            <w:tcW w:w="7640" w:type="dxa"/>
            <w:vAlign w:val="bottom"/>
          </w:tcPr>
          <w:p>
            <w:pPr>
              <w:ind w:left="80"/>
              <w:spacing w:after="0"/>
              <w:rPr>
                <w:sz w:val="20"/>
                <w:szCs w:val="20"/>
                <w:color w:val="auto"/>
              </w:rPr>
            </w:pPr>
            <w:r>
              <w:rPr>
                <w:rFonts w:ascii="Arial" w:cs="Arial" w:eastAsia="Arial" w:hAnsi="Arial"/>
                <w:sz w:val="16"/>
                <w:szCs w:val="16"/>
                <w:color w:val="auto"/>
              </w:rPr>
              <w:t>Temporary Securities</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8</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2.07  Mutilated, Destroyed, Lost or Stolen Securities</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8</w:t>
            </w:r>
          </w:p>
        </w:tc>
      </w:tr>
      <w:tr>
        <w:trPr>
          <w:trHeight w:val="246"/>
        </w:trPr>
        <w:tc>
          <w:tcPr>
            <w:tcW w:w="1220" w:type="dxa"/>
            <w:vAlign w:val="bottom"/>
          </w:tcPr>
          <w:p>
            <w:pPr>
              <w:ind w:left="320"/>
              <w:spacing w:after="0"/>
              <w:rPr>
                <w:sz w:val="20"/>
                <w:szCs w:val="20"/>
                <w:color w:val="auto"/>
              </w:rPr>
            </w:pPr>
            <w:r>
              <w:rPr>
                <w:rFonts w:ascii="Arial" w:cs="Arial" w:eastAsia="Arial" w:hAnsi="Arial"/>
                <w:sz w:val="16"/>
                <w:szCs w:val="16"/>
                <w:color w:val="auto"/>
                <w:w w:val="98"/>
              </w:rPr>
              <w:t>Section 2.08</w:t>
            </w:r>
          </w:p>
        </w:tc>
        <w:tc>
          <w:tcPr>
            <w:tcW w:w="7640" w:type="dxa"/>
            <w:vAlign w:val="bottom"/>
          </w:tcPr>
          <w:p>
            <w:pPr>
              <w:ind w:left="80"/>
              <w:spacing w:after="0"/>
              <w:rPr>
                <w:sz w:val="20"/>
                <w:szCs w:val="20"/>
                <w:color w:val="auto"/>
              </w:rPr>
            </w:pPr>
            <w:r>
              <w:rPr>
                <w:rFonts w:ascii="Arial" w:cs="Arial" w:eastAsia="Arial" w:hAnsi="Arial"/>
                <w:sz w:val="16"/>
                <w:szCs w:val="16"/>
                <w:color w:val="auto"/>
              </w:rPr>
              <w:t>Cancellation</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9</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2.09  Benefits of Indenture</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9</w:t>
            </w:r>
          </w:p>
        </w:tc>
      </w:tr>
      <w:tr>
        <w:trPr>
          <w:trHeight w:val="246"/>
        </w:trPr>
        <w:tc>
          <w:tcPr>
            <w:tcW w:w="1220" w:type="dxa"/>
            <w:vAlign w:val="bottom"/>
          </w:tcPr>
          <w:p>
            <w:pPr>
              <w:ind w:left="320"/>
              <w:spacing w:after="0"/>
              <w:rPr>
                <w:sz w:val="20"/>
                <w:szCs w:val="20"/>
                <w:color w:val="auto"/>
              </w:rPr>
            </w:pPr>
            <w:r>
              <w:rPr>
                <w:rFonts w:ascii="Arial" w:cs="Arial" w:eastAsia="Arial" w:hAnsi="Arial"/>
                <w:sz w:val="16"/>
                <w:szCs w:val="16"/>
                <w:color w:val="auto"/>
                <w:w w:val="98"/>
              </w:rPr>
              <w:t>Section 2.10</w:t>
            </w:r>
          </w:p>
        </w:tc>
        <w:tc>
          <w:tcPr>
            <w:tcW w:w="7640" w:type="dxa"/>
            <w:vAlign w:val="bottom"/>
          </w:tcPr>
          <w:p>
            <w:pPr>
              <w:ind w:left="80"/>
              <w:spacing w:after="0"/>
              <w:rPr>
                <w:sz w:val="20"/>
                <w:szCs w:val="20"/>
                <w:color w:val="auto"/>
              </w:rPr>
            </w:pPr>
            <w:r>
              <w:rPr>
                <w:rFonts w:ascii="Arial" w:cs="Arial" w:eastAsia="Arial" w:hAnsi="Arial"/>
                <w:sz w:val="16"/>
                <w:szCs w:val="16"/>
                <w:color w:val="auto"/>
              </w:rPr>
              <w:t>Authenticating Agent</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9</w:t>
            </w:r>
          </w:p>
        </w:tc>
      </w:tr>
      <w:tr>
        <w:trPr>
          <w:trHeight w:val="246"/>
        </w:trPr>
        <w:tc>
          <w:tcPr>
            <w:tcW w:w="1220" w:type="dxa"/>
            <w:vAlign w:val="bottom"/>
          </w:tcPr>
          <w:p>
            <w:pPr>
              <w:ind w:left="320"/>
              <w:spacing w:after="0"/>
              <w:rPr>
                <w:sz w:val="20"/>
                <w:szCs w:val="20"/>
                <w:color w:val="auto"/>
              </w:rPr>
            </w:pPr>
            <w:r>
              <w:rPr>
                <w:rFonts w:ascii="Arial" w:cs="Arial" w:eastAsia="Arial" w:hAnsi="Arial"/>
                <w:sz w:val="16"/>
                <w:szCs w:val="16"/>
                <w:color w:val="auto"/>
                <w:w w:val="98"/>
              </w:rPr>
              <w:t>Section 2.11</w:t>
            </w:r>
          </w:p>
        </w:tc>
        <w:tc>
          <w:tcPr>
            <w:tcW w:w="7640" w:type="dxa"/>
            <w:vAlign w:val="bottom"/>
          </w:tcPr>
          <w:p>
            <w:pPr>
              <w:ind w:left="80"/>
              <w:spacing w:after="0"/>
              <w:rPr>
                <w:sz w:val="20"/>
                <w:szCs w:val="20"/>
                <w:color w:val="auto"/>
              </w:rPr>
            </w:pPr>
            <w:r>
              <w:rPr>
                <w:rFonts w:ascii="Arial" w:cs="Arial" w:eastAsia="Arial" w:hAnsi="Arial"/>
                <w:sz w:val="16"/>
                <w:szCs w:val="16"/>
                <w:color w:val="auto"/>
              </w:rPr>
              <w:t>Global Securities</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9</w:t>
            </w:r>
          </w:p>
        </w:tc>
      </w:tr>
      <w:tr>
        <w:trPr>
          <w:trHeight w:val="246"/>
        </w:trPr>
        <w:tc>
          <w:tcPr>
            <w:tcW w:w="1220" w:type="dxa"/>
            <w:vAlign w:val="bottom"/>
          </w:tcPr>
          <w:p>
            <w:pPr>
              <w:ind w:left="320"/>
              <w:spacing w:after="0"/>
              <w:rPr>
                <w:sz w:val="20"/>
                <w:szCs w:val="20"/>
                <w:color w:val="auto"/>
              </w:rPr>
            </w:pPr>
            <w:r>
              <w:rPr>
                <w:rFonts w:ascii="Arial" w:cs="Arial" w:eastAsia="Arial" w:hAnsi="Arial"/>
                <w:sz w:val="16"/>
                <w:szCs w:val="16"/>
                <w:color w:val="auto"/>
                <w:w w:val="98"/>
              </w:rPr>
              <w:t>Section 2.12</w:t>
            </w:r>
          </w:p>
        </w:tc>
        <w:tc>
          <w:tcPr>
            <w:tcW w:w="7640" w:type="dxa"/>
            <w:vAlign w:val="bottom"/>
          </w:tcPr>
          <w:p>
            <w:pPr>
              <w:ind w:left="80"/>
              <w:spacing w:after="0"/>
              <w:rPr>
                <w:sz w:val="20"/>
                <w:szCs w:val="20"/>
                <w:color w:val="auto"/>
              </w:rPr>
            </w:pPr>
            <w:r>
              <w:rPr>
                <w:rFonts w:ascii="Arial" w:cs="Arial" w:eastAsia="Arial" w:hAnsi="Arial"/>
                <w:sz w:val="16"/>
                <w:szCs w:val="16"/>
                <w:color w:val="auto"/>
              </w:rPr>
              <w:t>CUSIP Numbers</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10</w:t>
            </w:r>
          </w:p>
        </w:tc>
      </w:tr>
      <w:tr>
        <w:trPr>
          <w:trHeight w:val="541"/>
        </w:trPr>
        <w:tc>
          <w:tcPr>
            <w:tcW w:w="8860" w:type="dxa"/>
            <w:vAlign w:val="bottom"/>
            <w:gridSpan w:val="2"/>
          </w:tcPr>
          <w:p>
            <w:pPr>
              <w:spacing w:after="0"/>
              <w:rPr>
                <w:sz w:val="20"/>
                <w:szCs w:val="20"/>
                <w:color w:val="auto"/>
              </w:rPr>
            </w:pPr>
            <w:r>
              <w:rPr>
                <w:rFonts w:ascii="Arial" w:cs="Arial" w:eastAsia="Arial" w:hAnsi="Arial"/>
                <w:sz w:val="16"/>
                <w:szCs w:val="16"/>
                <w:color w:val="auto"/>
              </w:rPr>
              <w:t>ARTICLE 3  REDEMPTION OF SECURITIES AND SINKING FUND PROVISIONS</w:t>
            </w:r>
          </w:p>
        </w:tc>
        <w:tc>
          <w:tcPr>
            <w:tcW w:w="1260" w:type="dxa"/>
            <w:vAlign w:val="bottom"/>
          </w:tcPr>
          <w:p>
            <w:pPr>
              <w:spacing w:after="0"/>
              <w:rPr>
                <w:sz w:val="24"/>
                <w:szCs w:val="24"/>
                <w:color w:val="auto"/>
              </w:rPr>
            </w:pPr>
          </w:p>
        </w:tc>
      </w:tr>
      <w:tr>
        <w:trPr>
          <w:trHeight w:val="246"/>
        </w:trPr>
        <w:tc>
          <w:tcPr>
            <w:tcW w:w="1220" w:type="dxa"/>
            <w:vAlign w:val="bottom"/>
          </w:tcPr>
          <w:p>
            <w:pPr>
              <w:ind w:left="320"/>
              <w:spacing w:after="0"/>
              <w:rPr>
                <w:sz w:val="20"/>
                <w:szCs w:val="20"/>
                <w:color w:val="auto"/>
              </w:rPr>
            </w:pPr>
            <w:r>
              <w:rPr>
                <w:rFonts w:ascii="Arial" w:cs="Arial" w:eastAsia="Arial" w:hAnsi="Arial"/>
                <w:sz w:val="16"/>
                <w:szCs w:val="16"/>
                <w:color w:val="auto"/>
                <w:w w:val="98"/>
              </w:rPr>
              <w:t>Section 3.01</w:t>
            </w:r>
          </w:p>
        </w:tc>
        <w:tc>
          <w:tcPr>
            <w:tcW w:w="7640" w:type="dxa"/>
            <w:vAlign w:val="bottom"/>
          </w:tcPr>
          <w:p>
            <w:pPr>
              <w:ind w:left="80"/>
              <w:spacing w:after="0"/>
              <w:rPr>
                <w:sz w:val="20"/>
                <w:szCs w:val="20"/>
                <w:color w:val="auto"/>
              </w:rPr>
            </w:pPr>
            <w:r>
              <w:rPr>
                <w:rFonts w:ascii="Arial" w:cs="Arial" w:eastAsia="Arial" w:hAnsi="Arial"/>
                <w:sz w:val="16"/>
                <w:szCs w:val="16"/>
                <w:color w:val="auto"/>
              </w:rPr>
              <w:t>Redemption</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10</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3.02  Notice of Redemption</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10</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3.03  Payment Upon Redemption</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11</w:t>
            </w:r>
          </w:p>
        </w:tc>
      </w:tr>
      <w:tr>
        <w:trPr>
          <w:trHeight w:val="246"/>
        </w:trPr>
        <w:tc>
          <w:tcPr>
            <w:tcW w:w="1220" w:type="dxa"/>
            <w:vAlign w:val="bottom"/>
          </w:tcPr>
          <w:p>
            <w:pPr>
              <w:ind w:left="320"/>
              <w:spacing w:after="0"/>
              <w:rPr>
                <w:sz w:val="20"/>
                <w:szCs w:val="20"/>
                <w:color w:val="auto"/>
              </w:rPr>
            </w:pPr>
            <w:r>
              <w:rPr>
                <w:rFonts w:ascii="Arial" w:cs="Arial" w:eastAsia="Arial" w:hAnsi="Arial"/>
                <w:sz w:val="16"/>
                <w:szCs w:val="16"/>
                <w:color w:val="auto"/>
                <w:w w:val="98"/>
              </w:rPr>
              <w:t>Section 3.04</w:t>
            </w:r>
          </w:p>
        </w:tc>
        <w:tc>
          <w:tcPr>
            <w:tcW w:w="7640" w:type="dxa"/>
            <w:vAlign w:val="bottom"/>
          </w:tcPr>
          <w:p>
            <w:pPr>
              <w:ind w:left="80"/>
              <w:spacing w:after="0"/>
              <w:rPr>
                <w:sz w:val="20"/>
                <w:szCs w:val="20"/>
                <w:color w:val="auto"/>
              </w:rPr>
            </w:pPr>
            <w:r>
              <w:rPr>
                <w:rFonts w:ascii="Arial" w:cs="Arial" w:eastAsia="Arial" w:hAnsi="Arial"/>
                <w:sz w:val="16"/>
                <w:szCs w:val="16"/>
                <w:color w:val="auto"/>
              </w:rPr>
              <w:t>Sinking Fund</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11</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3.05  Satisfaction of Sinking Fund Payments with Securities</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11</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3.06  Redemption of Securities for Sinking Fund</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12</w:t>
            </w:r>
          </w:p>
        </w:tc>
      </w:tr>
      <w:tr>
        <w:trPr>
          <w:trHeight w:val="541"/>
        </w:trPr>
        <w:tc>
          <w:tcPr>
            <w:tcW w:w="8860" w:type="dxa"/>
            <w:vAlign w:val="bottom"/>
            <w:gridSpan w:val="2"/>
          </w:tcPr>
          <w:p>
            <w:pPr>
              <w:spacing w:after="0"/>
              <w:rPr>
                <w:sz w:val="20"/>
                <w:szCs w:val="20"/>
                <w:color w:val="auto"/>
              </w:rPr>
            </w:pPr>
            <w:r>
              <w:rPr>
                <w:rFonts w:ascii="Arial" w:cs="Arial" w:eastAsia="Arial" w:hAnsi="Arial"/>
                <w:sz w:val="16"/>
                <w:szCs w:val="16"/>
                <w:color w:val="auto"/>
              </w:rPr>
              <w:t>ARTICLE 4  COVENANTS</w:t>
            </w:r>
          </w:p>
        </w:tc>
        <w:tc>
          <w:tcPr>
            <w:tcW w:w="1260" w:type="dxa"/>
            <w:vAlign w:val="bottom"/>
          </w:tcPr>
          <w:p>
            <w:pPr>
              <w:spacing w:after="0"/>
              <w:rPr>
                <w:sz w:val="24"/>
                <w:szCs w:val="24"/>
                <w:color w:val="auto"/>
              </w:rPr>
            </w:pP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4.01  Payment of Principal, Premium and Interest</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12</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4.02  Maintenance of Office or Agency</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12</w:t>
            </w:r>
          </w:p>
        </w:tc>
      </w:tr>
      <w:tr>
        <w:trPr>
          <w:trHeight w:val="246"/>
        </w:trPr>
        <w:tc>
          <w:tcPr>
            <w:tcW w:w="1220" w:type="dxa"/>
            <w:vAlign w:val="bottom"/>
          </w:tcPr>
          <w:p>
            <w:pPr>
              <w:ind w:left="320"/>
              <w:spacing w:after="0"/>
              <w:rPr>
                <w:sz w:val="20"/>
                <w:szCs w:val="20"/>
                <w:color w:val="auto"/>
              </w:rPr>
            </w:pPr>
            <w:r>
              <w:rPr>
                <w:rFonts w:ascii="Arial" w:cs="Arial" w:eastAsia="Arial" w:hAnsi="Arial"/>
                <w:sz w:val="16"/>
                <w:szCs w:val="16"/>
                <w:color w:val="auto"/>
                <w:w w:val="98"/>
              </w:rPr>
              <w:t>Section 4.03</w:t>
            </w:r>
          </w:p>
        </w:tc>
        <w:tc>
          <w:tcPr>
            <w:tcW w:w="7640" w:type="dxa"/>
            <w:vAlign w:val="bottom"/>
          </w:tcPr>
          <w:p>
            <w:pPr>
              <w:ind w:left="80"/>
              <w:spacing w:after="0"/>
              <w:rPr>
                <w:sz w:val="20"/>
                <w:szCs w:val="20"/>
                <w:color w:val="auto"/>
              </w:rPr>
            </w:pPr>
            <w:r>
              <w:rPr>
                <w:rFonts w:ascii="Arial" w:cs="Arial" w:eastAsia="Arial" w:hAnsi="Arial"/>
                <w:sz w:val="16"/>
                <w:szCs w:val="16"/>
                <w:color w:val="auto"/>
              </w:rPr>
              <w:t>Paying Agents</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12</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4.04  Appointment to Fill Vacancy in Office of Trustee</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13</w:t>
            </w:r>
          </w:p>
        </w:tc>
      </w:tr>
      <w:tr>
        <w:trPr>
          <w:trHeight w:val="541"/>
        </w:trPr>
        <w:tc>
          <w:tcPr>
            <w:tcW w:w="8860" w:type="dxa"/>
            <w:vAlign w:val="bottom"/>
            <w:gridSpan w:val="2"/>
          </w:tcPr>
          <w:p>
            <w:pPr>
              <w:spacing w:after="0"/>
              <w:rPr>
                <w:sz w:val="20"/>
                <w:szCs w:val="20"/>
                <w:color w:val="auto"/>
              </w:rPr>
            </w:pPr>
            <w:r>
              <w:rPr>
                <w:rFonts w:ascii="Arial" w:cs="Arial" w:eastAsia="Arial" w:hAnsi="Arial"/>
                <w:sz w:val="16"/>
                <w:szCs w:val="16"/>
                <w:color w:val="auto"/>
              </w:rPr>
              <w:t>ARTICLE 5  SECURITYHOLDERS’ LISTS AND REPORTS BY THE COMPANY AND THE TRUSTEE</w:t>
            </w:r>
          </w:p>
        </w:tc>
        <w:tc>
          <w:tcPr>
            <w:tcW w:w="1260" w:type="dxa"/>
            <w:vAlign w:val="bottom"/>
          </w:tcPr>
          <w:p>
            <w:pPr>
              <w:spacing w:after="0"/>
              <w:rPr>
                <w:sz w:val="24"/>
                <w:szCs w:val="24"/>
                <w:color w:val="auto"/>
              </w:rPr>
            </w:pP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5.01  Company to Furnish Trustee Names and Addresses of Securityholders</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13</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5.02  Preservation Of Information; Communications With Securityholders</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13</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5.03  Reports by the Company</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14</w:t>
            </w:r>
          </w:p>
        </w:tc>
      </w:tr>
      <w:tr>
        <w:trPr>
          <w:trHeight w:val="246"/>
        </w:trPr>
        <w:tc>
          <w:tcPr>
            <w:tcW w:w="8860" w:type="dxa"/>
            <w:vAlign w:val="bottom"/>
            <w:gridSpan w:val="2"/>
          </w:tcPr>
          <w:p>
            <w:pPr>
              <w:ind w:left="320"/>
              <w:spacing w:after="0"/>
              <w:rPr>
                <w:sz w:val="20"/>
                <w:szCs w:val="20"/>
                <w:color w:val="auto"/>
              </w:rPr>
            </w:pPr>
            <w:r>
              <w:rPr>
                <w:rFonts w:ascii="Arial" w:cs="Arial" w:eastAsia="Arial" w:hAnsi="Arial"/>
                <w:sz w:val="16"/>
                <w:szCs w:val="16"/>
                <w:color w:val="auto"/>
              </w:rPr>
              <w:t>Section 5.04  Reports by the Trustee</w:t>
            </w:r>
          </w:p>
        </w:tc>
        <w:tc>
          <w:tcPr>
            <w:tcW w:w="1260" w:type="dxa"/>
            <w:vAlign w:val="bottom"/>
          </w:tcPr>
          <w:p>
            <w:pPr>
              <w:jc w:val="center"/>
              <w:ind w:left="738"/>
              <w:spacing w:after="0"/>
              <w:rPr>
                <w:sz w:val="20"/>
                <w:szCs w:val="20"/>
                <w:color w:val="auto"/>
              </w:rPr>
            </w:pPr>
            <w:r>
              <w:rPr>
                <w:rFonts w:ascii="Arial" w:cs="Arial" w:eastAsia="Arial" w:hAnsi="Arial"/>
                <w:sz w:val="16"/>
                <w:szCs w:val="16"/>
                <w:color w:val="auto"/>
                <w:w w:val="89"/>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120"/>
          </w:cols>
          <w:pgMar w:left="640" w:top="127" w:right="1139" w:bottom="1440" w:gutter="0" w:footer="0" w:header="0"/>
        </w:sectPr>
      </w:pPr>
    </w:p>
    <w:bookmarkStart w:id="34" w:name="page35"/>
    <w:bookmarkEnd w:id="34"/>
    <w:p>
      <w:pPr>
        <w:ind w:left="3500"/>
        <w:spacing w:after="0"/>
        <w:rPr>
          <w:sz w:val="20"/>
          <w:szCs w:val="20"/>
          <w:color w:val="auto"/>
        </w:rPr>
      </w:pPr>
      <w:r>
        <w:rPr>
          <w:rFonts w:ascii="Arial" w:cs="Arial" w:eastAsia="Arial" w:hAnsi="Arial"/>
          <w:sz w:val="20"/>
          <w:szCs w:val="20"/>
          <w:b w:val="1"/>
          <w:bCs w:val="1"/>
          <w:color w:val="auto"/>
        </w:rPr>
        <w:t>TABLE OF CONTENTS</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(CONTINUED)</w:t>
      </w:r>
    </w:p>
    <w:p>
      <w:pPr>
        <w:spacing w:after="0" w:line="4" w:lineRule="exact"/>
        <w:rPr>
          <w:sz w:val="20"/>
          <w:szCs w:val="20"/>
          <w:color w:val="auto"/>
        </w:rPr>
      </w:pPr>
    </w:p>
    <w:p>
      <w:pPr>
        <w:ind w:left="7260"/>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20" w:type="dxa"/>
            <w:vAlign w:val="bottom"/>
            <w:gridSpan w:val="2"/>
          </w:tcPr>
          <w:p>
            <w:pPr>
              <w:spacing w:after="0"/>
              <w:rPr>
                <w:sz w:val="20"/>
                <w:szCs w:val="20"/>
                <w:color w:val="auto"/>
              </w:rPr>
            </w:pPr>
            <w:r>
              <w:rPr>
                <w:rFonts w:ascii="Arial" w:cs="Arial" w:eastAsia="Arial" w:hAnsi="Arial"/>
                <w:sz w:val="16"/>
                <w:szCs w:val="16"/>
                <w:color w:val="auto"/>
              </w:rPr>
              <w:t>ARTICLE 6  REMEDIES OF THE TRUSTEE AND SECURITYHOLDERS ON EVENT OF DEFAULT</w:t>
            </w:r>
          </w:p>
        </w:tc>
        <w:tc>
          <w:tcPr>
            <w:tcW w:w="1560" w:type="dxa"/>
            <w:vAlign w:val="bottom"/>
          </w:tcPr>
          <w:p>
            <w:pPr>
              <w:spacing w:after="0"/>
              <w:rPr>
                <w:sz w:val="18"/>
                <w:szCs w:val="18"/>
                <w:color w:val="auto"/>
              </w:rPr>
            </w:pP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6.01  Events of Default</w:t>
            </w:r>
          </w:p>
        </w:tc>
        <w:tc>
          <w:tcPr>
            <w:tcW w:w="15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6.02  Collection of Indebtedness and Suits for Enforcement by Trustee</w:t>
            </w: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6.03  Application of Moneys Collected</w:t>
            </w:r>
          </w:p>
        </w:tc>
        <w:tc>
          <w:tcPr>
            <w:tcW w:w="15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6.04  Limitation on Suits</w:t>
            </w:r>
          </w:p>
        </w:tc>
        <w:tc>
          <w:tcPr>
            <w:tcW w:w="15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6.05  Rights and Remedies Cumulative; Delay or Omission Not Waiver</w:t>
            </w:r>
          </w:p>
        </w:tc>
        <w:tc>
          <w:tcPr>
            <w:tcW w:w="15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6.06  Control by Securityholders</w:t>
            </w:r>
          </w:p>
        </w:tc>
        <w:tc>
          <w:tcPr>
            <w:tcW w:w="15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6.07  Undertaking to Pay Costs</w:t>
            </w:r>
          </w:p>
        </w:tc>
        <w:tc>
          <w:tcPr>
            <w:tcW w:w="15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541"/>
        </w:trPr>
        <w:tc>
          <w:tcPr>
            <w:tcW w:w="8420" w:type="dxa"/>
            <w:vAlign w:val="bottom"/>
            <w:gridSpan w:val="2"/>
          </w:tcPr>
          <w:p>
            <w:pPr>
              <w:spacing w:after="0"/>
              <w:rPr>
                <w:sz w:val="20"/>
                <w:szCs w:val="20"/>
                <w:color w:val="auto"/>
              </w:rPr>
            </w:pPr>
            <w:r>
              <w:rPr>
                <w:rFonts w:ascii="Arial" w:cs="Arial" w:eastAsia="Arial" w:hAnsi="Arial"/>
                <w:sz w:val="16"/>
                <w:szCs w:val="16"/>
                <w:color w:val="auto"/>
              </w:rPr>
              <w:t>ARTICLE 7  CONCERNING THE TRUSTEE</w:t>
            </w:r>
          </w:p>
        </w:tc>
        <w:tc>
          <w:tcPr>
            <w:tcW w:w="1560" w:type="dxa"/>
            <w:vAlign w:val="bottom"/>
          </w:tcPr>
          <w:p>
            <w:pPr>
              <w:spacing w:after="0"/>
              <w:rPr>
                <w:sz w:val="24"/>
                <w:szCs w:val="24"/>
                <w:color w:val="auto"/>
              </w:rPr>
            </w:pP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7.01  Certain Duties and Responsibilities of Trustee</w:t>
            </w:r>
          </w:p>
        </w:tc>
        <w:tc>
          <w:tcPr>
            <w:tcW w:w="15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7.02  Certain Rights of Trustee</w:t>
            </w:r>
          </w:p>
        </w:tc>
        <w:tc>
          <w:tcPr>
            <w:tcW w:w="15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7.03  Trustee Not Responsible for Recitals or Issuance or Securities</w:t>
            </w:r>
          </w:p>
        </w:tc>
        <w:tc>
          <w:tcPr>
            <w:tcW w:w="15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7.04  May Hold Securities</w:t>
            </w:r>
          </w:p>
        </w:tc>
        <w:tc>
          <w:tcPr>
            <w:tcW w:w="15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7.05  Moneys Held in Trust</w:t>
            </w:r>
          </w:p>
        </w:tc>
        <w:tc>
          <w:tcPr>
            <w:tcW w:w="15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7.06  Compensation and Reimbursement</w:t>
            </w:r>
          </w:p>
        </w:tc>
        <w:tc>
          <w:tcPr>
            <w:tcW w:w="15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7.07  Reliance on Officer’s Certificate</w:t>
            </w:r>
          </w:p>
        </w:tc>
        <w:tc>
          <w:tcPr>
            <w:tcW w:w="15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7.08  Disqualification; Conflicting Interests</w:t>
            </w:r>
          </w:p>
        </w:tc>
        <w:tc>
          <w:tcPr>
            <w:tcW w:w="15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7.09  Corporate Trustee Required; Eligibility</w:t>
            </w:r>
          </w:p>
        </w:tc>
        <w:tc>
          <w:tcPr>
            <w:tcW w:w="15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7.10  Resignation and Removal; Appointment of Successor</w:t>
            </w:r>
          </w:p>
        </w:tc>
        <w:tc>
          <w:tcPr>
            <w:tcW w:w="15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7.11  Acceptance of Appointment By Successor</w:t>
            </w:r>
          </w:p>
        </w:tc>
        <w:tc>
          <w:tcPr>
            <w:tcW w:w="15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7.12  Merger, Conversion, Consolidation or Succession to Business</w:t>
            </w:r>
          </w:p>
        </w:tc>
        <w:tc>
          <w:tcPr>
            <w:tcW w:w="15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7.13  Preferential Collection of Claims Against the Company</w:t>
            </w:r>
          </w:p>
        </w:tc>
        <w:tc>
          <w:tcPr>
            <w:tcW w:w="15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7.14  Notice of Default.</w:t>
            </w:r>
          </w:p>
        </w:tc>
        <w:tc>
          <w:tcPr>
            <w:tcW w:w="15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541"/>
        </w:trPr>
        <w:tc>
          <w:tcPr>
            <w:tcW w:w="8420" w:type="dxa"/>
            <w:vAlign w:val="bottom"/>
            <w:gridSpan w:val="2"/>
          </w:tcPr>
          <w:p>
            <w:pPr>
              <w:spacing w:after="0"/>
              <w:rPr>
                <w:sz w:val="20"/>
                <w:szCs w:val="20"/>
                <w:color w:val="auto"/>
              </w:rPr>
            </w:pPr>
            <w:r>
              <w:rPr>
                <w:rFonts w:ascii="Arial" w:cs="Arial" w:eastAsia="Arial" w:hAnsi="Arial"/>
                <w:sz w:val="16"/>
                <w:szCs w:val="16"/>
                <w:color w:val="auto"/>
              </w:rPr>
              <w:t>ARTICLE 8  CONCERNING THE SECURITYHOLDERS</w:t>
            </w:r>
          </w:p>
        </w:tc>
        <w:tc>
          <w:tcPr>
            <w:tcW w:w="1560" w:type="dxa"/>
            <w:vAlign w:val="bottom"/>
          </w:tcPr>
          <w:p>
            <w:pPr>
              <w:spacing w:after="0"/>
              <w:rPr>
                <w:sz w:val="24"/>
                <w:szCs w:val="24"/>
                <w:color w:val="auto"/>
              </w:rPr>
            </w:pP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8.01  Evidence of Action by Securityholders</w:t>
            </w:r>
          </w:p>
        </w:tc>
        <w:tc>
          <w:tcPr>
            <w:tcW w:w="15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8.02  Proof of Execution by Securityholders</w:t>
            </w:r>
          </w:p>
        </w:tc>
        <w:tc>
          <w:tcPr>
            <w:tcW w:w="1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8.03  Who May be Deemed Owners</w:t>
            </w:r>
          </w:p>
        </w:tc>
        <w:tc>
          <w:tcPr>
            <w:tcW w:w="1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8.04  Certain Securities Owned by Company Disregarded</w:t>
            </w:r>
          </w:p>
        </w:tc>
        <w:tc>
          <w:tcPr>
            <w:tcW w:w="1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8.05  Actions Binding on Future Securityholders</w:t>
            </w:r>
          </w:p>
        </w:tc>
        <w:tc>
          <w:tcPr>
            <w:tcW w:w="15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541"/>
        </w:trPr>
        <w:tc>
          <w:tcPr>
            <w:tcW w:w="940" w:type="dxa"/>
            <w:vAlign w:val="bottom"/>
          </w:tcPr>
          <w:p>
            <w:pPr>
              <w:spacing w:after="0"/>
              <w:rPr>
                <w:sz w:val="20"/>
                <w:szCs w:val="20"/>
                <w:color w:val="auto"/>
              </w:rPr>
            </w:pPr>
            <w:r>
              <w:rPr>
                <w:rFonts w:ascii="Arial" w:cs="Arial" w:eastAsia="Arial" w:hAnsi="Arial"/>
                <w:sz w:val="16"/>
                <w:szCs w:val="16"/>
                <w:color w:val="auto"/>
              </w:rPr>
              <w:t>ARTICLE 9</w:t>
            </w:r>
          </w:p>
        </w:tc>
        <w:tc>
          <w:tcPr>
            <w:tcW w:w="7480" w:type="dxa"/>
            <w:vAlign w:val="bottom"/>
          </w:tcPr>
          <w:p>
            <w:pPr>
              <w:ind w:left="40"/>
              <w:spacing w:after="0"/>
              <w:rPr>
                <w:sz w:val="20"/>
                <w:szCs w:val="20"/>
                <w:color w:val="auto"/>
              </w:rPr>
            </w:pPr>
            <w:r>
              <w:rPr>
                <w:rFonts w:ascii="Arial" w:cs="Arial" w:eastAsia="Arial" w:hAnsi="Arial"/>
                <w:sz w:val="16"/>
                <w:szCs w:val="16"/>
                <w:color w:val="auto"/>
              </w:rPr>
              <w:t>SUPPLEMENTAL INDENTURES</w:t>
            </w:r>
          </w:p>
        </w:tc>
        <w:tc>
          <w:tcPr>
            <w:tcW w:w="1560" w:type="dxa"/>
            <w:vAlign w:val="bottom"/>
          </w:tcPr>
          <w:p>
            <w:pPr>
              <w:spacing w:after="0"/>
              <w:rPr>
                <w:sz w:val="24"/>
                <w:szCs w:val="24"/>
                <w:color w:val="auto"/>
              </w:rPr>
            </w:pP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9.01  Supplemental Indentures Without the Consent of Securityholders</w:t>
            </w:r>
          </w:p>
        </w:tc>
        <w:tc>
          <w:tcPr>
            <w:tcW w:w="15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9.02  Supplemental Indentures With Consent of Securityholders</w:t>
            </w:r>
          </w:p>
        </w:tc>
        <w:tc>
          <w:tcPr>
            <w:tcW w:w="15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9.03  Effect of Supplemental Indentures</w:t>
            </w:r>
          </w:p>
        </w:tc>
        <w:tc>
          <w:tcPr>
            <w:tcW w:w="1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9.04  Securities Affected by Supplemental Indentures</w:t>
            </w:r>
          </w:p>
        </w:tc>
        <w:tc>
          <w:tcPr>
            <w:tcW w:w="1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9.05  Execution of Supplemental Indentures</w:t>
            </w:r>
          </w:p>
        </w:tc>
        <w:tc>
          <w:tcPr>
            <w:tcW w:w="1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541"/>
        </w:trPr>
        <w:tc>
          <w:tcPr>
            <w:tcW w:w="940" w:type="dxa"/>
            <w:vAlign w:val="bottom"/>
          </w:tcPr>
          <w:p>
            <w:pPr>
              <w:spacing w:after="0"/>
              <w:rPr>
                <w:sz w:val="20"/>
                <w:szCs w:val="20"/>
                <w:color w:val="auto"/>
              </w:rPr>
            </w:pPr>
            <w:r>
              <w:rPr>
                <w:rFonts w:ascii="Arial" w:cs="Arial" w:eastAsia="Arial" w:hAnsi="Arial"/>
                <w:sz w:val="16"/>
                <w:szCs w:val="16"/>
                <w:color w:val="auto"/>
              </w:rPr>
              <w:t>ARTICLE 10</w:t>
            </w:r>
          </w:p>
        </w:tc>
        <w:tc>
          <w:tcPr>
            <w:tcW w:w="7480" w:type="dxa"/>
            <w:vAlign w:val="bottom"/>
          </w:tcPr>
          <w:p>
            <w:pPr>
              <w:ind w:left="120"/>
              <w:spacing w:after="0"/>
              <w:rPr>
                <w:sz w:val="20"/>
                <w:szCs w:val="20"/>
                <w:color w:val="auto"/>
              </w:rPr>
            </w:pPr>
            <w:r>
              <w:rPr>
                <w:rFonts w:ascii="Arial" w:cs="Arial" w:eastAsia="Arial" w:hAnsi="Arial"/>
                <w:sz w:val="16"/>
                <w:szCs w:val="16"/>
                <w:color w:val="auto"/>
              </w:rPr>
              <w:t>SUCCESSOR ENTITY</w:t>
            </w:r>
          </w:p>
        </w:tc>
        <w:tc>
          <w:tcPr>
            <w:tcW w:w="1560" w:type="dxa"/>
            <w:vAlign w:val="bottom"/>
          </w:tcPr>
          <w:p>
            <w:pPr>
              <w:spacing w:after="0"/>
              <w:rPr>
                <w:sz w:val="24"/>
                <w:szCs w:val="24"/>
                <w:color w:val="auto"/>
              </w:rPr>
            </w:pP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10.01  Company May Consolidate, Etc.</w:t>
            </w:r>
          </w:p>
        </w:tc>
        <w:tc>
          <w:tcPr>
            <w:tcW w:w="15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6"/>
        </w:trPr>
        <w:tc>
          <w:tcPr>
            <w:tcW w:w="8420" w:type="dxa"/>
            <w:vAlign w:val="bottom"/>
            <w:gridSpan w:val="2"/>
          </w:tcPr>
          <w:p>
            <w:pPr>
              <w:ind w:left="320"/>
              <w:spacing w:after="0"/>
              <w:rPr>
                <w:sz w:val="20"/>
                <w:szCs w:val="20"/>
                <w:color w:val="auto"/>
              </w:rPr>
            </w:pPr>
            <w:r>
              <w:rPr>
                <w:rFonts w:ascii="Arial" w:cs="Arial" w:eastAsia="Arial" w:hAnsi="Arial"/>
                <w:sz w:val="16"/>
                <w:szCs w:val="16"/>
                <w:color w:val="auto"/>
              </w:rPr>
              <w:t>Section 10.02  Successor Entity Substituted</w:t>
            </w:r>
          </w:p>
        </w:tc>
        <w:tc>
          <w:tcPr>
            <w:tcW w:w="1560" w:type="dxa"/>
            <w:vAlign w:val="bottom"/>
          </w:tcPr>
          <w:p>
            <w:pPr>
              <w:jc w:val="right"/>
              <w:spacing w:after="0"/>
              <w:rPr>
                <w:sz w:val="20"/>
                <w:szCs w:val="20"/>
                <w:color w:val="auto"/>
              </w:rPr>
            </w:pPr>
            <w:r>
              <w:rPr>
                <w:rFonts w:ascii="Arial" w:cs="Arial" w:eastAsia="Arial" w:hAnsi="Arial"/>
                <w:sz w:val="16"/>
                <w:szCs w:val="16"/>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9980"/>
          </w:cols>
          <w:pgMar w:left="640" w:top="127" w:right="1279" w:bottom="1440" w:gutter="0" w:footer="0" w:header="0"/>
        </w:sectPr>
      </w:pPr>
    </w:p>
    <w:bookmarkStart w:id="35" w:name="page36"/>
    <w:bookmarkEnd w:id="35"/>
    <w:p>
      <w:pPr>
        <w:ind w:left="3500"/>
        <w:spacing w:after="0"/>
        <w:rPr>
          <w:sz w:val="20"/>
          <w:szCs w:val="20"/>
          <w:color w:val="auto"/>
        </w:rPr>
      </w:pPr>
      <w:r>
        <w:rPr>
          <w:rFonts w:ascii="Arial" w:cs="Arial" w:eastAsia="Arial" w:hAnsi="Arial"/>
          <w:sz w:val="20"/>
          <w:szCs w:val="20"/>
          <w:b w:val="1"/>
          <w:bCs w:val="1"/>
          <w:color w:val="auto"/>
        </w:rPr>
        <w:t>TABLE OF CONTENTS</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(CONTINUED)</w:t>
      </w:r>
    </w:p>
    <w:p>
      <w:pPr>
        <w:spacing w:after="0" w:line="4" w:lineRule="exact"/>
        <w:rPr>
          <w:sz w:val="20"/>
          <w:szCs w:val="20"/>
          <w:color w:val="auto"/>
        </w:rPr>
      </w:pPr>
    </w:p>
    <w:p>
      <w:pPr>
        <w:ind w:left="7260"/>
        <w:spacing w:after="0"/>
        <w:rPr>
          <w:sz w:val="20"/>
          <w:szCs w:val="20"/>
          <w:color w:val="auto"/>
        </w:rPr>
      </w:pPr>
      <w:r>
        <w:rPr>
          <w:rFonts w:ascii="Arial" w:cs="Arial" w:eastAsia="Arial" w:hAnsi="Arial"/>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60" w:type="dxa"/>
            <w:vAlign w:val="bottom"/>
            <w:gridSpan w:val="2"/>
          </w:tcPr>
          <w:p>
            <w:pPr>
              <w:spacing w:after="0"/>
              <w:rPr>
                <w:sz w:val="20"/>
                <w:szCs w:val="20"/>
                <w:color w:val="auto"/>
              </w:rPr>
            </w:pPr>
            <w:r>
              <w:rPr>
                <w:rFonts w:ascii="Arial" w:cs="Arial" w:eastAsia="Arial" w:hAnsi="Arial"/>
                <w:sz w:val="16"/>
                <w:szCs w:val="16"/>
                <w:color w:val="auto"/>
              </w:rPr>
              <w:t>ARTICLE 11  SATISFACTION AND DISCHARGE</w:t>
            </w:r>
          </w:p>
        </w:tc>
        <w:tc>
          <w:tcPr>
            <w:tcW w:w="1520" w:type="dxa"/>
            <w:vAlign w:val="bottom"/>
          </w:tcPr>
          <w:p>
            <w:pPr>
              <w:spacing w:after="0"/>
              <w:rPr>
                <w:sz w:val="18"/>
                <w:szCs w:val="18"/>
                <w:color w:val="auto"/>
              </w:rPr>
            </w:pP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11.01  Satisfaction and Discharge of Indenture</w:t>
            </w:r>
          </w:p>
        </w:tc>
        <w:tc>
          <w:tcPr>
            <w:tcW w:w="15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11.02  Discharge of Obligations</w:t>
            </w:r>
          </w:p>
        </w:tc>
        <w:tc>
          <w:tcPr>
            <w:tcW w:w="15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11.03  Deposited Moneys to be Held in Trust</w:t>
            </w:r>
          </w:p>
        </w:tc>
        <w:tc>
          <w:tcPr>
            <w:tcW w:w="15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11.04  Payment of Moneys Held by Paying Agents</w:t>
            </w:r>
          </w:p>
        </w:tc>
        <w:tc>
          <w:tcPr>
            <w:tcW w:w="15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11.05  Repayment to Company</w:t>
            </w:r>
          </w:p>
        </w:tc>
        <w:tc>
          <w:tcPr>
            <w:tcW w:w="15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541"/>
        </w:trPr>
        <w:tc>
          <w:tcPr>
            <w:tcW w:w="8460" w:type="dxa"/>
            <w:vAlign w:val="bottom"/>
            <w:gridSpan w:val="2"/>
          </w:tcPr>
          <w:p>
            <w:pPr>
              <w:spacing w:after="0"/>
              <w:rPr>
                <w:sz w:val="20"/>
                <w:szCs w:val="20"/>
                <w:color w:val="auto"/>
              </w:rPr>
            </w:pPr>
            <w:r>
              <w:rPr>
                <w:rFonts w:ascii="Arial" w:cs="Arial" w:eastAsia="Arial" w:hAnsi="Arial"/>
                <w:sz w:val="16"/>
                <w:szCs w:val="16"/>
                <w:color w:val="auto"/>
              </w:rPr>
              <w:t>ARTICLE 12  IMMUNITY OF INCORPORATORS, STOCKHOLDERS, OFFICERS AND DIRECTORS</w:t>
            </w:r>
          </w:p>
        </w:tc>
        <w:tc>
          <w:tcPr>
            <w:tcW w:w="1520" w:type="dxa"/>
            <w:vAlign w:val="bottom"/>
          </w:tcPr>
          <w:p>
            <w:pPr>
              <w:spacing w:after="0"/>
              <w:rPr>
                <w:sz w:val="24"/>
                <w:szCs w:val="24"/>
                <w:color w:val="auto"/>
              </w:rPr>
            </w:pPr>
          </w:p>
        </w:tc>
      </w:tr>
      <w:tr>
        <w:trPr>
          <w:trHeight w:val="246"/>
        </w:trPr>
        <w:tc>
          <w:tcPr>
            <w:tcW w:w="1300" w:type="dxa"/>
            <w:vAlign w:val="bottom"/>
          </w:tcPr>
          <w:p>
            <w:pPr>
              <w:ind w:left="320"/>
              <w:spacing w:after="0"/>
              <w:rPr>
                <w:sz w:val="20"/>
                <w:szCs w:val="20"/>
                <w:color w:val="auto"/>
              </w:rPr>
            </w:pPr>
            <w:r>
              <w:rPr>
                <w:rFonts w:ascii="Arial" w:cs="Arial" w:eastAsia="Arial" w:hAnsi="Arial"/>
                <w:sz w:val="16"/>
                <w:szCs w:val="16"/>
                <w:color w:val="auto"/>
                <w:w w:val="98"/>
              </w:rPr>
              <w:t>Section 12.01</w:t>
            </w:r>
          </w:p>
        </w:tc>
        <w:tc>
          <w:tcPr>
            <w:tcW w:w="7160" w:type="dxa"/>
            <w:vAlign w:val="bottom"/>
          </w:tcPr>
          <w:p>
            <w:pPr>
              <w:ind w:left="80"/>
              <w:spacing w:after="0"/>
              <w:rPr>
                <w:sz w:val="20"/>
                <w:szCs w:val="20"/>
                <w:color w:val="auto"/>
              </w:rPr>
            </w:pPr>
            <w:r>
              <w:rPr>
                <w:rFonts w:ascii="Arial" w:cs="Arial" w:eastAsia="Arial" w:hAnsi="Arial"/>
                <w:sz w:val="16"/>
                <w:szCs w:val="16"/>
                <w:color w:val="auto"/>
              </w:rPr>
              <w:t>No Recourse</w:t>
            </w:r>
          </w:p>
        </w:tc>
        <w:tc>
          <w:tcPr>
            <w:tcW w:w="15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541"/>
        </w:trPr>
        <w:tc>
          <w:tcPr>
            <w:tcW w:w="8460" w:type="dxa"/>
            <w:vAlign w:val="bottom"/>
            <w:gridSpan w:val="2"/>
          </w:tcPr>
          <w:p>
            <w:pPr>
              <w:spacing w:after="0"/>
              <w:rPr>
                <w:sz w:val="20"/>
                <w:szCs w:val="20"/>
                <w:color w:val="auto"/>
              </w:rPr>
            </w:pPr>
            <w:r>
              <w:rPr>
                <w:rFonts w:ascii="Arial" w:cs="Arial" w:eastAsia="Arial" w:hAnsi="Arial"/>
                <w:sz w:val="16"/>
                <w:szCs w:val="16"/>
                <w:color w:val="auto"/>
              </w:rPr>
              <w:t>ARTICLE 13  MISCELLANEOUS PROVISIONS</w:t>
            </w:r>
          </w:p>
        </w:tc>
        <w:tc>
          <w:tcPr>
            <w:tcW w:w="1520" w:type="dxa"/>
            <w:vAlign w:val="bottom"/>
          </w:tcPr>
          <w:p>
            <w:pPr>
              <w:spacing w:after="0"/>
              <w:rPr>
                <w:sz w:val="24"/>
                <w:szCs w:val="24"/>
                <w:color w:val="auto"/>
              </w:rPr>
            </w:pP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13.01  Effect on Successors and Assigns</w:t>
            </w:r>
          </w:p>
        </w:tc>
        <w:tc>
          <w:tcPr>
            <w:tcW w:w="15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13.02  Actions by Successor</w:t>
            </w:r>
          </w:p>
        </w:tc>
        <w:tc>
          <w:tcPr>
            <w:tcW w:w="15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13.03  Surrender of Company Powers</w:t>
            </w:r>
          </w:p>
        </w:tc>
        <w:tc>
          <w:tcPr>
            <w:tcW w:w="15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6"/>
        </w:trPr>
        <w:tc>
          <w:tcPr>
            <w:tcW w:w="1300" w:type="dxa"/>
            <w:vAlign w:val="bottom"/>
          </w:tcPr>
          <w:p>
            <w:pPr>
              <w:ind w:left="320"/>
              <w:spacing w:after="0"/>
              <w:rPr>
                <w:sz w:val="20"/>
                <w:szCs w:val="20"/>
                <w:color w:val="auto"/>
              </w:rPr>
            </w:pPr>
            <w:r>
              <w:rPr>
                <w:rFonts w:ascii="Arial" w:cs="Arial" w:eastAsia="Arial" w:hAnsi="Arial"/>
                <w:sz w:val="16"/>
                <w:szCs w:val="16"/>
                <w:color w:val="auto"/>
                <w:w w:val="98"/>
              </w:rPr>
              <w:t>Section 13.04</w:t>
            </w:r>
          </w:p>
        </w:tc>
        <w:tc>
          <w:tcPr>
            <w:tcW w:w="7160" w:type="dxa"/>
            <w:vAlign w:val="bottom"/>
          </w:tcPr>
          <w:p>
            <w:pPr>
              <w:ind w:left="80"/>
              <w:spacing w:after="0"/>
              <w:rPr>
                <w:sz w:val="20"/>
                <w:szCs w:val="20"/>
                <w:color w:val="auto"/>
              </w:rPr>
            </w:pPr>
            <w:r>
              <w:rPr>
                <w:rFonts w:ascii="Arial" w:cs="Arial" w:eastAsia="Arial" w:hAnsi="Arial"/>
                <w:sz w:val="16"/>
                <w:szCs w:val="16"/>
                <w:color w:val="auto"/>
              </w:rPr>
              <w:t>Notices</w:t>
            </w:r>
          </w:p>
        </w:tc>
        <w:tc>
          <w:tcPr>
            <w:tcW w:w="15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13.05  Governing Law; Jury Trial Waiver</w:t>
            </w:r>
          </w:p>
        </w:tc>
        <w:tc>
          <w:tcPr>
            <w:tcW w:w="15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13.06  Treatment of Securities as Debt</w:t>
            </w:r>
          </w:p>
        </w:tc>
        <w:tc>
          <w:tcPr>
            <w:tcW w:w="15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13.07  Certificates and Opinions as to Conditions Precedent</w:t>
            </w:r>
          </w:p>
        </w:tc>
        <w:tc>
          <w:tcPr>
            <w:tcW w:w="15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13.08  Payments on Business Days</w:t>
            </w:r>
          </w:p>
        </w:tc>
        <w:tc>
          <w:tcPr>
            <w:tcW w:w="15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13.09  Conflict with Trust Indenture Act</w:t>
            </w:r>
          </w:p>
        </w:tc>
        <w:tc>
          <w:tcPr>
            <w:tcW w:w="15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6"/>
        </w:trPr>
        <w:tc>
          <w:tcPr>
            <w:tcW w:w="1300" w:type="dxa"/>
            <w:vAlign w:val="bottom"/>
          </w:tcPr>
          <w:p>
            <w:pPr>
              <w:ind w:left="320"/>
              <w:spacing w:after="0"/>
              <w:rPr>
                <w:sz w:val="20"/>
                <w:szCs w:val="20"/>
                <w:color w:val="auto"/>
              </w:rPr>
            </w:pPr>
            <w:r>
              <w:rPr>
                <w:rFonts w:ascii="Arial" w:cs="Arial" w:eastAsia="Arial" w:hAnsi="Arial"/>
                <w:sz w:val="16"/>
                <w:szCs w:val="16"/>
                <w:color w:val="auto"/>
                <w:w w:val="98"/>
              </w:rPr>
              <w:t>Section 13.10</w:t>
            </w:r>
          </w:p>
        </w:tc>
        <w:tc>
          <w:tcPr>
            <w:tcW w:w="7160" w:type="dxa"/>
            <w:vAlign w:val="bottom"/>
          </w:tcPr>
          <w:p>
            <w:pPr>
              <w:ind w:left="80"/>
              <w:spacing w:after="0"/>
              <w:rPr>
                <w:sz w:val="20"/>
                <w:szCs w:val="20"/>
                <w:color w:val="auto"/>
              </w:rPr>
            </w:pPr>
            <w:r>
              <w:rPr>
                <w:rFonts w:ascii="Arial" w:cs="Arial" w:eastAsia="Arial" w:hAnsi="Arial"/>
                <w:sz w:val="16"/>
                <w:szCs w:val="16"/>
                <w:color w:val="auto"/>
              </w:rPr>
              <w:t>Counterparts</w:t>
            </w: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6"/>
        </w:trPr>
        <w:tc>
          <w:tcPr>
            <w:tcW w:w="1300" w:type="dxa"/>
            <w:vAlign w:val="bottom"/>
          </w:tcPr>
          <w:p>
            <w:pPr>
              <w:ind w:left="320"/>
              <w:spacing w:after="0"/>
              <w:rPr>
                <w:sz w:val="20"/>
                <w:szCs w:val="20"/>
                <w:color w:val="auto"/>
              </w:rPr>
            </w:pPr>
            <w:r>
              <w:rPr>
                <w:rFonts w:ascii="Arial" w:cs="Arial" w:eastAsia="Arial" w:hAnsi="Arial"/>
                <w:sz w:val="16"/>
                <w:szCs w:val="16"/>
                <w:color w:val="auto"/>
                <w:w w:val="98"/>
              </w:rPr>
              <w:t>Section 13.11</w:t>
            </w:r>
          </w:p>
        </w:tc>
        <w:tc>
          <w:tcPr>
            <w:tcW w:w="7160" w:type="dxa"/>
            <w:vAlign w:val="bottom"/>
          </w:tcPr>
          <w:p>
            <w:pPr>
              <w:ind w:left="80"/>
              <w:spacing w:after="0"/>
              <w:rPr>
                <w:sz w:val="20"/>
                <w:szCs w:val="20"/>
                <w:color w:val="auto"/>
              </w:rPr>
            </w:pPr>
            <w:r>
              <w:rPr>
                <w:rFonts w:ascii="Arial" w:cs="Arial" w:eastAsia="Arial" w:hAnsi="Arial"/>
                <w:sz w:val="16"/>
                <w:szCs w:val="16"/>
                <w:color w:val="auto"/>
              </w:rPr>
              <w:t>Separability</w:t>
            </w: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6"/>
        </w:trPr>
        <w:tc>
          <w:tcPr>
            <w:tcW w:w="1300" w:type="dxa"/>
            <w:vAlign w:val="bottom"/>
          </w:tcPr>
          <w:p>
            <w:pPr>
              <w:ind w:left="320"/>
              <w:spacing w:after="0"/>
              <w:rPr>
                <w:sz w:val="20"/>
                <w:szCs w:val="20"/>
                <w:color w:val="auto"/>
              </w:rPr>
            </w:pPr>
            <w:r>
              <w:rPr>
                <w:rFonts w:ascii="Arial" w:cs="Arial" w:eastAsia="Arial" w:hAnsi="Arial"/>
                <w:sz w:val="16"/>
                <w:szCs w:val="16"/>
                <w:color w:val="auto"/>
                <w:w w:val="98"/>
              </w:rPr>
              <w:t>Section 13.12</w:t>
            </w:r>
          </w:p>
        </w:tc>
        <w:tc>
          <w:tcPr>
            <w:tcW w:w="7160" w:type="dxa"/>
            <w:vAlign w:val="bottom"/>
          </w:tcPr>
          <w:p>
            <w:pPr>
              <w:ind w:left="80"/>
              <w:spacing w:after="0"/>
              <w:rPr>
                <w:sz w:val="20"/>
                <w:szCs w:val="20"/>
                <w:color w:val="auto"/>
              </w:rPr>
            </w:pPr>
            <w:r>
              <w:rPr>
                <w:rFonts w:ascii="Arial" w:cs="Arial" w:eastAsia="Arial" w:hAnsi="Arial"/>
                <w:sz w:val="16"/>
                <w:szCs w:val="16"/>
                <w:color w:val="auto"/>
              </w:rPr>
              <w:t>Compliance Certificates</w:t>
            </w: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6"/>
        </w:trPr>
        <w:tc>
          <w:tcPr>
            <w:tcW w:w="1300" w:type="dxa"/>
            <w:vAlign w:val="bottom"/>
          </w:tcPr>
          <w:p>
            <w:pPr>
              <w:ind w:left="320"/>
              <w:spacing w:after="0"/>
              <w:rPr>
                <w:sz w:val="20"/>
                <w:szCs w:val="20"/>
                <w:color w:val="auto"/>
              </w:rPr>
            </w:pPr>
            <w:r>
              <w:rPr>
                <w:rFonts w:ascii="Arial" w:cs="Arial" w:eastAsia="Arial" w:hAnsi="Arial"/>
                <w:sz w:val="16"/>
                <w:szCs w:val="16"/>
                <w:color w:val="auto"/>
                <w:w w:val="98"/>
              </w:rPr>
              <w:t>Section 13.13</w:t>
            </w:r>
          </w:p>
        </w:tc>
        <w:tc>
          <w:tcPr>
            <w:tcW w:w="7160" w:type="dxa"/>
            <w:vAlign w:val="bottom"/>
          </w:tcPr>
          <w:p>
            <w:pPr>
              <w:ind w:left="80"/>
              <w:spacing w:after="0"/>
              <w:rPr>
                <w:sz w:val="20"/>
                <w:szCs w:val="20"/>
                <w:color w:val="auto"/>
              </w:rPr>
            </w:pPr>
            <w:r>
              <w:rPr>
                <w:rFonts w:ascii="Arial" w:cs="Arial" w:eastAsia="Arial" w:hAnsi="Arial"/>
                <w:sz w:val="16"/>
                <w:szCs w:val="16"/>
                <w:color w:val="auto"/>
              </w:rPr>
              <w:t>Patriot Act</w:t>
            </w: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6"/>
        </w:trPr>
        <w:tc>
          <w:tcPr>
            <w:tcW w:w="1300" w:type="dxa"/>
            <w:vAlign w:val="bottom"/>
          </w:tcPr>
          <w:p>
            <w:pPr>
              <w:ind w:left="320"/>
              <w:spacing w:after="0"/>
              <w:rPr>
                <w:sz w:val="20"/>
                <w:szCs w:val="20"/>
                <w:color w:val="auto"/>
              </w:rPr>
            </w:pPr>
            <w:r>
              <w:rPr>
                <w:rFonts w:ascii="Arial" w:cs="Arial" w:eastAsia="Arial" w:hAnsi="Arial"/>
                <w:sz w:val="16"/>
                <w:szCs w:val="16"/>
                <w:color w:val="auto"/>
                <w:w w:val="98"/>
              </w:rPr>
              <w:t>Section 13.14</w:t>
            </w:r>
          </w:p>
        </w:tc>
        <w:tc>
          <w:tcPr>
            <w:tcW w:w="7160" w:type="dxa"/>
            <w:vAlign w:val="bottom"/>
          </w:tcPr>
          <w:p>
            <w:pPr>
              <w:ind w:left="80"/>
              <w:spacing w:after="0"/>
              <w:rPr>
                <w:sz w:val="20"/>
                <w:szCs w:val="20"/>
                <w:color w:val="auto"/>
              </w:rPr>
            </w:pPr>
            <w:r>
              <w:rPr>
                <w:rFonts w:ascii="Arial" w:cs="Arial" w:eastAsia="Arial" w:hAnsi="Arial"/>
                <w:sz w:val="16"/>
                <w:szCs w:val="16"/>
                <w:color w:val="auto"/>
              </w:rPr>
              <w:t>Force Majeure</w:t>
            </w: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6"/>
        </w:trPr>
        <w:tc>
          <w:tcPr>
            <w:tcW w:w="8460" w:type="dxa"/>
            <w:vAlign w:val="bottom"/>
            <w:gridSpan w:val="2"/>
          </w:tcPr>
          <w:p>
            <w:pPr>
              <w:ind w:left="320"/>
              <w:spacing w:after="0"/>
              <w:rPr>
                <w:sz w:val="20"/>
                <w:szCs w:val="20"/>
                <w:color w:val="auto"/>
              </w:rPr>
            </w:pPr>
            <w:r>
              <w:rPr>
                <w:rFonts w:ascii="Arial" w:cs="Arial" w:eastAsia="Arial" w:hAnsi="Arial"/>
                <w:sz w:val="16"/>
                <w:szCs w:val="16"/>
                <w:color w:val="auto"/>
              </w:rPr>
              <w:t>Section 13.15  Table of Contents; Headings</w:t>
            </w: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9980"/>
          </w:cols>
          <w:pgMar w:left="640" w:top="127" w:right="127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INDENTURE</w:t>
      </w:r>
    </w:p>
    <w:p>
      <w:pPr>
        <w:spacing w:after="0" w:line="200" w:lineRule="exact"/>
        <w:rPr>
          <w:sz w:val="20"/>
          <w:szCs w:val="20"/>
          <w:color w:val="auto"/>
        </w:rPr>
      </w:pPr>
    </w:p>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INDENTURE</w:t>
      </w:r>
      <w:r>
        <w:rPr>
          <w:rFonts w:ascii="Arial" w:cs="Arial" w:eastAsia="Arial" w:hAnsi="Arial"/>
          <w:sz w:val="16"/>
          <w:szCs w:val="16"/>
          <w:color w:val="auto"/>
        </w:rPr>
        <w:t>, dated as of [•], 20__, among SI-BONE, Inc., a Delaware corporation (the “Company”), and [</w:t>
      </w:r>
      <w:r>
        <w:rPr>
          <w:rFonts w:ascii="Arial" w:cs="Arial" w:eastAsia="Arial" w:hAnsi="Arial"/>
          <w:sz w:val="16"/>
          <w:szCs w:val="16"/>
          <w:b w:val="1"/>
          <w:bCs w:val="1"/>
          <w:color w:val="auto"/>
        </w:rPr>
        <w:t>TRUSTEE</w:t>
      </w:r>
      <w:r>
        <w:rPr>
          <w:rFonts w:ascii="Arial" w:cs="Arial" w:eastAsia="Arial" w:hAnsi="Arial"/>
          <w:sz w:val="16"/>
          <w:szCs w:val="16"/>
          <w:color w:val="auto"/>
        </w:rPr>
        <w:t>], as trustee (the “Trustee”):</w:t>
      </w:r>
    </w:p>
    <w:p>
      <w:pPr>
        <w:spacing w:after="0" w:line="209" w:lineRule="exact"/>
        <w:rPr>
          <w:sz w:val="20"/>
          <w:szCs w:val="20"/>
          <w:color w:val="auto"/>
        </w:rPr>
      </w:pPr>
    </w:p>
    <w:p>
      <w:pPr>
        <w:jc w:val="both"/>
        <w:ind w:firstLine="590"/>
        <w:spacing w:after="0" w:line="27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for its lawful corporate purposes, the Company has duly authorized the execution and delivery of this Indenture to provide for the issuance of debt</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57"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to provide the terms and conditions upon which the Securities are to be authenticated, issued and delivered, the Company has duly authorized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of this Indenture; and</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all things necessary to make this Indenture a valid agreement of the Company, in accordance with its terms, have been done.</w:t>
      </w:r>
    </w:p>
    <w:p>
      <w:pPr>
        <w:spacing w:after="0" w:line="209"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purchase of the Securities by the holders thereof, it is mutually covenanted and agreed as follows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equal and ratable benefit of the holders of Securities:</w:t>
      </w:r>
    </w:p>
    <w:p>
      <w:pPr>
        <w:spacing w:after="0" w:line="165" w:lineRule="exact"/>
        <w:rPr>
          <w:sz w:val="20"/>
          <w:szCs w:val="20"/>
          <w:color w:val="auto"/>
        </w:rPr>
      </w:pPr>
    </w:p>
    <w:p>
      <w:pPr>
        <w:ind w:left="6540"/>
        <w:spacing w:after="0"/>
        <w:rPr>
          <w:sz w:val="20"/>
          <w:szCs w:val="20"/>
          <w:color w:val="auto"/>
        </w:rPr>
      </w:pPr>
      <w:r>
        <w:rPr>
          <w:rFonts w:ascii="Arial" w:cs="Arial" w:eastAsia="Arial" w:hAnsi="Arial"/>
          <w:sz w:val="16"/>
          <w:szCs w:val="16"/>
          <w:b w:val="1"/>
          <w:bCs w:val="1"/>
          <w:color w:val="auto"/>
        </w:rPr>
        <w:t>ARTICLE1</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0000FF"/>
        </w:rPr>
        <w:t>DEFINITIONS</w:t>
      </w:r>
    </w:p>
    <w:p>
      <w:pPr>
        <w:spacing w:after="0" w:line="222"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1.01</w:t>
      </w:r>
      <w:r>
        <w:rPr>
          <w:sz w:val="20"/>
          <w:szCs w:val="20"/>
          <w:color w:val="auto"/>
        </w:rPr>
        <w:tab/>
      </w:r>
      <w:r>
        <w:rPr>
          <w:rFonts w:ascii="Arial" w:cs="Arial" w:eastAsia="Arial" w:hAnsi="Arial"/>
          <w:sz w:val="14"/>
          <w:szCs w:val="14"/>
          <w:b w:val="1"/>
          <w:bCs w:val="1"/>
          <w:color w:val="0000FF"/>
        </w:rPr>
        <w:t>Definitions of Terms</w:t>
      </w:r>
    </w:p>
    <w:p>
      <w:pPr>
        <w:spacing w:after="0" w:line="213" w:lineRule="exact"/>
        <w:rPr>
          <w:sz w:val="20"/>
          <w:szCs w:val="20"/>
          <w:color w:val="auto"/>
        </w:rPr>
      </w:pPr>
    </w:p>
    <w:p>
      <w:pPr>
        <w:jc w:val="both"/>
        <w:ind w:firstLine="590"/>
        <w:spacing w:after="0" w:line="286" w:lineRule="auto"/>
        <w:rPr>
          <w:sz w:val="20"/>
          <w:szCs w:val="20"/>
          <w:color w:val="auto"/>
        </w:rPr>
      </w:pPr>
      <w:r>
        <w:rPr>
          <w:rFonts w:ascii="Arial" w:cs="Arial" w:eastAsia="Arial" w:hAnsi="Arial"/>
          <w:sz w:val="15"/>
          <w:szCs w:val="15"/>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52"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Authenticating Agent</w:t>
      </w:r>
      <w:r>
        <w:rPr>
          <w:rFonts w:ascii="Arial" w:cs="Arial" w:eastAsia="Arial" w:hAnsi="Arial"/>
          <w:sz w:val="16"/>
          <w:szCs w:val="16"/>
          <w:color w:val="auto"/>
        </w:rPr>
        <w:t>” means the Trustee or an authenticating agent with respect to all or any of the series of Securities appointed by the Trustee pursuant to Section 2.10.</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Bankruptcy Law</w:t>
      </w:r>
      <w:r>
        <w:rPr>
          <w:rFonts w:ascii="Arial" w:cs="Arial" w:eastAsia="Arial" w:hAnsi="Arial"/>
          <w:sz w:val="16"/>
          <w:szCs w:val="16"/>
          <w:color w:val="auto"/>
        </w:rPr>
        <w:t>” means Title 11, U.S. Code, or any similar federal or state law for the relief of debtors.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Board of Directors</w:t>
      </w:r>
      <w:r>
        <w:rPr>
          <w:rFonts w:ascii="Arial" w:cs="Arial" w:eastAsia="Arial" w:hAnsi="Arial"/>
          <w:sz w:val="15"/>
          <w:szCs w:val="15"/>
          <w:color w:val="auto"/>
        </w:rPr>
        <w:t>” means the Board of Directors (or the functional equivalent thereof) of the Company or any duly authorized committee of such Board.</w:t>
      </w:r>
    </w:p>
    <w:p>
      <w:pPr>
        <w:spacing w:after="0" w:line="221"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Resolution</w:t>
      </w:r>
      <w:r>
        <w:rPr>
          <w:rFonts w:ascii="Arial" w:cs="Arial" w:eastAsia="Arial" w:hAnsi="Arial"/>
          <w:sz w:val="16"/>
          <w:szCs w:val="16"/>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50" w:lineRule="exact"/>
        <w:rPr>
          <w:sz w:val="20"/>
          <w:szCs w:val="20"/>
          <w:color w:val="auto"/>
        </w:rPr>
      </w:pPr>
    </w:p>
    <w:p>
      <w:pPr>
        <w:jc w:val="both"/>
        <w:ind w:firstLine="590"/>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26"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61"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SI-BONE, Inc., a corporation duly organized and existing under the laws of the State of Delaware, and, subject to the provisions of Article Ten, shall also include its successors and assigns.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78" w:right="239" w:bottom="1440" w:gutter="0" w:footer="0" w:header="0"/>
        </w:sectPr>
      </w:pPr>
    </w:p>
    <w:bookmarkStart w:id="37" w:name="page38"/>
    <w:bookmarkEnd w:id="37"/>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Corporate Trust Office</w:t>
      </w:r>
      <w:r>
        <w:rPr>
          <w:rFonts w:ascii="Arial" w:cs="Arial" w:eastAsia="Arial" w:hAnsi="Arial"/>
          <w:sz w:val="15"/>
          <w:szCs w:val="15"/>
          <w:color w:val="auto"/>
        </w:rPr>
        <w:t>” means the office of the Trustee at which, at any particular time, its corporate trust business shall be principally administered, which office</w:t>
      </w:r>
    </w:p>
    <w:p>
      <w:pPr>
        <w:spacing w:after="0" w:line="36" w:lineRule="exact"/>
        <w:rPr>
          <w:sz w:val="20"/>
          <w:szCs w:val="20"/>
          <w:color w:val="auto"/>
        </w:rPr>
      </w:pPr>
    </w:p>
    <w:p>
      <w:pPr>
        <w:spacing w:after="0"/>
        <w:tabs>
          <w:tab w:leader="none" w:pos="7300" w:val="left"/>
        </w:tabs>
        <w:rPr>
          <w:sz w:val="20"/>
          <w:szCs w:val="20"/>
          <w:color w:val="auto"/>
        </w:rPr>
      </w:pPr>
      <w:r>
        <w:rPr>
          <w:rFonts w:ascii="Arial" w:cs="Arial" w:eastAsia="Arial" w:hAnsi="Arial"/>
          <w:sz w:val="16"/>
          <w:szCs w:val="16"/>
          <w:color w:val="auto"/>
        </w:rPr>
        <w:t>at the date hereof is located at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1266825</wp:posOffset>
            </wp:positionH>
            <wp:positionV relativeFrom="paragraph">
              <wp:posOffset>-13970</wp:posOffset>
            </wp:positionV>
            <wp:extent cx="33807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3380740" cy="7620"/>
                    </a:xfrm>
                    <a:prstGeom prst="rect">
                      <a:avLst/>
                    </a:prstGeom>
                    <a:noFill/>
                  </pic:spPr>
                </pic:pic>
              </a:graphicData>
            </a:graphic>
          </wp:anchor>
        </w:drawing>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Custodian</w:t>
      </w:r>
      <w:r>
        <w:rPr>
          <w:rFonts w:ascii="Arial" w:cs="Arial" w:eastAsia="Arial" w:hAnsi="Arial"/>
          <w:sz w:val="16"/>
          <w:szCs w:val="16"/>
          <w:color w:val="auto"/>
        </w:rPr>
        <w:t>” means any receiver, trustee, assignee, liquidator or similar official under any Bankruptcy Law.</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Defaulted Interest</w:t>
      </w:r>
      <w:r>
        <w:rPr>
          <w:rFonts w:ascii="Arial" w:cs="Arial" w:eastAsia="Arial" w:hAnsi="Arial"/>
          <w:sz w:val="16"/>
          <w:szCs w:val="16"/>
          <w:color w:val="auto"/>
        </w:rPr>
        <w:t>” has the meaning set forth in Section 2.03.</w:t>
      </w:r>
    </w:p>
    <w:p>
      <w:pPr>
        <w:spacing w:after="0" w:line="209"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61"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means, with respect to Securities of a particular series, any event specified in Section 6.01, continued for the period of time, if any, therein designated.</w:t>
      </w:r>
    </w:p>
    <w:p>
      <w:pPr>
        <w:spacing w:after="0" w:line="150"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and Exchange Act of 1934, as amended, and the rules and regulations promulgated by the Commission thereunder.</w:t>
      </w:r>
    </w:p>
    <w:p>
      <w:pPr>
        <w:spacing w:after="0" w:line="150" w:lineRule="exact"/>
        <w:rPr>
          <w:sz w:val="20"/>
          <w:szCs w:val="20"/>
          <w:color w:val="auto"/>
        </w:rPr>
      </w:pPr>
    </w:p>
    <w:p>
      <w:pPr>
        <w:jc w:val="both"/>
        <w:ind w:firstLine="590"/>
        <w:spacing w:after="0" w:line="316" w:lineRule="auto"/>
        <w:rPr>
          <w:sz w:val="20"/>
          <w:szCs w:val="20"/>
          <w:color w:val="auto"/>
        </w:rPr>
      </w:pPr>
      <w:r>
        <w:rPr>
          <w:rFonts w:ascii="Arial" w:cs="Arial" w:eastAsia="Arial" w:hAnsi="Arial"/>
          <w:sz w:val="14"/>
          <w:szCs w:val="14"/>
          <w:color w:val="auto"/>
        </w:rPr>
        <w:t>The term “</w:t>
      </w:r>
      <w:r>
        <w:rPr>
          <w:rFonts w:ascii="Arial" w:cs="Arial" w:eastAsia="Arial" w:hAnsi="Arial"/>
          <w:sz w:val="14"/>
          <w:szCs w:val="14"/>
          <w:b w:val="1"/>
          <w:bCs w:val="1"/>
          <w:i w:val="1"/>
          <w:iCs w:val="1"/>
          <w:color w:val="auto"/>
        </w:rPr>
        <w:t>given</w:t>
      </w:r>
      <w:r>
        <w:rPr>
          <w:rFonts w:ascii="Arial" w:cs="Arial" w:eastAsia="Arial" w:hAnsi="Arial"/>
          <w:sz w:val="14"/>
          <w:szCs w:val="14"/>
          <w:color w:val="auto"/>
        </w:rPr>
        <w:t>”, “</w:t>
      </w:r>
      <w:r>
        <w:rPr>
          <w:rFonts w:ascii="Arial" w:cs="Arial" w:eastAsia="Arial" w:hAnsi="Arial"/>
          <w:sz w:val="14"/>
          <w:szCs w:val="14"/>
          <w:b w:val="1"/>
          <w:bCs w:val="1"/>
          <w:i w:val="1"/>
          <w:iCs w:val="1"/>
          <w:color w:val="auto"/>
        </w:rPr>
        <w:t>mailed</w:t>
      </w:r>
      <w:r>
        <w:rPr>
          <w:rFonts w:ascii="Arial" w:cs="Arial" w:eastAsia="Arial" w:hAnsi="Arial"/>
          <w:sz w:val="14"/>
          <w:szCs w:val="14"/>
          <w:color w:val="auto"/>
        </w:rPr>
        <w:t>”, “</w:t>
      </w:r>
      <w:r>
        <w:rPr>
          <w:rFonts w:ascii="Arial" w:cs="Arial" w:eastAsia="Arial" w:hAnsi="Arial"/>
          <w:sz w:val="14"/>
          <w:szCs w:val="14"/>
          <w:b w:val="1"/>
          <w:bCs w:val="1"/>
          <w:i w:val="1"/>
          <w:iCs w:val="1"/>
          <w:color w:val="auto"/>
        </w:rPr>
        <w:t>notify</w:t>
      </w:r>
      <w:r>
        <w:rPr>
          <w:rFonts w:ascii="Arial" w:cs="Arial" w:eastAsia="Arial" w:hAnsi="Arial"/>
          <w:sz w:val="14"/>
          <w:szCs w:val="14"/>
          <w:color w:val="auto"/>
        </w:rPr>
        <w:t>” or “</w:t>
      </w:r>
      <w:r>
        <w:rPr>
          <w:rFonts w:ascii="Arial" w:cs="Arial" w:eastAsia="Arial" w:hAnsi="Arial"/>
          <w:sz w:val="14"/>
          <w:szCs w:val="14"/>
          <w:b w:val="1"/>
          <w:bCs w:val="1"/>
          <w:i w:val="1"/>
          <w:iCs w:val="1"/>
          <w:color w:val="auto"/>
        </w:rPr>
        <w:t>sent</w:t>
      </w:r>
      <w:r>
        <w:rPr>
          <w:rFonts w:ascii="Arial" w:cs="Arial" w:eastAsia="Arial" w:hAnsi="Arial"/>
          <w:sz w:val="14"/>
          <w:szCs w:val="14"/>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135"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Global Security</w:t>
      </w:r>
      <w:r>
        <w:rPr>
          <w:rFonts w:ascii="Arial" w:cs="Arial" w:eastAsia="Arial" w:hAnsi="Arial"/>
          <w:sz w:val="16"/>
          <w:szCs w:val="16"/>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61" w:lineRule="exact"/>
        <w:rPr>
          <w:sz w:val="20"/>
          <w:szCs w:val="20"/>
          <w:color w:val="auto"/>
        </w:rPr>
      </w:pPr>
    </w:p>
    <w:p>
      <w:pPr>
        <w:jc w:val="both"/>
        <w:ind w:firstLine="590"/>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Obligations</w:t>
      </w:r>
      <w:r>
        <w:rPr>
          <w:rFonts w:ascii="Arial" w:cs="Arial" w:eastAsia="Arial" w:hAnsi="Arial"/>
          <w:sz w:val="16"/>
          <w:szCs w:val="16"/>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65"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herein</w:t>
      </w:r>
      <w:r>
        <w:rPr>
          <w:rFonts w:ascii="Arial" w:cs="Arial" w:eastAsia="Arial" w:hAnsi="Arial"/>
          <w:sz w:val="16"/>
          <w:szCs w:val="16"/>
          <w:color w:val="auto"/>
        </w:rPr>
        <w:t>”, “</w:t>
      </w:r>
      <w:r>
        <w:rPr>
          <w:rFonts w:ascii="Arial" w:cs="Arial" w:eastAsia="Arial" w:hAnsi="Arial"/>
          <w:sz w:val="16"/>
          <w:szCs w:val="16"/>
          <w:b w:val="1"/>
          <w:bCs w:val="1"/>
          <w:i w:val="1"/>
          <w:iCs w:val="1"/>
          <w:color w:val="auto"/>
        </w:rPr>
        <w:t>hereof</w:t>
      </w:r>
      <w:r>
        <w:rPr>
          <w:rFonts w:ascii="Arial" w:cs="Arial" w:eastAsia="Arial" w:hAnsi="Arial"/>
          <w:sz w:val="16"/>
          <w:szCs w:val="16"/>
          <w:b w:val="1"/>
          <w:bCs w:val="1"/>
          <w:color w:val="auto"/>
        </w:rPr>
        <w:t>”</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hereunder</w:t>
      </w:r>
      <w:r>
        <w:rPr>
          <w:rFonts w:ascii="Arial" w:cs="Arial" w:eastAsia="Arial" w:hAnsi="Arial"/>
          <w:sz w:val="16"/>
          <w:szCs w:val="16"/>
          <w:color w:val="auto"/>
        </w:rPr>
        <w:t>”, and other words of similar import, refer to this Indenture as a whole and not to any particular Article, Section or other subdivision.</w:t>
      </w:r>
    </w:p>
    <w:p>
      <w:pPr>
        <w:spacing w:after="0" w:line="145" w:lineRule="exact"/>
        <w:rPr>
          <w:sz w:val="20"/>
          <w:szCs w:val="20"/>
          <w:color w:val="auto"/>
        </w:rPr>
      </w:pPr>
    </w:p>
    <w:p>
      <w:pPr>
        <w:jc w:val="both"/>
        <w:ind w:firstLine="590"/>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Indenture</w:t>
      </w:r>
      <w:r>
        <w:rPr>
          <w:rFonts w:ascii="Arial" w:cs="Arial" w:eastAsia="Arial" w:hAnsi="Arial"/>
          <w:sz w:val="15"/>
          <w:szCs w:val="15"/>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26"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 Payment Date</w:t>
      </w:r>
      <w:r>
        <w:rPr>
          <w:rFonts w:ascii="Arial" w:cs="Arial" w:eastAsia="Arial" w:hAnsi="Arial"/>
          <w:sz w:val="16"/>
          <w:szCs w:val="16"/>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61"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61"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Officer’s Certificate</w:t>
      </w:r>
      <w:r>
        <w:rPr>
          <w:rFonts w:ascii="Arial" w:cs="Arial" w:eastAsia="Arial" w:hAnsi="Arial"/>
          <w:sz w:val="16"/>
          <w:szCs w:val="16"/>
          <w:color w:val="auto"/>
        </w:rPr>
        <w:t>” means a certificate signed by any Officer. Each such certificate shall include the statements provided for in Section 13.07, if and to the extent required by the provisions thereof.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2" w:right="239" w:bottom="1440" w:gutter="0" w:footer="0" w:header="0"/>
        </w:sectPr>
      </w:pPr>
    </w:p>
    <w:bookmarkStart w:id="38" w:name="page39"/>
    <w:bookmarkEnd w:id="38"/>
    <w:p>
      <w:pPr>
        <w:jc w:val="both"/>
        <w:ind w:firstLine="590"/>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Opinion of Counsel</w:t>
      </w:r>
      <w:r>
        <w:rPr>
          <w:rFonts w:ascii="Arial" w:cs="Arial" w:eastAsia="Arial" w:hAnsi="Arial"/>
          <w:sz w:val="16"/>
          <w:szCs w:val="16"/>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61" w:lineRule="exact"/>
        <w:rPr>
          <w:sz w:val="20"/>
          <w:szCs w:val="20"/>
          <w:color w:val="auto"/>
        </w:rPr>
      </w:pPr>
    </w:p>
    <w:p>
      <w:pPr>
        <w:jc w:val="both"/>
        <w:ind w:firstLine="590"/>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Outstanding</w:t>
      </w:r>
      <w:r>
        <w:rPr>
          <w:rFonts w:ascii="Arial" w:cs="Arial" w:eastAsia="Arial" w:hAnsi="Arial"/>
          <w:sz w:val="16"/>
          <w:szCs w:val="16"/>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69"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0"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61"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Responsible Officer</w:t>
      </w:r>
      <w:r>
        <w:rPr>
          <w:rFonts w:ascii="Arial" w:cs="Arial" w:eastAsia="Arial" w:hAnsi="Arial"/>
          <w:sz w:val="16"/>
          <w:szCs w:val="16"/>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Securities</w:t>
      </w:r>
      <w:r>
        <w:rPr>
          <w:rFonts w:ascii="Arial" w:cs="Arial" w:eastAsia="Arial" w:hAnsi="Arial"/>
          <w:sz w:val="14"/>
          <w:szCs w:val="14"/>
          <w:color w:val="auto"/>
        </w:rPr>
        <w:t>” has the meaning stated in the first recital of this Indenture and more particularly means any Securities authenticated and delivered under this Indenture.</w:t>
      </w:r>
    </w:p>
    <w:p>
      <w:pPr>
        <w:spacing w:after="0" w:line="2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209" w:lineRule="exact"/>
        <w:rPr>
          <w:sz w:val="20"/>
          <w:szCs w:val="20"/>
          <w:color w:val="auto"/>
        </w:rPr>
      </w:pPr>
    </w:p>
    <w:p>
      <w:pPr>
        <w:ind w:right="200" w:firstLine="59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Securityholder</w:t>
      </w:r>
      <w:r>
        <w:rPr>
          <w:rFonts w:ascii="Arial" w:cs="Arial" w:eastAsia="Arial" w:hAnsi="Arial"/>
          <w:sz w:val="16"/>
          <w:szCs w:val="16"/>
          <w:color w:val="auto"/>
        </w:rPr>
        <w:t>”, “</w:t>
      </w:r>
      <w:r>
        <w:rPr>
          <w:rFonts w:ascii="Arial" w:cs="Arial" w:eastAsia="Arial" w:hAnsi="Arial"/>
          <w:sz w:val="16"/>
          <w:szCs w:val="16"/>
          <w:b w:val="1"/>
          <w:bCs w:val="1"/>
          <w:i w:val="1"/>
          <w:iCs w:val="1"/>
          <w:color w:val="auto"/>
        </w:rPr>
        <w:t>holder of Securities</w:t>
      </w:r>
      <w:r>
        <w:rPr>
          <w:rFonts w:ascii="Arial" w:cs="Arial" w:eastAsia="Arial" w:hAnsi="Arial"/>
          <w:sz w:val="16"/>
          <w:szCs w:val="16"/>
          <w:color w:val="auto"/>
        </w:rPr>
        <w:t>”, “</w:t>
      </w:r>
      <w:r>
        <w:rPr>
          <w:rFonts w:ascii="Arial" w:cs="Arial" w:eastAsia="Arial" w:hAnsi="Arial"/>
          <w:sz w:val="16"/>
          <w:szCs w:val="16"/>
          <w:b w:val="1"/>
          <w:bCs w:val="1"/>
          <w:i w:val="1"/>
          <w:iCs w:val="1"/>
          <w:color w:val="auto"/>
        </w:rPr>
        <w:t>registered holder</w:t>
      </w:r>
      <w:r>
        <w:rPr>
          <w:rFonts w:ascii="Arial" w:cs="Arial" w:eastAsia="Arial" w:hAnsi="Arial"/>
          <w:sz w:val="16"/>
          <w:szCs w:val="16"/>
          <w:color w:val="auto"/>
        </w:rPr>
        <w:t>”, or other similar term, means the Person or Persons in whose name or names a particular Security is registered on the Security Register kept for that purpose in accordance with the terms of this Indenture.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Security Register</w:t>
      </w:r>
      <w:r>
        <w:rPr>
          <w:rFonts w:ascii="Arial" w:cs="Arial" w:eastAsia="Arial" w:hAnsi="Arial"/>
          <w:sz w:val="16"/>
          <w:szCs w:val="16"/>
          <w:color w:val="auto"/>
        </w:rPr>
        <w:t>” and “</w:t>
      </w:r>
      <w:r>
        <w:rPr>
          <w:rFonts w:ascii="Arial" w:cs="Arial" w:eastAsia="Arial" w:hAnsi="Arial"/>
          <w:sz w:val="16"/>
          <w:szCs w:val="16"/>
          <w:b w:val="1"/>
          <w:bCs w:val="1"/>
          <w:i w:val="1"/>
          <w:iCs w:val="1"/>
          <w:color w:val="auto"/>
        </w:rPr>
        <w:t>Security Registrar</w:t>
      </w:r>
      <w:r>
        <w:rPr>
          <w:rFonts w:ascii="Arial" w:cs="Arial" w:eastAsia="Arial" w:hAnsi="Arial"/>
          <w:sz w:val="16"/>
          <w:szCs w:val="16"/>
          <w:color w:val="auto"/>
        </w:rPr>
        <w:t>” shall have the meanings as set forth in Section 2.05.</w:t>
      </w:r>
    </w:p>
    <w:p>
      <w:pPr>
        <w:spacing w:after="0" w:line="209" w:lineRule="exact"/>
        <w:rPr>
          <w:sz w:val="20"/>
          <w:szCs w:val="20"/>
          <w:color w:val="auto"/>
        </w:rPr>
      </w:pPr>
    </w:p>
    <w:p>
      <w:pPr>
        <w:ind w:right="60" w:firstLine="590"/>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Trustee</w:t>
      </w:r>
      <w:r>
        <w:rPr>
          <w:rFonts w:ascii="Arial" w:cs="Arial" w:eastAsia="Arial" w:hAnsi="Arial"/>
          <w:sz w:val="15"/>
          <w:szCs w:val="15"/>
          <w:color w:val="auto"/>
        </w:rPr>
        <w:t>” means _________________________, and, subject to the provisions of Article Seven, shall also include its successors and assigns, and, if at any time</w:t>
      </w:r>
    </w:p>
    <w:p>
      <w:pPr>
        <w:spacing w:after="0" w:line="3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there is more than one Person acting in such capacity hereunder, “Trustee” shall mean each such Person. The term “Trustee” as used with respect to a particular series of the Securities shall mean the trustee with respect to that series.</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Trust Indenture Act</w:t>
      </w:r>
      <w:r>
        <w:rPr>
          <w:rFonts w:ascii="Arial" w:cs="Arial" w:eastAsia="Arial" w:hAnsi="Arial"/>
          <w:sz w:val="16"/>
          <w:szCs w:val="16"/>
          <w:color w:val="auto"/>
        </w:rPr>
        <w:t>” means the Trust Indenture Act of 1939, as amended.</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5"/>
          <w:szCs w:val="15"/>
          <w:b w:val="1"/>
          <w:bCs w:val="1"/>
          <w:i w:val="1"/>
          <w:iCs w:val="1"/>
          <w:color w:val="auto"/>
        </w:rPr>
        <w:t xml:space="preserve">“U.S.A. Patriot Act” </w:t>
      </w:r>
      <w:r>
        <w:rPr>
          <w:rFonts w:ascii="Arial" w:cs="Arial" w:eastAsia="Arial" w:hAnsi="Arial"/>
          <w:sz w:val="15"/>
          <w:szCs w:val="15"/>
          <w:color w:val="auto"/>
        </w:rPr>
        <w:t>means the Uniting and Strengthening America by Providing Appropriate Tools Required to Intercept and Obstruct Terrorism Act of 2001, Pub.</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L. 107-56, as amended and signed into law October 26, 2001.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82" w:right="239" w:bottom="1440" w:gutter="0" w:footer="0" w:header="0"/>
        </w:sectPr>
      </w:pPr>
    </w:p>
    <w:bookmarkStart w:id="39" w:name="page40"/>
    <w:bookmarkEnd w:id="39"/>
    <w:p>
      <w:pPr>
        <w:ind w:left="7140"/>
        <w:spacing w:after="0"/>
        <w:rPr>
          <w:sz w:val="20"/>
          <w:szCs w:val="20"/>
          <w:color w:val="auto"/>
        </w:rPr>
      </w:pPr>
      <w:r>
        <w:rPr>
          <w:rFonts w:ascii="Arial" w:cs="Arial" w:eastAsia="Arial" w:hAnsi="Arial"/>
          <w:sz w:val="16"/>
          <w:szCs w:val="16"/>
          <w:b w:val="1"/>
          <w:bCs w:val="1"/>
          <w:color w:val="auto"/>
        </w:rPr>
        <w:t>ARTICLE 2</w:t>
      </w:r>
    </w:p>
    <w:p>
      <w:pPr>
        <w:spacing w:after="0" w:line="209" w:lineRule="exact"/>
        <w:rPr>
          <w:sz w:val="20"/>
          <w:szCs w:val="20"/>
          <w:color w:val="auto"/>
        </w:rPr>
      </w:pPr>
    </w:p>
    <w:p>
      <w:pPr>
        <w:ind w:left="1960"/>
        <w:spacing w:after="0"/>
        <w:rPr>
          <w:sz w:val="20"/>
          <w:szCs w:val="20"/>
          <w:color w:val="auto"/>
        </w:rPr>
      </w:pPr>
      <w:r>
        <w:rPr>
          <w:rFonts w:ascii="Arial" w:cs="Arial" w:eastAsia="Arial" w:hAnsi="Arial"/>
          <w:sz w:val="16"/>
          <w:szCs w:val="16"/>
          <w:b w:val="1"/>
          <w:bCs w:val="1"/>
          <w:color w:val="0000FF"/>
        </w:rPr>
        <w:t>ISSUE, DESCRIPTION, TERMS, EXECUTION, REGISTRATION AND EXCHANGE OF SECURITIES</w:t>
      </w:r>
    </w:p>
    <w:p>
      <w:pPr>
        <w:spacing w:after="0" w:line="20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2.01</w:t>
      </w:r>
      <w:r>
        <w:rPr>
          <w:sz w:val="20"/>
          <w:szCs w:val="20"/>
          <w:color w:val="auto"/>
        </w:rPr>
        <w:tab/>
      </w:r>
      <w:r>
        <w:rPr>
          <w:rFonts w:ascii="Arial" w:cs="Arial" w:eastAsia="Arial" w:hAnsi="Arial"/>
          <w:sz w:val="14"/>
          <w:szCs w:val="14"/>
          <w:b w:val="1"/>
          <w:bCs w:val="1"/>
          <w:color w:val="0000FF"/>
        </w:rPr>
        <w:t>Designation and Terms of Securities</w:t>
      </w:r>
    </w:p>
    <w:p>
      <w:pPr>
        <w:spacing w:after="0" w:line="213" w:lineRule="exact"/>
        <w:rPr>
          <w:sz w:val="20"/>
          <w:szCs w:val="20"/>
          <w:color w:val="auto"/>
        </w:rPr>
      </w:pPr>
    </w:p>
    <w:p>
      <w:pPr>
        <w:jc w:val="both"/>
        <w:ind w:firstLine="1178"/>
        <w:spacing w:after="0" w:line="266" w:lineRule="auto"/>
        <w:tabs>
          <w:tab w:leader="none" w:pos="155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67" w:lineRule="exact"/>
        <w:rPr>
          <w:rFonts w:ascii="Arial" w:cs="Arial" w:eastAsia="Arial" w:hAnsi="Arial"/>
          <w:sz w:val="16"/>
          <w:szCs w:val="16"/>
          <w:b w:val="1"/>
          <w:bCs w:val="1"/>
          <w:color w:val="auto"/>
        </w:rPr>
      </w:pPr>
    </w:p>
    <w:p>
      <w:pPr>
        <w:ind w:left="2120" w:hanging="352"/>
        <w:spacing w:after="0"/>
        <w:tabs>
          <w:tab w:leader="none" w:pos="2120"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t>the title of the Securities of the series (which shall distinguish the Securities of that series from all other Securities);</w:t>
      </w:r>
    </w:p>
    <w:p>
      <w:pPr>
        <w:spacing w:after="0" w:line="209" w:lineRule="exact"/>
        <w:rPr>
          <w:rFonts w:ascii="Arial" w:cs="Arial" w:eastAsia="Arial" w:hAnsi="Arial"/>
          <w:sz w:val="16"/>
          <w:szCs w:val="16"/>
          <w:b w:val="1"/>
          <w:bCs w:val="1"/>
          <w:color w:val="auto"/>
        </w:rPr>
      </w:pPr>
    </w:p>
    <w:p>
      <w:pPr>
        <w:ind w:firstLine="1768"/>
        <w:spacing w:after="0" w:line="287" w:lineRule="auto"/>
        <w:tabs>
          <w:tab w:leader="none" w:pos="2170"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49" w:lineRule="exact"/>
        <w:rPr>
          <w:rFonts w:ascii="Arial" w:cs="Arial" w:eastAsia="Arial" w:hAnsi="Arial"/>
          <w:sz w:val="16"/>
          <w:szCs w:val="16"/>
          <w:b w:val="1"/>
          <w:bCs w:val="1"/>
          <w:color w:val="auto"/>
        </w:rPr>
      </w:pPr>
    </w:p>
    <w:p>
      <w:pPr>
        <w:ind w:left="2120" w:hanging="352"/>
        <w:spacing w:after="0"/>
        <w:tabs>
          <w:tab w:leader="none" w:pos="2120"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t>the maturity date or dates on which the principal of the Securities of the series is payable;</w:t>
      </w:r>
    </w:p>
    <w:p>
      <w:pPr>
        <w:spacing w:after="0" w:line="209" w:lineRule="exact"/>
        <w:rPr>
          <w:rFonts w:ascii="Arial" w:cs="Arial" w:eastAsia="Arial" w:hAnsi="Arial"/>
          <w:sz w:val="16"/>
          <w:szCs w:val="16"/>
          <w:b w:val="1"/>
          <w:bCs w:val="1"/>
          <w:color w:val="auto"/>
        </w:rPr>
      </w:pPr>
    </w:p>
    <w:p>
      <w:pPr>
        <w:ind w:left="2120" w:hanging="352"/>
        <w:spacing w:after="0"/>
        <w:tabs>
          <w:tab w:leader="none" w:pos="2120"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t>the form of the Securities of the series including the form of the certificate of authentication for such series;</w:t>
      </w:r>
    </w:p>
    <w:p>
      <w:pPr>
        <w:spacing w:after="0" w:line="209" w:lineRule="exact"/>
        <w:rPr>
          <w:rFonts w:ascii="Arial" w:cs="Arial" w:eastAsia="Arial" w:hAnsi="Arial"/>
          <w:sz w:val="16"/>
          <w:szCs w:val="16"/>
          <w:b w:val="1"/>
          <w:bCs w:val="1"/>
          <w:color w:val="auto"/>
        </w:rPr>
      </w:pPr>
    </w:p>
    <w:p>
      <w:pPr>
        <w:ind w:left="2120" w:hanging="352"/>
        <w:spacing w:after="0"/>
        <w:tabs>
          <w:tab w:leader="none" w:pos="2120"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t>the applicability of any guarantees;</w:t>
      </w:r>
    </w:p>
    <w:p>
      <w:pPr>
        <w:spacing w:after="0" w:line="209" w:lineRule="exact"/>
        <w:rPr>
          <w:rFonts w:ascii="Arial" w:cs="Arial" w:eastAsia="Arial" w:hAnsi="Arial"/>
          <w:sz w:val="16"/>
          <w:szCs w:val="16"/>
          <w:b w:val="1"/>
          <w:bCs w:val="1"/>
          <w:color w:val="auto"/>
        </w:rPr>
      </w:pPr>
    </w:p>
    <w:p>
      <w:pPr>
        <w:ind w:left="2120" w:hanging="352"/>
        <w:spacing w:after="0"/>
        <w:tabs>
          <w:tab w:leader="none" w:pos="2120"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t>whether or not the Securities will be secured or unsecured, and the terms of any secured debt;</w:t>
      </w:r>
    </w:p>
    <w:p>
      <w:pPr>
        <w:spacing w:after="0" w:line="209" w:lineRule="exact"/>
        <w:rPr>
          <w:rFonts w:ascii="Arial" w:cs="Arial" w:eastAsia="Arial" w:hAnsi="Arial"/>
          <w:sz w:val="16"/>
          <w:szCs w:val="16"/>
          <w:b w:val="1"/>
          <w:bCs w:val="1"/>
          <w:color w:val="auto"/>
        </w:rPr>
      </w:pPr>
    </w:p>
    <w:p>
      <w:pPr>
        <w:ind w:left="2180" w:hanging="412"/>
        <w:spacing w:after="0"/>
        <w:tabs>
          <w:tab w:leader="none" w:pos="2180" w:val="left"/>
        </w:tabs>
        <w:numPr>
          <w:ilvl w:val="1"/>
          <w:numId w:val="40"/>
        </w:numPr>
        <w:rPr>
          <w:rFonts w:ascii="Arial" w:cs="Arial" w:eastAsia="Arial" w:hAnsi="Arial"/>
          <w:sz w:val="15"/>
          <w:szCs w:val="15"/>
          <w:b w:val="1"/>
          <w:bCs w:val="1"/>
          <w:color w:val="auto"/>
        </w:rPr>
      </w:pPr>
      <w:r>
        <w:rPr>
          <w:rFonts w:ascii="Arial" w:cs="Arial" w:eastAsia="Arial" w:hAnsi="Arial"/>
          <w:sz w:val="15"/>
          <w:szCs w:val="15"/>
          <w:color w:val="auto"/>
        </w:rPr>
        <w:t>whether the Securities rank as senior debt, senior subordinated debt, subordinated debt or any combination thereof, and the terms of any</w:t>
      </w:r>
    </w:p>
    <w:p>
      <w:pPr>
        <w:spacing w:after="0" w:line="3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6"/>
          <w:szCs w:val="16"/>
          <w:color w:val="auto"/>
        </w:rPr>
        <w:t>subordination;</w:t>
      </w:r>
    </w:p>
    <w:p>
      <w:pPr>
        <w:spacing w:after="0" w:line="198" w:lineRule="exact"/>
        <w:rPr>
          <w:rFonts w:ascii="Arial" w:cs="Arial" w:eastAsia="Arial" w:hAnsi="Arial"/>
          <w:sz w:val="15"/>
          <w:szCs w:val="15"/>
          <w:b w:val="1"/>
          <w:bCs w:val="1"/>
          <w:color w:val="auto"/>
        </w:rPr>
      </w:pPr>
    </w:p>
    <w:p>
      <w:pPr>
        <w:jc w:val="both"/>
        <w:ind w:firstLine="1768"/>
        <w:spacing w:after="0" w:line="298" w:lineRule="auto"/>
        <w:tabs>
          <w:tab w:leader="none" w:pos="2139" w:val="left"/>
        </w:tabs>
        <w:numPr>
          <w:ilvl w:val="1"/>
          <w:numId w:val="40"/>
        </w:numPr>
        <w:rPr>
          <w:rFonts w:ascii="Arial" w:cs="Arial" w:eastAsia="Arial" w:hAnsi="Arial"/>
          <w:sz w:val="15"/>
          <w:szCs w:val="15"/>
          <w:b w:val="1"/>
          <w:bCs w:val="1"/>
          <w:color w:val="auto"/>
        </w:rPr>
      </w:pPr>
      <w:r>
        <w:rPr>
          <w:rFonts w:ascii="Arial" w:cs="Arial" w:eastAsia="Arial" w:hAnsi="Arial"/>
          <w:sz w:val="15"/>
          <w:szCs w:val="15"/>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44" w:lineRule="exact"/>
        <w:rPr>
          <w:rFonts w:ascii="Arial" w:cs="Arial" w:eastAsia="Arial" w:hAnsi="Arial"/>
          <w:sz w:val="15"/>
          <w:szCs w:val="15"/>
          <w:b w:val="1"/>
          <w:bCs w:val="1"/>
          <w:color w:val="auto"/>
        </w:rPr>
      </w:pPr>
    </w:p>
    <w:p>
      <w:pPr>
        <w:ind w:firstLine="1768"/>
        <w:spacing w:after="0" w:line="287" w:lineRule="auto"/>
        <w:tabs>
          <w:tab w:leader="none" w:pos="2135"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49" w:lineRule="exact"/>
        <w:rPr>
          <w:rFonts w:ascii="Arial" w:cs="Arial" w:eastAsia="Arial" w:hAnsi="Arial"/>
          <w:sz w:val="16"/>
          <w:szCs w:val="16"/>
          <w:b w:val="1"/>
          <w:bCs w:val="1"/>
          <w:color w:val="auto"/>
        </w:rPr>
      </w:pPr>
    </w:p>
    <w:p>
      <w:pPr>
        <w:ind w:left="2200" w:hanging="432"/>
        <w:spacing w:after="0"/>
        <w:tabs>
          <w:tab w:leader="none" w:pos="2200"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t>the Company’s right, if any, to defer the payment of interest and the maximum length of any such deferral period;</w:t>
      </w:r>
    </w:p>
    <w:p>
      <w:pPr>
        <w:spacing w:after="0" w:line="209" w:lineRule="exact"/>
        <w:rPr>
          <w:rFonts w:ascii="Arial" w:cs="Arial" w:eastAsia="Arial" w:hAnsi="Arial"/>
          <w:sz w:val="16"/>
          <w:szCs w:val="16"/>
          <w:b w:val="1"/>
          <w:bCs w:val="1"/>
          <w:color w:val="auto"/>
        </w:rPr>
      </w:pPr>
    </w:p>
    <w:p>
      <w:pPr>
        <w:ind w:firstLine="1768"/>
        <w:spacing w:after="0" w:line="287" w:lineRule="auto"/>
        <w:tabs>
          <w:tab w:leader="none" w:pos="2221"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spacing w:after="0" w:line="149" w:lineRule="exact"/>
        <w:rPr>
          <w:rFonts w:ascii="Arial" w:cs="Arial" w:eastAsia="Arial" w:hAnsi="Arial"/>
          <w:sz w:val="16"/>
          <w:szCs w:val="16"/>
          <w:b w:val="1"/>
          <w:bCs w:val="1"/>
          <w:color w:val="auto"/>
        </w:rPr>
      </w:pPr>
    </w:p>
    <w:p>
      <w:pPr>
        <w:jc w:val="both"/>
        <w:ind w:firstLine="1768"/>
        <w:spacing w:after="0" w:line="272" w:lineRule="auto"/>
        <w:tabs>
          <w:tab w:leader="none" w:pos="2246" w:val="left"/>
        </w:tabs>
        <w:numPr>
          <w:ilvl w:val="1"/>
          <w:numId w:val="40"/>
        </w:numPr>
        <w:rPr>
          <w:rFonts w:ascii="Arial" w:cs="Arial" w:eastAsia="Arial" w:hAnsi="Arial"/>
          <w:sz w:val="16"/>
          <w:szCs w:val="16"/>
          <w:b w:val="1"/>
          <w:bCs w:val="1"/>
          <w:color w:val="auto"/>
        </w:rPr>
      </w:pPr>
      <w:r>
        <w:rPr>
          <w:rFonts w:ascii="Arial" w:cs="Arial" w:eastAsia="Arial" w:hAnsi="Arial"/>
          <w:sz w:val="16"/>
          <w:szCs w:val="16"/>
          <w:color w:val="auto"/>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spacing w:after="0" w:line="161" w:lineRule="exact"/>
        <w:rPr>
          <w:rFonts w:ascii="Arial" w:cs="Arial" w:eastAsia="Arial" w:hAnsi="Arial"/>
          <w:sz w:val="16"/>
          <w:szCs w:val="16"/>
          <w:b w:val="1"/>
          <w:bCs w:val="1"/>
          <w:color w:val="auto"/>
        </w:rPr>
      </w:pPr>
    </w:p>
    <w:p>
      <w:pPr>
        <w:ind w:left="2220" w:hanging="452"/>
        <w:spacing w:after="0"/>
        <w:tabs>
          <w:tab w:leader="none" w:pos="2220" w:val="left"/>
        </w:tabs>
        <w:numPr>
          <w:ilvl w:val="1"/>
          <w:numId w:val="40"/>
        </w:numPr>
        <w:rPr>
          <w:rFonts w:ascii="Arial" w:cs="Arial" w:eastAsia="Arial" w:hAnsi="Arial"/>
          <w:sz w:val="15"/>
          <w:szCs w:val="15"/>
          <w:b w:val="1"/>
          <w:bCs w:val="1"/>
          <w:color w:val="auto"/>
        </w:rPr>
      </w:pPr>
      <w:r>
        <w:rPr>
          <w:rFonts w:ascii="Arial" w:cs="Arial" w:eastAsia="Arial" w:hAnsi="Arial"/>
          <w:sz w:val="15"/>
          <w:szCs w:val="15"/>
          <w:color w:val="auto"/>
        </w:rPr>
        <w:t>the denominations in which the Securities of the series shall be issuable, if other than denominations of one thousand U.S. dollars ($1,000)</w:t>
      </w:r>
    </w:p>
    <w:p>
      <w:pPr>
        <w:spacing w:after="0" w:line="3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6"/>
          <w:szCs w:val="16"/>
          <w:color w:val="auto"/>
        </w:rPr>
        <w:t>or any integral multiple thereof;</w:t>
      </w:r>
    </w:p>
    <w:p>
      <w:pPr>
        <w:spacing w:after="0" w:line="198" w:lineRule="exact"/>
        <w:rPr>
          <w:rFonts w:ascii="Arial" w:cs="Arial" w:eastAsia="Arial" w:hAnsi="Arial"/>
          <w:sz w:val="15"/>
          <w:szCs w:val="15"/>
          <w:b w:val="1"/>
          <w:bCs w:val="1"/>
          <w:color w:val="auto"/>
        </w:rPr>
      </w:pPr>
    </w:p>
    <w:p>
      <w:pPr>
        <w:ind w:firstLine="1768"/>
        <w:spacing w:after="0" w:line="323" w:lineRule="auto"/>
        <w:tabs>
          <w:tab w:leader="none" w:pos="2224" w:val="left"/>
        </w:tabs>
        <w:numPr>
          <w:ilvl w:val="1"/>
          <w:numId w:val="40"/>
        </w:numPr>
        <w:rPr>
          <w:rFonts w:ascii="Arial" w:cs="Arial" w:eastAsia="Arial" w:hAnsi="Arial"/>
          <w:sz w:val="15"/>
          <w:szCs w:val="15"/>
          <w:b w:val="1"/>
          <w:bCs w:val="1"/>
          <w:color w:val="auto"/>
        </w:rPr>
      </w:pPr>
      <w:r>
        <w:rPr>
          <w:rFonts w:ascii="Arial" w:cs="Arial" w:eastAsia="Arial" w:hAnsi="Arial"/>
          <w:sz w:val="15"/>
          <w:szCs w:val="15"/>
          <w:color w:val="auto"/>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78" w:right="239" w:bottom="1440" w:gutter="0" w:footer="0" w:header="0"/>
        </w:sectPr>
      </w:pPr>
    </w:p>
    <w:bookmarkStart w:id="40" w:name="page41"/>
    <w:bookmarkEnd w:id="40"/>
    <w:p>
      <w:pPr>
        <w:jc w:val="both"/>
        <w:ind w:firstLine="1768"/>
        <w:spacing w:after="0" w:line="272" w:lineRule="auto"/>
        <w:tabs>
          <w:tab w:leader="none" w:pos="2305"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61" w:lineRule="exact"/>
        <w:rPr>
          <w:rFonts w:ascii="Arial" w:cs="Arial" w:eastAsia="Arial" w:hAnsi="Arial"/>
          <w:sz w:val="16"/>
          <w:szCs w:val="16"/>
          <w:b w:val="1"/>
          <w:bCs w:val="1"/>
          <w:color w:val="auto"/>
        </w:rPr>
      </w:pPr>
    </w:p>
    <w:p>
      <w:pPr>
        <w:jc w:val="both"/>
        <w:ind w:firstLine="1768"/>
        <w:spacing w:after="0" w:line="290" w:lineRule="auto"/>
        <w:tabs>
          <w:tab w:leader="none" w:pos="2212" w:val="left"/>
        </w:tabs>
        <w:numPr>
          <w:ilvl w:val="0"/>
          <w:numId w:val="41"/>
        </w:numPr>
        <w:rPr>
          <w:rFonts w:ascii="Arial" w:cs="Arial" w:eastAsia="Arial" w:hAnsi="Arial"/>
          <w:sz w:val="15"/>
          <w:szCs w:val="15"/>
          <w:b w:val="1"/>
          <w:bCs w:val="1"/>
          <w:color w:val="auto"/>
        </w:rPr>
      </w:pPr>
      <w:r>
        <w:rPr>
          <w:rFonts w:ascii="Arial" w:cs="Arial" w:eastAsia="Arial" w:hAnsi="Arial"/>
          <w:sz w:val="15"/>
          <w:szCs w:val="15"/>
          <w:color w:val="auto"/>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49" w:lineRule="exact"/>
        <w:rPr>
          <w:rFonts w:ascii="Arial" w:cs="Arial" w:eastAsia="Arial" w:hAnsi="Arial"/>
          <w:sz w:val="15"/>
          <w:szCs w:val="15"/>
          <w:b w:val="1"/>
          <w:bCs w:val="1"/>
          <w:color w:val="auto"/>
        </w:rPr>
      </w:pPr>
    </w:p>
    <w:p>
      <w:pPr>
        <w:ind w:firstLine="1768"/>
        <w:spacing w:after="0" w:line="287" w:lineRule="auto"/>
        <w:tabs>
          <w:tab w:leader="none" w:pos="2247"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if other than the full principal amount thereof, the portion of the principal amount of Securities of the series which shall be payable upon declaration of acceleration of the maturity thereof pursuant to Section 6.01;</w:t>
      </w:r>
    </w:p>
    <w:p>
      <w:pPr>
        <w:spacing w:after="0" w:line="149" w:lineRule="exact"/>
        <w:rPr>
          <w:rFonts w:ascii="Arial" w:cs="Arial" w:eastAsia="Arial" w:hAnsi="Arial"/>
          <w:sz w:val="16"/>
          <w:szCs w:val="16"/>
          <w:b w:val="1"/>
          <w:bCs w:val="1"/>
          <w:color w:val="auto"/>
        </w:rPr>
      </w:pPr>
    </w:p>
    <w:p>
      <w:pPr>
        <w:ind w:left="2280" w:hanging="512"/>
        <w:spacing w:after="0"/>
        <w:tabs>
          <w:tab w:leader="none" w:pos="2280" w:val="left"/>
        </w:tabs>
        <w:numPr>
          <w:ilvl w:val="0"/>
          <w:numId w:val="41"/>
        </w:numPr>
        <w:rPr>
          <w:rFonts w:ascii="Arial" w:cs="Arial" w:eastAsia="Arial" w:hAnsi="Arial"/>
          <w:sz w:val="15"/>
          <w:szCs w:val="15"/>
          <w:b w:val="1"/>
          <w:bCs w:val="1"/>
          <w:color w:val="auto"/>
        </w:rPr>
      </w:pPr>
      <w:r>
        <w:rPr>
          <w:rFonts w:ascii="Arial" w:cs="Arial" w:eastAsia="Arial" w:hAnsi="Arial"/>
          <w:sz w:val="15"/>
          <w:szCs w:val="15"/>
          <w:color w:val="auto"/>
        </w:rPr>
        <w:t>additions to or changes in the covenants applicable to the series of Securities being issued, including, among others, the consolidation,</w:t>
      </w:r>
    </w:p>
    <w:p>
      <w:pPr>
        <w:spacing w:after="0" w:line="3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6"/>
          <w:szCs w:val="16"/>
          <w:color w:val="auto"/>
        </w:rPr>
        <w:t>merger or sale covenant;</w:t>
      </w:r>
    </w:p>
    <w:p>
      <w:pPr>
        <w:spacing w:after="0" w:line="198" w:lineRule="exact"/>
        <w:rPr>
          <w:rFonts w:ascii="Arial" w:cs="Arial" w:eastAsia="Arial" w:hAnsi="Arial"/>
          <w:sz w:val="15"/>
          <w:szCs w:val="15"/>
          <w:b w:val="1"/>
          <w:bCs w:val="1"/>
          <w:color w:val="auto"/>
        </w:rPr>
      </w:pPr>
    </w:p>
    <w:p>
      <w:pPr>
        <w:ind w:firstLine="1768"/>
        <w:spacing w:after="0" w:line="287" w:lineRule="auto"/>
        <w:tabs>
          <w:tab w:leader="none" w:pos="2347"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spacing w:after="0" w:line="149" w:lineRule="exact"/>
        <w:rPr>
          <w:rFonts w:ascii="Arial" w:cs="Arial" w:eastAsia="Arial" w:hAnsi="Arial"/>
          <w:sz w:val="16"/>
          <w:szCs w:val="16"/>
          <w:b w:val="1"/>
          <w:bCs w:val="1"/>
          <w:color w:val="auto"/>
        </w:rPr>
      </w:pPr>
    </w:p>
    <w:p>
      <w:pPr>
        <w:ind w:left="2200" w:hanging="432"/>
        <w:spacing w:after="0"/>
        <w:tabs>
          <w:tab w:leader="none" w:pos="220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additions to or changes in or deletions of the provisions relating to covenant defeasance and legal defeasance;</w:t>
      </w:r>
    </w:p>
    <w:p>
      <w:pPr>
        <w:spacing w:after="0" w:line="209" w:lineRule="exact"/>
        <w:rPr>
          <w:rFonts w:ascii="Arial" w:cs="Arial" w:eastAsia="Arial" w:hAnsi="Arial"/>
          <w:sz w:val="16"/>
          <w:szCs w:val="16"/>
          <w:b w:val="1"/>
          <w:bCs w:val="1"/>
          <w:color w:val="auto"/>
        </w:rPr>
      </w:pPr>
    </w:p>
    <w:p>
      <w:pPr>
        <w:ind w:left="2200" w:hanging="432"/>
        <w:spacing w:after="0"/>
        <w:tabs>
          <w:tab w:leader="none" w:pos="220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additions to or changes in the provisions relating to satisfaction and discharge of this Indenture;</w:t>
      </w:r>
    </w:p>
    <w:p>
      <w:pPr>
        <w:spacing w:after="0" w:line="209" w:lineRule="exact"/>
        <w:rPr>
          <w:rFonts w:ascii="Arial" w:cs="Arial" w:eastAsia="Arial" w:hAnsi="Arial"/>
          <w:sz w:val="16"/>
          <w:szCs w:val="16"/>
          <w:b w:val="1"/>
          <w:bCs w:val="1"/>
          <w:color w:val="auto"/>
        </w:rPr>
      </w:pPr>
    </w:p>
    <w:p>
      <w:pPr>
        <w:ind w:firstLine="1768"/>
        <w:spacing w:after="0" w:line="287" w:lineRule="auto"/>
        <w:tabs>
          <w:tab w:leader="none" w:pos="2224"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additions to or changes in the provisions relating to the modification of this Indenture both with and without the consent of Securityholders of Securities issued under this Indenture;</w:t>
      </w:r>
    </w:p>
    <w:p>
      <w:pPr>
        <w:spacing w:after="0" w:line="149" w:lineRule="exact"/>
        <w:rPr>
          <w:rFonts w:ascii="Arial" w:cs="Arial" w:eastAsia="Arial" w:hAnsi="Arial"/>
          <w:sz w:val="16"/>
          <w:szCs w:val="16"/>
          <w:b w:val="1"/>
          <w:bCs w:val="1"/>
          <w:color w:val="auto"/>
        </w:rPr>
      </w:pPr>
    </w:p>
    <w:p>
      <w:pPr>
        <w:ind w:left="2200" w:hanging="432"/>
        <w:spacing w:after="0"/>
        <w:tabs>
          <w:tab w:leader="none" w:pos="2200" w:val="left"/>
        </w:tabs>
        <w:numPr>
          <w:ilvl w:val="0"/>
          <w:numId w:val="41"/>
        </w:numPr>
        <w:rPr>
          <w:rFonts w:ascii="Arial" w:cs="Arial" w:eastAsia="Arial" w:hAnsi="Arial"/>
          <w:sz w:val="15"/>
          <w:szCs w:val="15"/>
          <w:b w:val="1"/>
          <w:bCs w:val="1"/>
          <w:color w:val="auto"/>
        </w:rPr>
      </w:pPr>
      <w:r>
        <w:rPr>
          <w:rFonts w:ascii="Arial" w:cs="Arial" w:eastAsia="Arial" w:hAnsi="Arial"/>
          <w:sz w:val="15"/>
          <w:szCs w:val="15"/>
          <w:color w:val="auto"/>
        </w:rPr>
        <w:t>the currency of payment of Securities if other than U.S. dollars and the manner of determining the equivalent amount in U.S. dollars;</w:t>
      </w:r>
    </w:p>
    <w:p>
      <w:pPr>
        <w:spacing w:after="0" w:line="220" w:lineRule="exact"/>
        <w:rPr>
          <w:rFonts w:ascii="Arial" w:cs="Arial" w:eastAsia="Arial" w:hAnsi="Arial"/>
          <w:sz w:val="15"/>
          <w:szCs w:val="15"/>
          <w:b w:val="1"/>
          <w:bCs w:val="1"/>
          <w:color w:val="auto"/>
        </w:rPr>
      </w:pPr>
    </w:p>
    <w:p>
      <w:pPr>
        <w:ind w:firstLine="1768"/>
        <w:spacing w:after="0" w:line="287" w:lineRule="auto"/>
        <w:tabs>
          <w:tab w:leader="none" w:pos="2319"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whether interest will be payable in cash or additional Securities at the Company’s or the Securityholders’ option and the terms and conditions upon which the election may be made;</w:t>
      </w:r>
    </w:p>
    <w:p>
      <w:pPr>
        <w:spacing w:after="0" w:line="149" w:lineRule="exact"/>
        <w:rPr>
          <w:rFonts w:ascii="Arial" w:cs="Arial" w:eastAsia="Arial" w:hAnsi="Arial"/>
          <w:sz w:val="16"/>
          <w:szCs w:val="16"/>
          <w:b w:val="1"/>
          <w:bCs w:val="1"/>
          <w:color w:val="auto"/>
        </w:rPr>
      </w:pPr>
    </w:p>
    <w:p>
      <w:pPr>
        <w:ind w:firstLine="1768"/>
        <w:spacing w:after="0" w:line="287" w:lineRule="auto"/>
        <w:tabs>
          <w:tab w:leader="none" w:pos="2212"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49" w:lineRule="exact"/>
        <w:rPr>
          <w:rFonts w:ascii="Arial" w:cs="Arial" w:eastAsia="Arial" w:hAnsi="Arial"/>
          <w:sz w:val="16"/>
          <w:szCs w:val="16"/>
          <w:b w:val="1"/>
          <w:bCs w:val="1"/>
          <w:color w:val="auto"/>
        </w:rPr>
      </w:pPr>
    </w:p>
    <w:p>
      <w:pPr>
        <w:ind w:left="2200" w:hanging="432"/>
        <w:spacing w:after="0"/>
        <w:tabs>
          <w:tab w:leader="none" w:pos="220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any restrictions on transfer, sale or assignment of the Securities of the series; and</w:t>
      </w:r>
    </w:p>
    <w:p>
      <w:pPr>
        <w:spacing w:after="0" w:line="209" w:lineRule="exact"/>
        <w:rPr>
          <w:rFonts w:ascii="Arial" w:cs="Arial" w:eastAsia="Arial" w:hAnsi="Arial"/>
          <w:sz w:val="16"/>
          <w:szCs w:val="16"/>
          <w:b w:val="1"/>
          <w:bCs w:val="1"/>
          <w:color w:val="auto"/>
        </w:rPr>
      </w:pPr>
    </w:p>
    <w:p>
      <w:pPr>
        <w:ind w:firstLine="1768"/>
        <w:spacing w:after="0" w:line="287" w:lineRule="auto"/>
        <w:tabs>
          <w:tab w:leader="none" w:pos="2307"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any other specific terms, preferences, rights or limitations of, or restrictions on, the Securities, any other additions or changes in the provisions of this Indenture, and any terms that may be required by us or advisable under applicable laws or regulations.</w:t>
      </w:r>
    </w:p>
    <w:p>
      <w:pPr>
        <w:spacing w:after="0" w:line="150"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All Securities of any one series shall be substantially identical except as may otherwise be provided in or pursuant to any such Board Resolution or in any indentures supplemental hereto.</w:t>
      </w:r>
    </w:p>
    <w:p>
      <w:pPr>
        <w:spacing w:after="0" w:line="150"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61"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82" w:right="239" w:bottom="1440" w:gutter="0" w:footer="0" w:header="0"/>
        </w:sectPr>
      </w:pPr>
    </w:p>
    <w:bookmarkStart w:id="41" w:name="page42"/>
    <w:bookmarkEnd w:id="41"/>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2.02</w:t>
      </w:r>
      <w:r>
        <w:rPr>
          <w:sz w:val="20"/>
          <w:szCs w:val="20"/>
          <w:color w:val="auto"/>
        </w:rPr>
        <w:tab/>
      </w:r>
      <w:r>
        <w:rPr>
          <w:rFonts w:ascii="Arial" w:cs="Arial" w:eastAsia="Arial" w:hAnsi="Arial"/>
          <w:sz w:val="14"/>
          <w:szCs w:val="14"/>
          <w:b w:val="1"/>
          <w:bCs w:val="1"/>
          <w:color w:val="0000FF"/>
        </w:rPr>
        <w:t>Form of Securities and Trustee’s Certificate</w:t>
      </w:r>
    </w:p>
    <w:p>
      <w:pPr>
        <w:spacing w:after="0" w:line="213" w:lineRule="exact"/>
        <w:rPr>
          <w:sz w:val="20"/>
          <w:szCs w:val="20"/>
          <w:color w:val="auto"/>
        </w:rPr>
      </w:pPr>
    </w:p>
    <w:p>
      <w:pPr>
        <w:jc w:val="both"/>
        <w:ind w:firstLine="590"/>
        <w:spacing w:after="0" w:line="286" w:lineRule="auto"/>
        <w:rPr>
          <w:sz w:val="20"/>
          <w:szCs w:val="20"/>
          <w:color w:val="auto"/>
        </w:rPr>
      </w:pPr>
      <w:r>
        <w:rPr>
          <w:rFonts w:ascii="Arial" w:cs="Arial" w:eastAsia="Arial" w:hAnsi="Arial"/>
          <w:sz w:val="15"/>
          <w:szCs w:val="15"/>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48"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2.03</w:t>
      </w:r>
      <w:r>
        <w:rPr>
          <w:sz w:val="20"/>
          <w:szCs w:val="20"/>
          <w:color w:val="auto"/>
        </w:rPr>
        <w:tab/>
      </w:r>
      <w:r>
        <w:rPr>
          <w:rFonts w:ascii="Arial" w:cs="Arial" w:eastAsia="Arial" w:hAnsi="Arial"/>
          <w:sz w:val="14"/>
          <w:szCs w:val="14"/>
          <w:b w:val="1"/>
          <w:bCs w:val="1"/>
          <w:color w:val="0000FF"/>
        </w:rPr>
        <w:t>Denominations: Provisions for Payment</w:t>
      </w:r>
    </w:p>
    <w:p>
      <w:pPr>
        <w:spacing w:after="0" w:line="21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6"/>
          <w:szCs w:val="16"/>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 (23),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72"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6"/>
          <w:szCs w:val="16"/>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68"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1" w:lineRule="exact"/>
        <w:rPr>
          <w:sz w:val="20"/>
          <w:szCs w:val="20"/>
          <w:color w:val="auto"/>
        </w:rPr>
      </w:pPr>
    </w:p>
    <w:p>
      <w:pPr>
        <w:jc w:val="both"/>
        <w:ind w:firstLine="1768"/>
        <w:spacing w:after="0" w:line="259" w:lineRule="auto"/>
        <w:tabs>
          <w:tab w:leader="none" w:pos="2141"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74" w:lineRule="exact"/>
        <w:rPr>
          <w:rFonts w:ascii="Arial" w:cs="Arial" w:eastAsia="Arial" w:hAnsi="Arial"/>
          <w:sz w:val="16"/>
          <w:szCs w:val="16"/>
          <w:b w:val="1"/>
          <w:bCs w:val="1"/>
          <w:color w:val="auto"/>
        </w:rPr>
      </w:pPr>
    </w:p>
    <w:p>
      <w:pPr>
        <w:jc w:val="both"/>
        <w:ind w:firstLine="1768"/>
        <w:spacing w:after="0" w:line="272" w:lineRule="auto"/>
        <w:tabs>
          <w:tab w:leader="none" w:pos="2245"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1" w:lineRule="exact"/>
        <w:rPr>
          <w:sz w:val="20"/>
          <w:szCs w:val="20"/>
          <w:color w:val="auto"/>
        </w:rPr>
      </w:pPr>
    </w:p>
    <w:p>
      <w:pPr>
        <w:jc w:val="both"/>
        <w:ind w:firstLine="590"/>
        <w:spacing w:after="0" w:line="286" w:lineRule="auto"/>
        <w:rPr>
          <w:sz w:val="20"/>
          <w:szCs w:val="20"/>
          <w:color w:val="auto"/>
        </w:rPr>
      </w:pPr>
      <w:r>
        <w:rPr>
          <w:rFonts w:ascii="Arial" w:cs="Arial" w:eastAsia="Arial" w:hAnsi="Arial"/>
          <w:sz w:val="15"/>
          <w:szCs w:val="15"/>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78" w:right="239" w:bottom="1440" w:gutter="0" w:footer="0" w:header="0"/>
        </w:sectPr>
      </w:pPr>
    </w:p>
    <w:bookmarkStart w:id="42" w:name="page43"/>
    <w:bookmarkEnd w:id="42"/>
    <w:p>
      <w:pPr>
        <w:jc w:val="both"/>
        <w:ind w:firstLine="590"/>
        <w:spacing w:after="0" w:line="287"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2.04</w:t>
      </w:r>
      <w:r>
        <w:rPr>
          <w:sz w:val="20"/>
          <w:szCs w:val="20"/>
          <w:color w:val="auto"/>
        </w:rPr>
        <w:tab/>
      </w:r>
      <w:r>
        <w:rPr>
          <w:rFonts w:ascii="Arial" w:cs="Arial" w:eastAsia="Arial" w:hAnsi="Arial"/>
          <w:sz w:val="14"/>
          <w:szCs w:val="14"/>
          <w:b w:val="1"/>
          <w:bCs w:val="1"/>
          <w:color w:val="0000FF"/>
        </w:rPr>
        <w:t>Execution and Authentications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09" w:lineRule="exact"/>
        <w:rPr>
          <w:sz w:val="20"/>
          <w:szCs w:val="20"/>
          <w:color w:val="auto"/>
        </w:rPr>
      </w:pPr>
    </w:p>
    <w:p>
      <w:pPr>
        <w:jc w:val="both"/>
        <w:ind w:firstLine="590"/>
        <w:spacing w:after="0" w:line="298" w:lineRule="auto"/>
        <w:rPr>
          <w:sz w:val="20"/>
          <w:szCs w:val="20"/>
          <w:color w:val="auto"/>
        </w:rPr>
      </w:pPr>
      <w:r>
        <w:rPr>
          <w:rFonts w:ascii="Arial" w:cs="Arial" w:eastAsia="Arial" w:hAnsi="Arial"/>
          <w:sz w:val="15"/>
          <w:szCs w:val="15"/>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44"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68"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6"/>
          <w:szCs w:val="16"/>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68"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4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2.05</w:t>
      </w:r>
      <w:r>
        <w:rPr>
          <w:sz w:val="20"/>
          <w:szCs w:val="20"/>
          <w:color w:val="auto"/>
        </w:rPr>
        <w:tab/>
      </w:r>
      <w:r>
        <w:rPr>
          <w:rFonts w:ascii="Arial" w:cs="Arial" w:eastAsia="Arial" w:hAnsi="Arial"/>
          <w:sz w:val="14"/>
          <w:szCs w:val="14"/>
          <w:b w:val="1"/>
          <w:bCs w:val="1"/>
          <w:color w:val="0000FF"/>
        </w:rPr>
        <w:t>Registration of Transfer and Exchange</w:t>
      </w:r>
    </w:p>
    <w:p>
      <w:pPr>
        <w:spacing w:after="0" w:line="213" w:lineRule="exact"/>
        <w:rPr>
          <w:sz w:val="20"/>
          <w:szCs w:val="20"/>
          <w:color w:val="auto"/>
        </w:rPr>
      </w:pPr>
    </w:p>
    <w:p>
      <w:pPr>
        <w:jc w:val="both"/>
        <w:ind w:firstLine="1178"/>
        <w:spacing w:after="0" w:line="264" w:lineRule="auto"/>
        <w:tabs>
          <w:tab w:leader="none" w:pos="1577"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8" w:lineRule="exact"/>
        <w:rPr>
          <w:rFonts w:ascii="Arial" w:cs="Arial" w:eastAsia="Arial" w:hAnsi="Arial"/>
          <w:sz w:val="16"/>
          <w:szCs w:val="16"/>
          <w:b w:val="1"/>
          <w:bCs w:val="1"/>
          <w:color w:val="auto"/>
        </w:rPr>
      </w:pPr>
    </w:p>
    <w:p>
      <w:pPr>
        <w:jc w:val="both"/>
        <w:ind w:firstLine="1178"/>
        <w:spacing w:after="0" w:line="290" w:lineRule="auto"/>
        <w:tabs>
          <w:tab w:leader="none" w:pos="1608" w:val="left"/>
        </w:tabs>
        <w:numPr>
          <w:ilvl w:val="0"/>
          <w:numId w:val="43"/>
        </w:numPr>
        <w:rPr>
          <w:rFonts w:ascii="Arial" w:cs="Arial" w:eastAsia="Arial" w:hAnsi="Arial"/>
          <w:sz w:val="15"/>
          <w:szCs w:val="15"/>
          <w:b w:val="1"/>
          <w:bCs w:val="1"/>
          <w:color w:val="auto"/>
        </w:rPr>
      </w:pPr>
      <w:r>
        <w:rPr>
          <w:rFonts w:ascii="Arial" w:cs="Arial" w:eastAsia="Arial" w:hAnsi="Arial"/>
          <w:sz w:val="15"/>
          <w:szCs w:val="15"/>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50"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initially appoints the Trustee as initial Security Registrar for each series of Securities</w:t>
      </w:r>
    </w:p>
    <w:p>
      <w:pPr>
        <w:spacing w:after="0" w:line="209"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82" w:right="239" w:bottom="1440" w:gutter="0" w:footer="0" w:header="0"/>
        </w:sectPr>
      </w:pPr>
    </w:p>
    <w:bookmarkStart w:id="43" w:name="page44"/>
    <w:bookmarkEnd w:id="43"/>
    <w:p>
      <w:pPr>
        <w:jc w:val="both"/>
        <w:ind w:firstLine="1178"/>
        <w:spacing w:after="0" w:line="264" w:lineRule="auto"/>
        <w:tabs>
          <w:tab w:leader="none" w:pos="1571"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68" w:lineRule="exact"/>
        <w:rPr>
          <w:rFonts w:ascii="Arial" w:cs="Arial" w:eastAsia="Arial" w:hAnsi="Arial"/>
          <w:sz w:val="16"/>
          <w:szCs w:val="16"/>
          <w:b w:val="1"/>
          <w:bCs w:val="1"/>
          <w:color w:val="auto"/>
        </w:rPr>
      </w:pPr>
    </w:p>
    <w:p>
      <w:pPr>
        <w:jc w:val="both"/>
        <w:ind w:firstLine="1178"/>
        <w:spacing w:after="0" w:line="286" w:lineRule="auto"/>
        <w:tabs>
          <w:tab w:leader="none" w:pos="1543" w:val="left"/>
        </w:tabs>
        <w:numPr>
          <w:ilvl w:val="0"/>
          <w:numId w:val="44"/>
        </w:numPr>
        <w:rPr>
          <w:rFonts w:ascii="Arial" w:cs="Arial" w:eastAsia="Arial" w:hAnsi="Arial"/>
          <w:sz w:val="15"/>
          <w:szCs w:val="15"/>
          <w:b w:val="1"/>
          <w:bCs w:val="1"/>
          <w:color w:val="auto"/>
        </w:rPr>
      </w:pPr>
      <w:r>
        <w:rPr>
          <w:rFonts w:ascii="Arial" w:cs="Arial" w:eastAsia="Arial" w:hAnsi="Arial"/>
          <w:sz w:val="15"/>
          <w:szCs w:val="15"/>
          <w:color w:val="auto"/>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52" w:lineRule="exact"/>
        <w:rPr>
          <w:sz w:val="20"/>
          <w:szCs w:val="20"/>
          <w:color w:val="auto"/>
        </w:rPr>
      </w:pPr>
    </w:p>
    <w:p>
      <w:pPr>
        <w:jc w:val="both"/>
        <w:ind w:firstLine="590"/>
        <w:spacing w:after="0" w:line="290" w:lineRule="auto"/>
        <w:rPr>
          <w:sz w:val="20"/>
          <w:szCs w:val="20"/>
          <w:color w:val="auto"/>
        </w:rPr>
      </w:pPr>
      <w:r>
        <w:rPr>
          <w:rFonts w:ascii="Arial" w:cs="Arial" w:eastAsia="Arial" w:hAnsi="Arial"/>
          <w:sz w:val="15"/>
          <w:szCs w:val="15"/>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2.06</w:t>
      </w:r>
      <w:r>
        <w:rPr>
          <w:sz w:val="20"/>
          <w:szCs w:val="20"/>
          <w:color w:val="auto"/>
        </w:rPr>
        <w:tab/>
      </w:r>
      <w:r>
        <w:rPr>
          <w:rFonts w:ascii="Arial" w:cs="Arial" w:eastAsia="Arial" w:hAnsi="Arial"/>
          <w:sz w:val="14"/>
          <w:szCs w:val="14"/>
          <w:b w:val="1"/>
          <w:bCs w:val="1"/>
          <w:color w:val="0000FF"/>
        </w:rPr>
        <w:t>Temporary Securities</w:t>
      </w:r>
    </w:p>
    <w:p>
      <w:pPr>
        <w:spacing w:after="0" w:line="213" w:lineRule="exact"/>
        <w:rPr>
          <w:sz w:val="20"/>
          <w:szCs w:val="20"/>
          <w:color w:val="auto"/>
        </w:rPr>
      </w:pPr>
    </w:p>
    <w:p>
      <w:pPr>
        <w:jc w:val="both"/>
        <w:ind w:firstLine="590"/>
        <w:spacing w:after="0" w:line="279" w:lineRule="auto"/>
        <w:rPr>
          <w:sz w:val="20"/>
          <w:szCs w:val="20"/>
          <w:color w:val="auto"/>
        </w:rPr>
      </w:pPr>
      <w:r>
        <w:rPr>
          <w:rFonts w:ascii="Arial" w:cs="Arial" w:eastAsia="Arial" w:hAnsi="Arial"/>
          <w:sz w:val="15"/>
          <w:szCs w:val="15"/>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5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2.07</w:t>
      </w:r>
      <w:r>
        <w:rPr>
          <w:sz w:val="20"/>
          <w:szCs w:val="20"/>
          <w:color w:val="auto"/>
        </w:rPr>
        <w:tab/>
      </w:r>
      <w:r>
        <w:rPr>
          <w:rFonts w:ascii="Arial" w:cs="Arial" w:eastAsia="Arial" w:hAnsi="Arial"/>
          <w:sz w:val="14"/>
          <w:szCs w:val="14"/>
          <w:b w:val="1"/>
          <w:bCs w:val="1"/>
          <w:color w:val="0000FF"/>
        </w:rPr>
        <w:t>Mutilated, Destroyed, Lost or Stolen Securities</w:t>
      </w:r>
    </w:p>
    <w:p>
      <w:pPr>
        <w:spacing w:after="0" w:line="213" w:lineRule="exact"/>
        <w:rPr>
          <w:sz w:val="20"/>
          <w:szCs w:val="20"/>
          <w:color w:val="auto"/>
        </w:rPr>
      </w:pPr>
    </w:p>
    <w:p>
      <w:pPr>
        <w:jc w:val="both"/>
        <w:ind w:firstLine="590"/>
        <w:spacing w:after="0" w:line="303" w:lineRule="auto"/>
        <w:rPr>
          <w:sz w:val="20"/>
          <w:szCs w:val="20"/>
          <w:color w:val="auto"/>
        </w:rPr>
      </w:pPr>
      <w:r>
        <w:rPr>
          <w:rFonts w:ascii="Arial" w:cs="Arial" w:eastAsia="Arial" w:hAnsi="Arial"/>
          <w:sz w:val="14"/>
          <w:szCs w:val="14"/>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44"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6"/>
          <w:szCs w:val="16"/>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82" w:right="239" w:bottom="1440" w:gutter="0" w:footer="0" w:header="0"/>
        </w:sectPr>
      </w:pPr>
    </w:p>
    <w:bookmarkStart w:id="44" w:name="page45"/>
    <w:bookmarkEnd w:id="44"/>
    <w:p>
      <w:pPr>
        <w:jc w:val="both"/>
        <w:ind w:left="2" w:firstLine="590"/>
        <w:spacing w:after="0" w:line="262"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8" w:lineRule="exact"/>
        <w:rPr>
          <w:sz w:val="20"/>
          <w:szCs w:val="20"/>
          <w:color w:val="auto"/>
        </w:rPr>
      </w:pPr>
    </w:p>
    <w:p>
      <w:pPr>
        <w:ind w:left="582"/>
        <w:spacing w:after="0"/>
        <w:tabs>
          <w:tab w:leader="none" w:pos="1561" w:val="left"/>
        </w:tabs>
        <w:rPr>
          <w:sz w:val="20"/>
          <w:szCs w:val="20"/>
          <w:color w:val="auto"/>
        </w:rPr>
      </w:pPr>
      <w:r>
        <w:rPr>
          <w:rFonts w:ascii="Arial" w:cs="Arial" w:eastAsia="Arial" w:hAnsi="Arial"/>
          <w:sz w:val="16"/>
          <w:szCs w:val="16"/>
          <w:b w:val="1"/>
          <w:bCs w:val="1"/>
          <w:color w:val="auto"/>
        </w:rPr>
        <w:t>Section 2.08</w:t>
      </w:r>
      <w:r>
        <w:rPr>
          <w:sz w:val="20"/>
          <w:szCs w:val="20"/>
          <w:color w:val="auto"/>
        </w:rPr>
        <w:tab/>
      </w:r>
      <w:r>
        <w:rPr>
          <w:rFonts w:ascii="Arial" w:cs="Arial" w:eastAsia="Arial" w:hAnsi="Arial"/>
          <w:sz w:val="15"/>
          <w:szCs w:val="15"/>
          <w:b w:val="1"/>
          <w:bCs w:val="1"/>
          <w:color w:val="0000FF"/>
        </w:rPr>
        <w:t>Cancellation</w:t>
      </w:r>
    </w:p>
    <w:p>
      <w:pPr>
        <w:spacing w:after="0" w:line="213" w:lineRule="exact"/>
        <w:rPr>
          <w:sz w:val="20"/>
          <w:szCs w:val="20"/>
          <w:color w:val="auto"/>
        </w:rPr>
      </w:pPr>
    </w:p>
    <w:p>
      <w:pPr>
        <w:jc w:val="both"/>
        <w:ind w:left="2" w:firstLine="590"/>
        <w:spacing w:after="0" w:line="307" w:lineRule="auto"/>
        <w:rPr>
          <w:sz w:val="20"/>
          <w:szCs w:val="20"/>
          <w:color w:val="auto"/>
        </w:rPr>
      </w:pPr>
      <w:r>
        <w:rPr>
          <w:rFonts w:ascii="Arial" w:cs="Arial" w:eastAsia="Arial" w:hAnsi="Arial"/>
          <w:sz w:val="14"/>
          <w:szCs w:val="14"/>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37" w:lineRule="exact"/>
        <w:rPr>
          <w:sz w:val="20"/>
          <w:szCs w:val="20"/>
          <w:color w:val="auto"/>
        </w:rPr>
      </w:pPr>
    </w:p>
    <w:p>
      <w:pPr>
        <w:ind w:left="582"/>
        <w:spacing w:after="0"/>
        <w:tabs>
          <w:tab w:leader="none" w:pos="1561" w:val="left"/>
        </w:tabs>
        <w:rPr>
          <w:sz w:val="20"/>
          <w:szCs w:val="20"/>
          <w:color w:val="auto"/>
        </w:rPr>
      </w:pPr>
      <w:r>
        <w:rPr>
          <w:rFonts w:ascii="Arial" w:cs="Arial" w:eastAsia="Arial" w:hAnsi="Arial"/>
          <w:sz w:val="16"/>
          <w:szCs w:val="16"/>
          <w:b w:val="1"/>
          <w:bCs w:val="1"/>
          <w:color w:val="auto"/>
        </w:rPr>
        <w:t>Section 2.09</w:t>
      </w:r>
      <w:r>
        <w:rPr>
          <w:sz w:val="20"/>
          <w:szCs w:val="20"/>
          <w:color w:val="auto"/>
        </w:rPr>
        <w:tab/>
      </w:r>
      <w:r>
        <w:rPr>
          <w:rFonts w:ascii="Arial" w:cs="Arial" w:eastAsia="Arial" w:hAnsi="Arial"/>
          <w:sz w:val="14"/>
          <w:szCs w:val="14"/>
          <w:b w:val="1"/>
          <w:bCs w:val="1"/>
          <w:color w:val="0000FF"/>
        </w:rPr>
        <w:t>Benefits of Indenture</w:t>
      </w:r>
    </w:p>
    <w:p>
      <w:pPr>
        <w:spacing w:after="0" w:line="213" w:lineRule="exact"/>
        <w:rPr>
          <w:sz w:val="20"/>
          <w:szCs w:val="20"/>
          <w:color w:val="auto"/>
        </w:rPr>
      </w:pPr>
    </w:p>
    <w:p>
      <w:pPr>
        <w:jc w:val="both"/>
        <w:ind w:left="2" w:firstLine="590"/>
        <w:spacing w:after="0" w:line="272" w:lineRule="auto"/>
        <w:rPr>
          <w:sz w:val="20"/>
          <w:szCs w:val="20"/>
          <w:color w:val="auto"/>
        </w:rPr>
      </w:pPr>
      <w:r>
        <w:rPr>
          <w:rFonts w:ascii="Arial" w:cs="Arial" w:eastAsia="Arial" w:hAnsi="Arial"/>
          <w:sz w:val="16"/>
          <w:szCs w:val="16"/>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57" w:lineRule="exact"/>
        <w:rPr>
          <w:sz w:val="20"/>
          <w:szCs w:val="20"/>
          <w:color w:val="auto"/>
        </w:rPr>
      </w:pPr>
    </w:p>
    <w:p>
      <w:pPr>
        <w:ind w:left="582"/>
        <w:spacing w:after="0"/>
        <w:tabs>
          <w:tab w:leader="none" w:pos="1561" w:val="left"/>
        </w:tabs>
        <w:rPr>
          <w:sz w:val="20"/>
          <w:szCs w:val="20"/>
          <w:color w:val="auto"/>
        </w:rPr>
      </w:pPr>
      <w:r>
        <w:rPr>
          <w:rFonts w:ascii="Arial" w:cs="Arial" w:eastAsia="Arial" w:hAnsi="Arial"/>
          <w:sz w:val="16"/>
          <w:szCs w:val="16"/>
          <w:b w:val="1"/>
          <w:bCs w:val="1"/>
          <w:color w:val="auto"/>
        </w:rPr>
        <w:t>Section 2.10</w:t>
      </w:r>
      <w:r>
        <w:rPr>
          <w:sz w:val="20"/>
          <w:szCs w:val="20"/>
          <w:color w:val="auto"/>
        </w:rPr>
        <w:tab/>
      </w:r>
      <w:r>
        <w:rPr>
          <w:rFonts w:ascii="Arial" w:cs="Arial" w:eastAsia="Arial" w:hAnsi="Arial"/>
          <w:sz w:val="15"/>
          <w:szCs w:val="15"/>
          <w:b w:val="1"/>
          <w:bCs w:val="1"/>
          <w:color w:val="0000FF"/>
        </w:rPr>
        <w:t>Authenticating Agent</w:t>
      </w:r>
    </w:p>
    <w:p>
      <w:pPr>
        <w:spacing w:after="0" w:line="213" w:lineRule="exact"/>
        <w:rPr>
          <w:sz w:val="20"/>
          <w:szCs w:val="20"/>
          <w:color w:val="auto"/>
        </w:rPr>
      </w:pPr>
    </w:p>
    <w:p>
      <w:pPr>
        <w:jc w:val="both"/>
        <w:ind w:left="2" w:firstLine="590"/>
        <w:spacing w:after="0" w:line="280" w:lineRule="auto"/>
        <w:rPr>
          <w:sz w:val="20"/>
          <w:szCs w:val="20"/>
          <w:color w:val="auto"/>
        </w:rPr>
      </w:pPr>
      <w:r>
        <w:rPr>
          <w:rFonts w:ascii="Arial" w:cs="Arial" w:eastAsia="Arial" w:hAnsi="Arial"/>
          <w:sz w:val="15"/>
          <w:szCs w:val="15"/>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0" w:lineRule="exact"/>
        <w:rPr>
          <w:sz w:val="20"/>
          <w:szCs w:val="20"/>
          <w:color w:val="auto"/>
        </w:rPr>
      </w:pPr>
    </w:p>
    <w:p>
      <w:pPr>
        <w:jc w:val="both"/>
        <w:ind w:left="2" w:firstLine="590"/>
        <w:spacing w:after="0" w:line="264"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64" w:lineRule="exact"/>
        <w:rPr>
          <w:sz w:val="20"/>
          <w:szCs w:val="20"/>
          <w:color w:val="auto"/>
        </w:rPr>
      </w:pPr>
    </w:p>
    <w:p>
      <w:pPr>
        <w:ind w:left="582"/>
        <w:spacing w:after="0"/>
        <w:tabs>
          <w:tab w:leader="none" w:pos="1561" w:val="left"/>
        </w:tabs>
        <w:rPr>
          <w:sz w:val="20"/>
          <w:szCs w:val="20"/>
          <w:color w:val="auto"/>
        </w:rPr>
      </w:pPr>
      <w:r>
        <w:rPr>
          <w:rFonts w:ascii="Arial" w:cs="Arial" w:eastAsia="Arial" w:hAnsi="Arial"/>
          <w:sz w:val="16"/>
          <w:szCs w:val="16"/>
          <w:b w:val="1"/>
          <w:bCs w:val="1"/>
          <w:color w:val="auto"/>
        </w:rPr>
        <w:t>Section 2.11</w:t>
      </w:r>
      <w:r>
        <w:rPr>
          <w:sz w:val="20"/>
          <w:szCs w:val="20"/>
          <w:color w:val="auto"/>
        </w:rPr>
        <w:tab/>
      </w:r>
      <w:r>
        <w:rPr>
          <w:rFonts w:ascii="Arial" w:cs="Arial" w:eastAsia="Arial" w:hAnsi="Arial"/>
          <w:sz w:val="14"/>
          <w:szCs w:val="14"/>
          <w:b w:val="1"/>
          <w:bCs w:val="1"/>
          <w:color w:val="0000FF"/>
        </w:rPr>
        <w:t>Global Securities</w:t>
      </w:r>
    </w:p>
    <w:p>
      <w:pPr>
        <w:spacing w:after="0" w:line="213" w:lineRule="exact"/>
        <w:rPr>
          <w:sz w:val="20"/>
          <w:szCs w:val="20"/>
          <w:color w:val="auto"/>
        </w:rPr>
      </w:pPr>
    </w:p>
    <w:p>
      <w:pPr>
        <w:jc w:val="both"/>
        <w:ind w:left="2" w:firstLine="1178"/>
        <w:spacing w:after="0" w:line="298" w:lineRule="auto"/>
        <w:tabs>
          <w:tab w:leader="none" w:pos="1628" w:val="left"/>
        </w:tabs>
        <w:numPr>
          <w:ilvl w:val="1"/>
          <w:numId w:val="45"/>
        </w:numPr>
        <w:rPr>
          <w:rFonts w:ascii="Arial" w:cs="Arial" w:eastAsia="Arial" w:hAnsi="Arial"/>
          <w:sz w:val="14"/>
          <w:szCs w:val="14"/>
          <w:b w:val="1"/>
          <w:bCs w:val="1"/>
          <w:color w:val="auto"/>
        </w:rPr>
      </w:pPr>
      <w:r>
        <w:rPr>
          <w:rFonts w:ascii="Arial" w:cs="Arial" w:eastAsia="Arial" w:hAnsi="Arial"/>
          <w:sz w:val="14"/>
          <w:szCs w:val="14"/>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w:t>
      </w:r>
    </w:p>
    <w:p>
      <w:pPr>
        <w:spacing w:after="0" w:line="1" w:lineRule="exact"/>
        <w:rPr>
          <w:rFonts w:ascii="Arial" w:cs="Arial" w:eastAsia="Arial" w:hAnsi="Arial"/>
          <w:sz w:val="14"/>
          <w:szCs w:val="14"/>
          <w:b w:val="1"/>
          <w:bCs w:val="1"/>
          <w:color w:val="auto"/>
        </w:rPr>
      </w:pPr>
    </w:p>
    <w:p>
      <w:pPr>
        <w:jc w:val="both"/>
        <w:ind w:left="2" w:hanging="2"/>
        <w:spacing w:after="0" w:line="290" w:lineRule="auto"/>
        <w:tabs>
          <w:tab w:leader="none" w:pos="3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50" w:lineRule="exact"/>
        <w:rPr>
          <w:rFonts w:ascii="Arial" w:cs="Arial" w:eastAsia="Arial" w:hAnsi="Arial"/>
          <w:sz w:val="15"/>
          <w:szCs w:val="15"/>
          <w:color w:val="auto"/>
        </w:rPr>
      </w:pPr>
    </w:p>
    <w:p>
      <w:pPr>
        <w:jc w:val="both"/>
        <w:ind w:left="2" w:firstLine="1178"/>
        <w:spacing w:after="0" w:line="272" w:lineRule="auto"/>
        <w:tabs>
          <w:tab w:leader="none" w:pos="1545" w:val="left"/>
        </w:tabs>
        <w:numPr>
          <w:ilvl w:val="1"/>
          <w:numId w:val="46"/>
        </w:numPr>
        <w:rPr>
          <w:rFonts w:ascii="Arial" w:cs="Arial" w:eastAsia="Arial" w:hAnsi="Arial"/>
          <w:sz w:val="16"/>
          <w:szCs w:val="16"/>
          <w:b w:val="1"/>
          <w:bCs w:val="1"/>
          <w:color w:val="auto"/>
        </w:rPr>
      </w:pPr>
      <w:r>
        <w:rPr>
          <w:rFonts w:ascii="Arial" w:cs="Arial" w:eastAsia="Arial" w:hAnsi="Arial"/>
          <w:sz w:val="16"/>
          <w:szCs w:val="16"/>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37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2"/>
          </w:cols>
          <w:pgMar w:left="238" w:top="582" w:right="239" w:bottom="1440" w:gutter="0" w:footer="0" w:header="0"/>
        </w:sectPr>
      </w:pPr>
    </w:p>
    <w:bookmarkStart w:id="45" w:name="page46"/>
    <w:bookmarkEnd w:id="45"/>
    <w:p>
      <w:pPr>
        <w:jc w:val="both"/>
        <w:ind w:firstLine="1178"/>
        <w:spacing w:after="0" w:line="298" w:lineRule="auto"/>
        <w:tabs>
          <w:tab w:leader="none" w:pos="1540" w:val="left"/>
        </w:tabs>
        <w:numPr>
          <w:ilvl w:val="0"/>
          <w:numId w:val="47"/>
        </w:numPr>
        <w:rPr>
          <w:rFonts w:ascii="Arial" w:cs="Arial" w:eastAsia="Arial" w:hAnsi="Arial"/>
          <w:sz w:val="14"/>
          <w:szCs w:val="14"/>
          <w:b w:val="1"/>
          <w:bCs w:val="1"/>
          <w:color w:val="auto"/>
        </w:rPr>
      </w:pPr>
      <w:r>
        <w:rPr>
          <w:rFonts w:ascii="Arial" w:cs="Arial" w:eastAsia="Arial" w:hAnsi="Arial"/>
          <w:sz w:val="14"/>
          <w:szCs w:val="14"/>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4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2.12</w:t>
      </w:r>
      <w:r>
        <w:rPr>
          <w:sz w:val="20"/>
          <w:szCs w:val="20"/>
          <w:color w:val="auto"/>
        </w:rPr>
        <w:tab/>
      </w:r>
      <w:r>
        <w:rPr>
          <w:rFonts w:ascii="Arial" w:cs="Arial" w:eastAsia="Arial" w:hAnsi="Arial"/>
          <w:sz w:val="15"/>
          <w:szCs w:val="15"/>
          <w:b w:val="1"/>
          <w:bCs w:val="1"/>
          <w:color w:val="0000FF"/>
        </w:rPr>
        <w:t>CUSIP Numbers</w:t>
      </w:r>
    </w:p>
    <w:p>
      <w:pPr>
        <w:spacing w:after="0" w:line="213" w:lineRule="exact"/>
        <w:rPr>
          <w:sz w:val="20"/>
          <w:szCs w:val="20"/>
          <w:color w:val="auto"/>
        </w:rPr>
      </w:pPr>
    </w:p>
    <w:p>
      <w:pPr>
        <w:jc w:val="both"/>
        <w:ind w:firstLine="590"/>
        <w:spacing w:after="0" w:line="290" w:lineRule="auto"/>
        <w:rPr>
          <w:sz w:val="20"/>
          <w:szCs w:val="20"/>
          <w:color w:val="auto"/>
        </w:rPr>
      </w:pPr>
      <w:r>
        <w:rPr>
          <w:rFonts w:ascii="Arial" w:cs="Arial" w:eastAsia="Arial" w:hAnsi="Arial"/>
          <w:sz w:val="15"/>
          <w:szCs w:val="15"/>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46"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ARTICLE 3</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0000FF"/>
        </w:rPr>
        <w:t>REDEMPTION OF SECURITIES AND SINKING FUND PROVISIONS</w:t>
      </w:r>
    </w:p>
    <w:p>
      <w:pPr>
        <w:spacing w:after="0" w:line="20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3.01</w:t>
      </w:r>
      <w:r>
        <w:rPr>
          <w:sz w:val="20"/>
          <w:szCs w:val="20"/>
          <w:color w:val="auto"/>
        </w:rPr>
        <w:tab/>
      </w:r>
      <w:r>
        <w:rPr>
          <w:rFonts w:ascii="Arial" w:cs="Arial" w:eastAsia="Arial" w:hAnsi="Arial"/>
          <w:sz w:val="14"/>
          <w:szCs w:val="14"/>
          <w:b w:val="1"/>
          <w:bCs w:val="1"/>
          <w:color w:val="0000FF"/>
        </w:rPr>
        <w:t>Redemption</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The Company may redeem the Securities of any series issued hereunder on and after the dates and in accordance with the terms established for such series pursuant to Section 2.01 hereof.</w:t>
      </w:r>
    </w:p>
    <w:p>
      <w:pPr>
        <w:spacing w:after="0" w:line="14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3.02</w:t>
      </w:r>
      <w:r>
        <w:rPr>
          <w:sz w:val="20"/>
          <w:szCs w:val="20"/>
          <w:color w:val="auto"/>
        </w:rPr>
        <w:tab/>
      </w:r>
      <w:r>
        <w:rPr>
          <w:rFonts w:ascii="Arial" w:cs="Arial" w:eastAsia="Arial" w:hAnsi="Arial"/>
          <w:sz w:val="14"/>
          <w:szCs w:val="14"/>
          <w:b w:val="1"/>
          <w:bCs w:val="1"/>
          <w:color w:val="0000FF"/>
        </w:rPr>
        <w:t>Notice of Redemption</w:t>
      </w:r>
    </w:p>
    <w:p>
      <w:pPr>
        <w:spacing w:after="0" w:line="213" w:lineRule="exact"/>
        <w:rPr>
          <w:sz w:val="20"/>
          <w:szCs w:val="20"/>
          <w:color w:val="auto"/>
        </w:rPr>
      </w:pPr>
    </w:p>
    <w:p>
      <w:pPr>
        <w:jc w:val="both"/>
        <w:ind w:firstLine="1178"/>
        <w:spacing w:after="0" w:line="301" w:lineRule="auto"/>
        <w:tabs>
          <w:tab w:leader="none" w:pos="1535" w:val="left"/>
        </w:tabs>
        <w:numPr>
          <w:ilvl w:val="0"/>
          <w:numId w:val="48"/>
        </w:numPr>
        <w:rPr>
          <w:rFonts w:ascii="Arial" w:cs="Arial" w:eastAsia="Arial" w:hAnsi="Arial"/>
          <w:sz w:val="14"/>
          <w:szCs w:val="14"/>
          <w:b w:val="1"/>
          <w:bCs w:val="1"/>
          <w:color w:val="auto"/>
        </w:rPr>
      </w:pPr>
      <w:r>
        <w:rPr>
          <w:rFonts w:ascii="Arial" w:cs="Arial" w:eastAsia="Arial" w:hAnsi="Arial"/>
          <w:sz w:val="14"/>
          <w:szCs w:val="14"/>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49" w:lineRule="exact"/>
        <w:rPr>
          <w:sz w:val="20"/>
          <w:szCs w:val="20"/>
          <w:color w:val="auto"/>
        </w:rPr>
      </w:pPr>
    </w:p>
    <w:p>
      <w:pPr>
        <w:jc w:val="both"/>
        <w:ind w:firstLine="590"/>
        <w:spacing w:after="0" w:line="286" w:lineRule="auto"/>
        <w:rPr>
          <w:sz w:val="20"/>
          <w:szCs w:val="20"/>
          <w:color w:val="auto"/>
        </w:rPr>
      </w:pPr>
      <w:r>
        <w:rPr>
          <w:rFonts w:ascii="Arial" w:cs="Arial" w:eastAsia="Arial" w:hAnsi="Arial"/>
          <w:sz w:val="15"/>
          <w:szCs w:val="15"/>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2" w:right="239" w:bottom="1440" w:gutter="0" w:footer="0" w:header="0"/>
        </w:sectPr>
      </w:pPr>
    </w:p>
    <w:bookmarkStart w:id="46" w:name="page47"/>
    <w:bookmarkEnd w:id="46"/>
    <w:p>
      <w:pPr>
        <w:jc w:val="both"/>
        <w:ind w:firstLine="590"/>
        <w:spacing w:after="0" w:line="272" w:lineRule="auto"/>
        <w:rPr>
          <w:sz w:val="20"/>
          <w:szCs w:val="20"/>
          <w:color w:val="auto"/>
        </w:rPr>
      </w:pPr>
      <w:r>
        <w:rPr>
          <w:rFonts w:ascii="Arial" w:cs="Arial" w:eastAsia="Arial" w:hAnsi="Arial"/>
          <w:sz w:val="16"/>
          <w:szCs w:val="16"/>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1" w:lineRule="exact"/>
        <w:rPr>
          <w:sz w:val="20"/>
          <w:szCs w:val="20"/>
          <w:color w:val="auto"/>
        </w:rPr>
      </w:pPr>
    </w:p>
    <w:p>
      <w:pPr>
        <w:jc w:val="both"/>
        <w:ind w:firstLine="1178"/>
        <w:spacing w:after="0" w:line="278" w:lineRule="auto"/>
        <w:tabs>
          <w:tab w:leader="none" w:pos="1544" w:val="left"/>
        </w:tabs>
        <w:numPr>
          <w:ilvl w:val="0"/>
          <w:numId w:val="49"/>
        </w:numPr>
        <w:rPr>
          <w:rFonts w:ascii="Arial" w:cs="Arial" w:eastAsia="Arial" w:hAnsi="Arial"/>
          <w:sz w:val="15"/>
          <w:szCs w:val="15"/>
          <w:b w:val="1"/>
          <w:bCs w:val="1"/>
          <w:color w:val="auto"/>
        </w:rPr>
      </w:pPr>
      <w:r>
        <w:rPr>
          <w:rFonts w:ascii="Arial" w:cs="Arial" w:eastAsia="Arial" w:hAnsi="Arial"/>
          <w:sz w:val="15"/>
          <w:szCs w:val="15"/>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58"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3.03</w:t>
      </w:r>
      <w:r>
        <w:rPr>
          <w:sz w:val="20"/>
          <w:szCs w:val="20"/>
          <w:color w:val="auto"/>
        </w:rPr>
        <w:tab/>
      </w:r>
      <w:r>
        <w:rPr>
          <w:rFonts w:ascii="Arial" w:cs="Arial" w:eastAsia="Arial" w:hAnsi="Arial"/>
          <w:sz w:val="14"/>
          <w:szCs w:val="14"/>
          <w:b w:val="1"/>
          <w:bCs w:val="1"/>
          <w:color w:val="0000FF"/>
        </w:rPr>
        <w:t>Payment Upon Redemption</w:t>
      </w:r>
    </w:p>
    <w:p>
      <w:pPr>
        <w:spacing w:after="0" w:line="213" w:lineRule="exact"/>
        <w:rPr>
          <w:sz w:val="20"/>
          <w:szCs w:val="20"/>
          <w:color w:val="auto"/>
        </w:rPr>
      </w:pPr>
    </w:p>
    <w:p>
      <w:pPr>
        <w:jc w:val="both"/>
        <w:ind w:firstLine="1178"/>
        <w:spacing w:after="0" w:line="261" w:lineRule="auto"/>
        <w:tabs>
          <w:tab w:leader="none" w:pos="1538"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9" w:lineRule="exact"/>
        <w:rPr>
          <w:rFonts w:ascii="Arial" w:cs="Arial" w:eastAsia="Arial" w:hAnsi="Arial"/>
          <w:sz w:val="16"/>
          <w:szCs w:val="16"/>
          <w:b w:val="1"/>
          <w:bCs w:val="1"/>
          <w:color w:val="auto"/>
        </w:rPr>
      </w:pPr>
    </w:p>
    <w:p>
      <w:pPr>
        <w:jc w:val="both"/>
        <w:ind w:firstLine="1178"/>
        <w:spacing w:after="0" w:line="272" w:lineRule="auto"/>
        <w:tabs>
          <w:tab w:leader="none" w:pos="1556"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spacing w:after="0" w:line="15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3.04</w:t>
      </w:r>
      <w:r>
        <w:rPr>
          <w:sz w:val="20"/>
          <w:szCs w:val="20"/>
          <w:color w:val="auto"/>
        </w:rPr>
        <w:tab/>
      </w:r>
      <w:r>
        <w:rPr>
          <w:rFonts w:ascii="Arial" w:cs="Arial" w:eastAsia="Arial" w:hAnsi="Arial"/>
          <w:sz w:val="15"/>
          <w:szCs w:val="15"/>
          <w:b w:val="1"/>
          <w:bCs w:val="1"/>
          <w:color w:val="0000FF"/>
        </w:rPr>
        <w:t>Sinking Fund</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50"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6"/>
          <w:szCs w:val="16"/>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6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3.05</w:t>
      </w:r>
      <w:r>
        <w:rPr>
          <w:sz w:val="20"/>
          <w:szCs w:val="20"/>
          <w:color w:val="auto"/>
        </w:rPr>
        <w:tab/>
      </w:r>
      <w:r>
        <w:rPr>
          <w:rFonts w:ascii="Arial" w:cs="Arial" w:eastAsia="Arial" w:hAnsi="Arial"/>
          <w:sz w:val="14"/>
          <w:szCs w:val="14"/>
          <w:b w:val="1"/>
          <w:bCs w:val="1"/>
          <w:color w:val="0000FF"/>
        </w:rPr>
        <w:t>Satisfaction of Sinking Fund Payments with Securities</w:t>
      </w:r>
    </w:p>
    <w:p>
      <w:pPr>
        <w:spacing w:after="0" w:line="21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82" w:right="239" w:bottom="1440" w:gutter="0" w:footer="0" w:header="0"/>
        </w:sectPr>
      </w:pPr>
    </w:p>
    <w:bookmarkStart w:id="47" w:name="page48"/>
    <w:bookmarkEnd w:id="47"/>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3.06</w:t>
      </w:r>
      <w:r>
        <w:rPr>
          <w:sz w:val="20"/>
          <w:szCs w:val="20"/>
          <w:color w:val="auto"/>
        </w:rPr>
        <w:tab/>
      </w:r>
      <w:r>
        <w:rPr>
          <w:rFonts w:ascii="Arial" w:cs="Arial" w:eastAsia="Arial" w:hAnsi="Arial"/>
          <w:sz w:val="14"/>
          <w:szCs w:val="14"/>
          <w:b w:val="1"/>
          <w:bCs w:val="1"/>
          <w:color w:val="0000FF"/>
        </w:rPr>
        <w:t>Redemption of Securities for Sinking Fund</w:t>
      </w:r>
    </w:p>
    <w:p>
      <w:pPr>
        <w:spacing w:after="0" w:line="213" w:lineRule="exact"/>
        <w:rPr>
          <w:sz w:val="20"/>
          <w:szCs w:val="20"/>
          <w:color w:val="auto"/>
        </w:rPr>
      </w:pPr>
    </w:p>
    <w:p>
      <w:pPr>
        <w:jc w:val="both"/>
        <w:ind w:firstLine="590"/>
        <w:spacing w:after="0" w:line="261" w:lineRule="auto"/>
        <w:rPr>
          <w:sz w:val="20"/>
          <w:szCs w:val="20"/>
          <w:color w:val="auto"/>
        </w:rPr>
      </w:pPr>
      <w:r>
        <w:rPr>
          <w:rFonts w:ascii="Arial" w:cs="Arial" w:eastAsia="Arial" w:hAnsi="Arial"/>
          <w:sz w:val="16"/>
          <w:szCs w:val="16"/>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69"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ARTICLE 4</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0000FF"/>
        </w:rPr>
        <w:t>COVENANTS</w:t>
      </w:r>
    </w:p>
    <w:p>
      <w:pPr>
        <w:spacing w:after="0" w:line="20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4.01</w:t>
      </w:r>
      <w:r>
        <w:rPr>
          <w:sz w:val="20"/>
          <w:szCs w:val="20"/>
          <w:color w:val="auto"/>
        </w:rPr>
        <w:tab/>
      </w:r>
      <w:r>
        <w:rPr>
          <w:rFonts w:ascii="Arial" w:cs="Arial" w:eastAsia="Arial" w:hAnsi="Arial"/>
          <w:sz w:val="15"/>
          <w:szCs w:val="15"/>
          <w:b w:val="1"/>
          <w:bCs w:val="1"/>
          <w:color w:val="0000FF"/>
        </w:rPr>
        <w:t>Payment of Principal, Premium and Interest</w:t>
      </w:r>
    </w:p>
    <w:p>
      <w:pPr>
        <w:spacing w:after="0" w:line="213" w:lineRule="exact"/>
        <w:rPr>
          <w:sz w:val="20"/>
          <w:szCs w:val="20"/>
          <w:color w:val="auto"/>
        </w:rPr>
      </w:pPr>
    </w:p>
    <w:p>
      <w:pPr>
        <w:jc w:val="both"/>
        <w:ind w:firstLine="590"/>
        <w:spacing w:after="0" w:line="304" w:lineRule="auto"/>
        <w:rPr>
          <w:sz w:val="20"/>
          <w:szCs w:val="20"/>
          <w:color w:val="auto"/>
        </w:rPr>
      </w:pPr>
      <w:r>
        <w:rPr>
          <w:rFonts w:ascii="Arial" w:cs="Arial" w:eastAsia="Arial" w:hAnsi="Arial"/>
          <w:sz w:val="14"/>
          <w:szCs w:val="14"/>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42"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4.02</w:t>
      </w:r>
      <w:r>
        <w:rPr>
          <w:sz w:val="20"/>
          <w:szCs w:val="20"/>
          <w:color w:val="auto"/>
        </w:rPr>
        <w:tab/>
      </w:r>
      <w:r>
        <w:rPr>
          <w:rFonts w:ascii="Arial" w:cs="Arial" w:eastAsia="Arial" w:hAnsi="Arial"/>
          <w:sz w:val="14"/>
          <w:szCs w:val="14"/>
          <w:b w:val="1"/>
          <w:bCs w:val="1"/>
          <w:color w:val="0000FF"/>
        </w:rPr>
        <w:t>Maintenance of Office or Agency</w:t>
      </w:r>
    </w:p>
    <w:p>
      <w:pPr>
        <w:spacing w:after="0" w:line="213" w:lineRule="exact"/>
        <w:rPr>
          <w:sz w:val="20"/>
          <w:szCs w:val="20"/>
          <w:color w:val="auto"/>
        </w:rPr>
      </w:pPr>
    </w:p>
    <w:p>
      <w:pPr>
        <w:jc w:val="both"/>
        <w:ind w:firstLine="590"/>
        <w:spacing w:after="0" w:line="280" w:lineRule="auto"/>
        <w:rPr>
          <w:sz w:val="20"/>
          <w:szCs w:val="20"/>
          <w:color w:val="auto"/>
        </w:rPr>
      </w:pPr>
      <w:r>
        <w:rPr>
          <w:rFonts w:ascii="Arial" w:cs="Arial" w:eastAsia="Arial" w:hAnsi="Arial"/>
          <w:sz w:val="15"/>
          <w:szCs w:val="15"/>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5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4.03</w:t>
      </w:r>
      <w:r>
        <w:rPr>
          <w:sz w:val="20"/>
          <w:szCs w:val="20"/>
          <w:color w:val="auto"/>
        </w:rPr>
        <w:tab/>
      </w:r>
      <w:r>
        <w:rPr>
          <w:rFonts w:ascii="Arial" w:cs="Arial" w:eastAsia="Arial" w:hAnsi="Arial"/>
          <w:sz w:val="14"/>
          <w:szCs w:val="14"/>
          <w:b w:val="1"/>
          <w:bCs w:val="1"/>
          <w:color w:val="0000FF"/>
        </w:rPr>
        <w:t>Paying Agents</w:t>
      </w:r>
    </w:p>
    <w:p>
      <w:pPr>
        <w:spacing w:after="0" w:line="213" w:lineRule="exact"/>
        <w:rPr>
          <w:sz w:val="20"/>
          <w:szCs w:val="20"/>
          <w:color w:val="auto"/>
        </w:rPr>
      </w:pPr>
    </w:p>
    <w:p>
      <w:pPr>
        <w:ind w:firstLine="1178"/>
        <w:spacing w:after="0" w:line="323" w:lineRule="auto"/>
        <w:tabs>
          <w:tab w:leader="none" w:pos="1572" w:val="left"/>
        </w:tabs>
        <w:numPr>
          <w:ilvl w:val="0"/>
          <w:numId w:val="51"/>
        </w:numPr>
        <w:rPr>
          <w:rFonts w:ascii="Arial" w:cs="Arial" w:eastAsia="Arial" w:hAnsi="Arial"/>
          <w:sz w:val="15"/>
          <w:szCs w:val="15"/>
          <w:b w:val="1"/>
          <w:bCs w:val="1"/>
          <w:color w:val="auto"/>
        </w:rPr>
      </w:pPr>
      <w:r>
        <w:rPr>
          <w:rFonts w:ascii="Arial" w:cs="Arial" w:eastAsia="Arial" w:hAnsi="Arial"/>
          <w:sz w:val="15"/>
          <w:szCs w:val="15"/>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25" w:lineRule="exact"/>
        <w:rPr>
          <w:rFonts w:ascii="Arial" w:cs="Arial" w:eastAsia="Arial" w:hAnsi="Arial"/>
          <w:sz w:val="15"/>
          <w:szCs w:val="15"/>
          <w:b w:val="1"/>
          <w:bCs w:val="1"/>
          <w:color w:val="auto"/>
        </w:rPr>
      </w:pPr>
    </w:p>
    <w:p>
      <w:pPr>
        <w:ind w:firstLine="1768"/>
        <w:spacing w:after="0" w:line="323" w:lineRule="auto"/>
        <w:tabs>
          <w:tab w:leader="none" w:pos="2132" w:val="left"/>
        </w:tabs>
        <w:numPr>
          <w:ilvl w:val="1"/>
          <w:numId w:val="51"/>
        </w:numPr>
        <w:rPr>
          <w:rFonts w:ascii="Arial" w:cs="Arial" w:eastAsia="Arial" w:hAnsi="Arial"/>
          <w:sz w:val="15"/>
          <w:szCs w:val="15"/>
          <w:b w:val="1"/>
          <w:bCs w:val="1"/>
          <w:color w:val="auto"/>
        </w:rPr>
      </w:pPr>
      <w:r>
        <w:rPr>
          <w:rFonts w:ascii="Arial" w:cs="Arial" w:eastAsia="Arial" w:hAnsi="Arial"/>
          <w:sz w:val="15"/>
          <w:szCs w:val="15"/>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25" w:lineRule="exact"/>
        <w:rPr>
          <w:rFonts w:ascii="Arial" w:cs="Arial" w:eastAsia="Arial" w:hAnsi="Arial"/>
          <w:sz w:val="15"/>
          <w:szCs w:val="15"/>
          <w:b w:val="1"/>
          <w:bCs w:val="1"/>
          <w:color w:val="auto"/>
        </w:rPr>
      </w:pPr>
    </w:p>
    <w:p>
      <w:pPr>
        <w:ind w:firstLine="1768"/>
        <w:spacing w:after="0" w:line="287" w:lineRule="auto"/>
        <w:tabs>
          <w:tab w:leader="none" w:pos="2167" w:val="left"/>
        </w:tabs>
        <w:numPr>
          <w:ilvl w:val="1"/>
          <w:numId w:val="51"/>
        </w:numPr>
        <w:rPr>
          <w:rFonts w:ascii="Arial" w:cs="Arial" w:eastAsia="Arial" w:hAnsi="Arial"/>
          <w:sz w:val="16"/>
          <w:szCs w:val="16"/>
          <w:b w:val="1"/>
          <w:bCs w:val="1"/>
          <w:color w:val="auto"/>
        </w:rPr>
      </w:pPr>
      <w:r>
        <w:rPr>
          <w:rFonts w:ascii="Arial" w:cs="Arial" w:eastAsia="Arial" w:hAnsi="Arial"/>
          <w:sz w:val="16"/>
          <w:szCs w:val="16"/>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9" w:lineRule="exact"/>
        <w:rPr>
          <w:rFonts w:ascii="Arial" w:cs="Arial" w:eastAsia="Arial" w:hAnsi="Arial"/>
          <w:sz w:val="16"/>
          <w:szCs w:val="16"/>
          <w:b w:val="1"/>
          <w:bCs w:val="1"/>
          <w:color w:val="auto"/>
        </w:rPr>
      </w:pPr>
    </w:p>
    <w:p>
      <w:pPr>
        <w:ind w:firstLine="1768"/>
        <w:spacing w:after="0" w:line="287" w:lineRule="auto"/>
        <w:tabs>
          <w:tab w:leader="none" w:pos="2144" w:val="left"/>
        </w:tabs>
        <w:numPr>
          <w:ilvl w:val="1"/>
          <w:numId w:val="51"/>
        </w:numPr>
        <w:rPr>
          <w:rFonts w:ascii="Arial" w:cs="Arial" w:eastAsia="Arial" w:hAnsi="Arial"/>
          <w:sz w:val="16"/>
          <w:szCs w:val="16"/>
          <w:b w:val="1"/>
          <w:bCs w:val="1"/>
          <w:color w:val="auto"/>
        </w:rPr>
      </w:pPr>
      <w:r>
        <w:rPr>
          <w:rFonts w:ascii="Arial" w:cs="Arial" w:eastAsia="Arial" w:hAnsi="Arial"/>
          <w:sz w:val="16"/>
          <w:szCs w:val="16"/>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49" w:lineRule="exact"/>
        <w:rPr>
          <w:rFonts w:ascii="Arial" w:cs="Arial" w:eastAsia="Arial" w:hAnsi="Arial"/>
          <w:sz w:val="16"/>
          <w:szCs w:val="16"/>
          <w:b w:val="1"/>
          <w:bCs w:val="1"/>
          <w:color w:val="auto"/>
        </w:rPr>
      </w:pPr>
    </w:p>
    <w:p>
      <w:pPr>
        <w:ind w:left="2120" w:hanging="352"/>
        <w:spacing w:after="0"/>
        <w:tabs>
          <w:tab w:leader="none" w:pos="2120" w:val="left"/>
        </w:tabs>
        <w:numPr>
          <w:ilvl w:val="1"/>
          <w:numId w:val="51"/>
        </w:numPr>
        <w:rPr>
          <w:rFonts w:ascii="Arial" w:cs="Arial" w:eastAsia="Arial" w:hAnsi="Arial"/>
          <w:sz w:val="16"/>
          <w:szCs w:val="16"/>
          <w:b w:val="1"/>
          <w:bCs w:val="1"/>
          <w:color w:val="auto"/>
        </w:rPr>
      </w:pPr>
      <w:r>
        <w:rPr>
          <w:rFonts w:ascii="Arial" w:cs="Arial" w:eastAsia="Arial" w:hAnsi="Arial"/>
          <w:sz w:val="16"/>
          <w:szCs w:val="16"/>
          <w:color w:val="auto"/>
        </w:rPr>
        <w:t>that it will perform all other duties of paying agent as set forth in this Indenture.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78" w:right="239" w:bottom="1440" w:gutter="0" w:footer="0" w:header="0"/>
        </w:sectPr>
      </w:pPr>
    </w:p>
    <w:bookmarkStart w:id="48" w:name="page49"/>
    <w:bookmarkEnd w:id="48"/>
    <w:p>
      <w:pPr>
        <w:jc w:val="both"/>
        <w:ind w:firstLine="1178"/>
        <w:spacing w:after="0" w:line="261" w:lineRule="auto"/>
        <w:tabs>
          <w:tab w:leader="none" w:pos="1555"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69" w:lineRule="exact"/>
        <w:rPr>
          <w:rFonts w:ascii="Arial" w:cs="Arial" w:eastAsia="Arial" w:hAnsi="Arial"/>
          <w:sz w:val="16"/>
          <w:szCs w:val="16"/>
          <w:b w:val="1"/>
          <w:bCs w:val="1"/>
          <w:color w:val="auto"/>
        </w:rPr>
      </w:pPr>
    </w:p>
    <w:p>
      <w:pPr>
        <w:jc w:val="both"/>
        <w:ind w:firstLine="1178"/>
        <w:spacing w:after="0" w:line="264" w:lineRule="auto"/>
        <w:tabs>
          <w:tab w:leader="none" w:pos="1537"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6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4.04</w:t>
      </w:r>
      <w:r>
        <w:rPr>
          <w:sz w:val="20"/>
          <w:szCs w:val="20"/>
          <w:color w:val="auto"/>
        </w:rPr>
        <w:tab/>
      </w:r>
      <w:r>
        <w:rPr>
          <w:rFonts w:ascii="Arial" w:cs="Arial" w:eastAsia="Arial" w:hAnsi="Arial"/>
          <w:sz w:val="14"/>
          <w:szCs w:val="14"/>
          <w:b w:val="1"/>
          <w:bCs w:val="1"/>
          <w:color w:val="0000FF"/>
        </w:rPr>
        <w:t>Appointment to Fill Vacancy in Office of Trustee</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The Company, whenever necessary to avoid or fill a vacancy in the office of Trustee, will appoint, in the manner provided in Section 7.10, a Trustee, so that there shall at all times be a Trustee hereunder.</w:t>
      </w:r>
    </w:p>
    <w:p>
      <w:pPr>
        <w:spacing w:after="0" w:line="146"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ARTICLE 5</w:t>
      </w:r>
    </w:p>
    <w:p>
      <w:pPr>
        <w:spacing w:after="0" w:line="209" w:lineRule="exact"/>
        <w:rPr>
          <w:sz w:val="20"/>
          <w:szCs w:val="20"/>
          <w:color w:val="auto"/>
        </w:rPr>
      </w:pPr>
    </w:p>
    <w:p>
      <w:pPr>
        <w:ind w:left="2420"/>
        <w:spacing w:after="0"/>
        <w:rPr>
          <w:sz w:val="20"/>
          <w:szCs w:val="20"/>
          <w:color w:val="auto"/>
        </w:rPr>
      </w:pPr>
      <w:r>
        <w:rPr>
          <w:rFonts w:ascii="Arial" w:cs="Arial" w:eastAsia="Arial" w:hAnsi="Arial"/>
          <w:sz w:val="16"/>
          <w:szCs w:val="16"/>
          <w:b w:val="1"/>
          <w:bCs w:val="1"/>
          <w:color w:val="0000FF"/>
        </w:rPr>
        <w:t>SECURITYHOLDERS’ LISTS AND REPORTS BY THE COMPANY AND THE TRUSTEE</w:t>
      </w:r>
    </w:p>
    <w:p>
      <w:pPr>
        <w:spacing w:after="0" w:line="20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5.01</w:t>
      </w:r>
      <w:r>
        <w:rPr>
          <w:sz w:val="20"/>
          <w:szCs w:val="20"/>
          <w:color w:val="auto"/>
        </w:rPr>
        <w:tab/>
      </w:r>
      <w:r>
        <w:rPr>
          <w:rFonts w:ascii="Arial" w:cs="Arial" w:eastAsia="Arial" w:hAnsi="Arial"/>
          <w:sz w:val="14"/>
          <w:szCs w:val="14"/>
          <w:b w:val="1"/>
          <w:bCs w:val="1"/>
          <w:color w:val="0000FF"/>
        </w:rPr>
        <w:t>Company to Furnish Trustee Names and Addresses of Securityholders</w:t>
      </w:r>
    </w:p>
    <w:p>
      <w:pPr>
        <w:spacing w:after="0" w:line="21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6"/>
          <w:szCs w:val="16"/>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68"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5.02</w:t>
      </w:r>
      <w:r>
        <w:rPr>
          <w:sz w:val="20"/>
          <w:szCs w:val="20"/>
          <w:color w:val="auto"/>
        </w:rPr>
        <w:tab/>
      </w:r>
      <w:r>
        <w:rPr>
          <w:rFonts w:ascii="Arial" w:cs="Arial" w:eastAsia="Arial" w:hAnsi="Arial"/>
          <w:sz w:val="15"/>
          <w:szCs w:val="15"/>
          <w:b w:val="1"/>
          <w:bCs w:val="1"/>
          <w:color w:val="0000FF"/>
        </w:rPr>
        <w:t>Preservation Of Information; Communications With Securityholders</w:t>
      </w:r>
    </w:p>
    <w:p>
      <w:pPr>
        <w:spacing w:after="0" w:line="213" w:lineRule="exact"/>
        <w:rPr>
          <w:sz w:val="20"/>
          <w:szCs w:val="20"/>
          <w:color w:val="auto"/>
        </w:rPr>
      </w:pPr>
    </w:p>
    <w:p>
      <w:pPr>
        <w:jc w:val="both"/>
        <w:ind w:firstLine="1178"/>
        <w:spacing w:after="0" w:line="272" w:lineRule="auto"/>
        <w:tabs>
          <w:tab w:leader="none" w:pos="1547"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61" w:lineRule="exact"/>
        <w:rPr>
          <w:rFonts w:ascii="Arial" w:cs="Arial" w:eastAsia="Arial" w:hAnsi="Arial"/>
          <w:sz w:val="16"/>
          <w:szCs w:val="16"/>
          <w:b w:val="1"/>
          <w:bCs w:val="1"/>
          <w:color w:val="auto"/>
        </w:rPr>
      </w:pPr>
    </w:p>
    <w:p>
      <w:pPr>
        <w:ind w:left="1540" w:hanging="362"/>
        <w:spacing w:after="0"/>
        <w:tabs>
          <w:tab w:leader="none" w:pos="154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The Trustee may destroy any list furnished to it as provided in Section 5.01 upon receipt of a new list so furnished.</w:t>
      </w:r>
    </w:p>
    <w:p>
      <w:pPr>
        <w:spacing w:after="0" w:line="209" w:lineRule="exact"/>
        <w:rPr>
          <w:rFonts w:ascii="Arial" w:cs="Arial" w:eastAsia="Arial" w:hAnsi="Arial"/>
          <w:sz w:val="16"/>
          <w:szCs w:val="16"/>
          <w:b w:val="1"/>
          <w:bCs w:val="1"/>
          <w:color w:val="auto"/>
        </w:rPr>
      </w:pPr>
    </w:p>
    <w:p>
      <w:pPr>
        <w:jc w:val="both"/>
        <w:ind w:firstLine="1178"/>
        <w:spacing w:after="0" w:line="272" w:lineRule="auto"/>
        <w:tabs>
          <w:tab w:leader="none" w:pos="1585"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2" w:right="239" w:bottom="1440" w:gutter="0" w:footer="0" w:header="0"/>
        </w:sectPr>
      </w:pPr>
    </w:p>
    <w:bookmarkStart w:id="49" w:name="page50"/>
    <w:bookmarkEnd w:id="49"/>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5.03</w:t>
      </w:r>
      <w:r>
        <w:rPr>
          <w:sz w:val="20"/>
          <w:szCs w:val="20"/>
          <w:color w:val="auto"/>
        </w:rPr>
        <w:tab/>
      </w:r>
      <w:r>
        <w:rPr>
          <w:rFonts w:ascii="Arial" w:cs="Arial" w:eastAsia="Arial" w:hAnsi="Arial"/>
          <w:sz w:val="14"/>
          <w:szCs w:val="14"/>
          <w:b w:val="1"/>
          <w:bCs w:val="1"/>
          <w:color w:val="0000FF"/>
        </w:rPr>
        <w:t>Reports by the Company</w:t>
      </w:r>
    </w:p>
    <w:p>
      <w:pPr>
        <w:spacing w:after="0" w:line="213" w:lineRule="exact"/>
        <w:rPr>
          <w:sz w:val="20"/>
          <w:szCs w:val="20"/>
          <w:color w:val="auto"/>
        </w:rPr>
      </w:pPr>
    </w:p>
    <w:p>
      <w:pPr>
        <w:jc w:val="both"/>
        <w:ind w:firstLine="1178"/>
        <w:spacing w:after="0" w:line="260" w:lineRule="auto"/>
        <w:tabs>
          <w:tab w:leader="none" w:pos="1539"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72" w:lineRule="exact"/>
        <w:rPr>
          <w:rFonts w:ascii="Arial" w:cs="Arial" w:eastAsia="Arial" w:hAnsi="Arial"/>
          <w:sz w:val="16"/>
          <w:szCs w:val="16"/>
          <w:b w:val="1"/>
          <w:bCs w:val="1"/>
          <w:color w:val="auto"/>
        </w:rPr>
      </w:pPr>
    </w:p>
    <w:p>
      <w:pPr>
        <w:jc w:val="both"/>
        <w:ind w:firstLine="1178"/>
        <w:spacing w:after="0" w:line="283" w:lineRule="auto"/>
        <w:tabs>
          <w:tab w:leader="none" w:pos="1611" w:val="left"/>
        </w:tabs>
        <w:numPr>
          <w:ilvl w:val="0"/>
          <w:numId w:val="54"/>
        </w:numPr>
        <w:rPr>
          <w:rFonts w:ascii="Arial" w:cs="Arial" w:eastAsia="Arial" w:hAnsi="Arial"/>
          <w:sz w:val="15"/>
          <w:szCs w:val="15"/>
          <w:b w:val="1"/>
          <w:bCs w:val="1"/>
          <w:color w:val="auto"/>
        </w:rPr>
      </w:pPr>
      <w:r>
        <w:rPr>
          <w:rFonts w:ascii="Arial" w:cs="Arial" w:eastAsia="Arial" w:hAnsi="Arial"/>
          <w:sz w:val="15"/>
          <w:szCs w:val="15"/>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52"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5.04</w:t>
      </w:r>
      <w:r>
        <w:rPr>
          <w:sz w:val="20"/>
          <w:szCs w:val="20"/>
          <w:color w:val="auto"/>
        </w:rPr>
        <w:tab/>
      </w:r>
      <w:r>
        <w:rPr>
          <w:rFonts w:ascii="Arial" w:cs="Arial" w:eastAsia="Arial" w:hAnsi="Arial"/>
          <w:sz w:val="14"/>
          <w:szCs w:val="14"/>
          <w:b w:val="1"/>
          <w:bCs w:val="1"/>
          <w:color w:val="0000FF"/>
        </w:rPr>
        <w:t>Reports by the Trustee</w:t>
      </w:r>
    </w:p>
    <w:p>
      <w:pPr>
        <w:spacing w:after="0" w:line="213" w:lineRule="exact"/>
        <w:rPr>
          <w:sz w:val="20"/>
          <w:szCs w:val="20"/>
          <w:color w:val="auto"/>
        </w:rPr>
      </w:pPr>
    </w:p>
    <w:p>
      <w:pPr>
        <w:ind w:firstLine="1178"/>
        <w:spacing w:after="0" w:line="287" w:lineRule="auto"/>
        <w:tabs>
          <w:tab w:leader="none" w:pos="1548"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If required by Section 313(a) of the Trust Indenture Act, the Trustee, within sixty (60) days after each May 1, shall send to the Securityholders a brief report dated as of such May 1, which complies with Section 313(a) of the Trust Indenture Act.</w:t>
      </w:r>
    </w:p>
    <w:p>
      <w:pPr>
        <w:spacing w:after="0" w:line="149" w:lineRule="exact"/>
        <w:rPr>
          <w:rFonts w:ascii="Arial" w:cs="Arial" w:eastAsia="Arial" w:hAnsi="Arial"/>
          <w:sz w:val="16"/>
          <w:szCs w:val="16"/>
          <w:b w:val="1"/>
          <w:bCs w:val="1"/>
          <w:color w:val="auto"/>
        </w:rPr>
      </w:pPr>
    </w:p>
    <w:p>
      <w:pPr>
        <w:ind w:left="1540" w:hanging="362"/>
        <w:spacing w:after="0"/>
        <w:tabs>
          <w:tab w:leader="none" w:pos="1540"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The Trustee shall comply with Section 313(b) and 313(c) of the Trust Indenture Act.</w:t>
      </w:r>
    </w:p>
    <w:p>
      <w:pPr>
        <w:spacing w:after="0" w:line="209" w:lineRule="exact"/>
        <w:rPr>
          <w:rFonts w:ascii="Arial" w:cs="Arial" w:eastAsia="Arial" w:hAnsi="Arial"/>
          <w:sz w:val="16"/>
          <w:szCs w:val="16"/>
          <w:b w:val="1"/>
          <w:bCs w:val="1"/>
          <w:color w:val="auto"/>
        </w:rPr>
      </w:pPr>
    </w:p>
    <w:p>
      <w:pPr>
        <w:jc w:val="both"/>
        <w:ind w:firstLine="1178"/>
        <w:spacing w:after="0" w:line="272" w:lineRule="auto"/>
        <w:tabs>
          <w:tab w:leader="none" w:pos="1547"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157" w:lineRule="exact"/>
        <w:rPr>
          <w:sz w:val="20"/>
          <w:szCs w:val="20"/>
          <w:color w:val="auto"/>
        </w:rPr>
      </w:pPr>
    </w:p>
    <w:p>
      <w:pPr>
        <w:ind w:left="7140"/>
        <w:spacing w:after="0"/>
        <w:rPr>
          <w:sz w:val="20"/>
          <w:szCs w:val="20"/>
          <w:color w:val="auto"/>
        </w:rPr>
      </w:pPr>
      <w:r>
        <w:rPr>
          <w:rFonts w:ascii="Arial" w:cs="Arial" w:eastAsia="Arial" w:hAnsi="Arial"/>
          <w:sz w:val="16"/>
          <w:szCs w:val="16"/>
          <w:b w:val="1"/>
          <w:bCs w:val="1"/>
          <w:color w:val="auto"/>
        </w:rPr>
        <w:t>ARTICLE 6</w:t>
      </w:r>
    </w:p>
    <w:p>
      <w:pPr>
        <w:spacing w:after="0" w:line="209"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0000FF"/>
        </w:rPr>
        <w:t>REMEDIES OF THE TRUSTEE AND SECURITYHOLDERS ON EVENT OF DEFAULT</w:t>
      </w:r>
    </w:p>
    <w:p>
      <w:pPr>
        <w:spacing w:after="0" w:line="20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6.01</w:t>
      </w:r>
      <w:r>
        <w:rPr>
          <w:sz w:val="20"/>
          <w:szCs w:val="20"/>
          <w:color w:val="auto"/>
        </w:rPr>
        <w:tab/>
      </w:r>
      <w:r>
        <w:rPr>
          <w:rFonts w:ascii="Arial" w:cs="Arial" w:eastAsia="Arial" w:hAnsi="Arial"/>
          <w:sz w:val="14"/>
          <w:szCs w:val="14"/>
          <w:b w:val="1"/>
          <w:bCs w:val="1"/>
          <w:color w:val="0000FF"/>
        </w:rPr>
        <w:t>Events of Default</w:t>
      </w:r>
    </w:p>
    <w:p>
      <w:pPr>
        <w:spacing w:after="0" w:line="213" w:lineRule="exact"/>
        <w:rPr>
          <w:sz w:val="20"/>
          <w:szCs w:val="20"/>
          <w:color w:val="auto"/>
        </w:rPr>
      </w:pPr>
    </w:p>
    <w:p>
      <w:pPr>
        <w:ind w:firstLine="1178"/>
        <w:spacing w:after="0" w:line="287" w:lineRule="auto"/>
        <w:tabs>
          <w:tab w:leader="none" w:pos="1584"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Whenever used herein with respect to Securities of a particular series, “Event of Default” means any one or more of the following events that has occurred and is continuing:</w:t>
      </w:r>
    </w:p>
    <w:p>
      <w:pPr>
        <w:spacing w:after="0" w:line="149" w:lineRule="exact"/>
        <w:rPr>
          <w:rFonts w:ascii="Arial" w:cs="Arial" w:eastAsia="Arial" w:hAnsi="Arial"/>
          <w:sz w:val="16"/>
          <w:szCs w:val="16"/>
          <w:b w:val="1"/>
          <w:bCs w:val="1"/>
          <w:color w:val="auto"/>
        </w:rPr>
      </w:pPr>
    </w:p>
    <w:p>
      <w:pPr>
        <w:jc w:val="both"/>
        <w:ind w:firstLine="1768"/>
        <w:spacing w:after="0" w:line="272" w:lineRule="auto"/>
        <w:tabs>
          <w:tab w:leader="none" w:pos="2186"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61" w:lineRule="exact"/>
        <w:rPr>
          <w:rFonts w:ascii="Arial" w:cs="Arial" w:eastAsia="Arial" w:hAnsi="Arial"/>
          <w:sz w:val="16"/>
          <w:szCs w:val="16"/>
          <w:b w:val="1"/>
          <w:bCs w:val="1"/>
          <w:color w:val="auto"/>
        </w:rPr>
      </w:pPr>
    </w:p>
    <w:p>
      <w:pPr>
        <w:jc w:val="both"/>
        <w:ind w:firstLine="1768"/>
        <w:spacing w:after="0" w:line="266" w:lineRule="auto"/>
        <w:tabs>
          <w:tab w:leader="none" w:pos="2162"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78" w:right="239" w:bottom="1440" w:gutter="0" w:footer="0" w:header="0"/>
        </w:sectPr>
      </w:pPr>
    </w:p>
    <w:bookmarkStart w:id="50" w:name="page51"/>
    <w:bookmarkEnd w:id="50"/>
    <w:p>
      <w:pPr>
        <w:jc w:val="both"/>
        <w:ind w:left="2" w:firstLine="1768"/>
        <w:spacing w:after="0" w:line="286" w:lineRule="auto"/>
        <w:tabs>
          <w:tab w:leader="none" w:pos="2166" w:val="left"/>
        </w:tabs>
        <w:numPr>
          <w:ilvl w:val="2"/>
          <w:numId w:val="57"/>
        </w:numPr>
        <w:rPr>
          <w:rFonts w:ascii="Arial" w:cs="Arial" w:eastAsia="Arial" w:hAnsi="Arial"/>
          <w:sz w:val="15"/>
          <w:szCs w:val="15"/>
          <w:b w:val="1"/>
          <w:bCs w:val="1"/>
          <w:color w:val="auto"/>
        </w:rPr>
      </w:pPr>
      <w:r>
        <w:rPr>
          <w:rFonts w:ascii="Arial" w:cs="Arial" w:eastAsia="Arial" w:hAnsi="Arial"/>
          <w:sz w:val="15"/>
          <w:szCs w:val="15"/>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52" w:lineRule="exact"/>
        <w:rPr>
          <w:rFonts w:ascii="Arial" w:cs="Arial" w:eastAsia="Arial" w:hAnsi="Arial"/>
          <w:sz w:val="15"/>
          <w:szCs w:val="15"/>
          <w:b w:val="1"/>
          <w:bCs w:val="1"/>
          <w:color w:val="auto"/>
        </w:rPr>
      </w:pPr>
    </w:p>
    <w:p>
      <w:pPr>
        <w:jc w:val="both"/>
        <w:ind w:left="2" w:firstLine="1768"/>
        <w:spacing w:after="0" w:line="272" w:lineRule="auto"/>
        <w:tabs>
          <w:tab w:leader="none" w:pos="2130" w:val="left"/>
        </w:tabs>
        <w:numPr>
          <w:ilvl w:val="2"/>
          <w:numId w:val="57"/>
        </w:numPr>
        <w:rPr>
          <w:rFonts w:ascii="Arial" w:cs="Arial" w:eastAsia="Arial" w:hAnsi="Arial"/>
          <w:sz w:val="16"/>
          <w:szCs w:val="16"/>
          <w:b w:val="1"/>
          <w:bCs w:val="1"/>
          <w:color w:val="auto"/>
        </w:rPr>
      </w:pPr>
      <w:r>
        <w:rPr>
          <w:rFonts w:ascii="Arial" w:cs="Arial" w:eastAsia="Arial" w:hAnsi="Arial"/>
          <w:sz w:val="16"/>
          <w:szCs w:val="16"/>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61" w:lineRule="exact"/>
        <w:rPr>
          <w:rFonts w:ascii="Arial" w:cs="Arial" w:eastAsia="Arial" w:hAnsi="Arial"/>
          <w:sz w:val="16"/>
          <w:szCs w:val="16"/>
          <w:b w:val="1"/>
          <w:bCs w:val="1"/>
          <w:color w:val="auto"/>
        </w:rPr>
      </w:pPr>
    </w:p>
    <w:p>
      <w:pPr>
        <w:ind w:left="2142" w:hanging="372"/>
        <w:spacing w:after="0"/>
        <w:tabs>
          <w:tab w:leader="none" w:pos="2142" w:val="left"/>
        </w:tabs>
        <w:numPr>
          <w:ilvl w:val="2"/>
          <w:numId w:val="57"/>
        </w:numPr>
        <w:rPr>
          <w:rFonts w:ascii="Arial" w:cs="Arial" w:eastAsia="Arial" w:hAnsi="Arial"/>
          <w:sz w:val="15"/>
          <w:szCs w:val="15"/>
          <w:b w:val="1"/>
          <w:bCs w:val="1"/>
          <w:color w:val="auto"/>
        </w:rPr>
      </w:pPr>
      <w:r>
        <w:rPr>
          <w:rFonts w:ascii="Arial" w:cs="Arial" w:eastAsia="Arial" w:hAnsi="Arial"/>
          <w:sz w:val="15"/>
          <w:szCs w:val="15"/>
          <w:color w:val="auto"/>
        </w:rPr>
        <w:t>a court of competent jurisdiction enters an order under any Bankruptcy Law that (i) is for relief against the Company in an involuntary case,</w:t>
      </w:r>
    </w:p>
    <w:p>
      <w:pPr>
        <w:spacing w:after="0" w:line="35" w:lineRule="exact"/>
        <w:rPr>
          <w:rFonts w:ascii="Arial" w:cs="Arial" w:eastAsia="Arial" w:hAnsi="Arial"/>
          <w:sz w:val="15"/>
          <w:szCs w:val="15"/>
          <w:b w:val="1"/>
          <w:bCs w:val="1"/>
          <w:color w:val="auto"/>
        </w:rPr>
      </w:pPr>
    </w:p>
    <w:p>
      <w:pPr>
        <w:ind w:left="2" w:hanging="2"/>
        <w:spacing w:after="0" w:line="273" w:lineRule="auto"/>
        <w:tabs>
          <w:tab w:leader="none" w:pos="2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appoints a Custodian of the Company for all or substantially all of its property or (iii) orders the liquidation of the Company, and the order or decree remains unstayed and in effect for 90 days.</w:t>
      </w:r>
    </w:p>
    <w:p>
      <w:pPr>
        <w:spacing w:after="0" w:line="160" w:lineRule="exact"/>
        <w:rPr>
          <w:rFonts w:ascii="Arial" w:cs="Arial" w:eastAsia="Arial" w:hAnsi="Arial"/>
          <w:sz w:val="16"/>
          <w:szCs w:val="16"/>
          <w:color w:val="auto"/>
        </w:rPr>
      </w:pPr>
    </w:p>
    <w:p>
      <w:pPr>
        <w:jc w:val="both"/>
        <w:ind w:left="2" w:firstLine="1178"/>
        <w:spacing w:after="0" w:line="283" w:lineRule="auto"/>
        <w:tabs>
          <w:tab w:leader="none" w:pos="1547" w:val="left"/>
        </w:tabs>
        <w:numPr>
          <w:ilvl w:val="1"/>
          <w:numId w:val="58"/>
        </w:numPr>
        <w:rPr>
          <w:rFonts w:ascii="Arial" w:cs="Arial" w:eastAsia="Arial" w:hAnsi="Arial"/>
          <w:sz w:val="15"/>
          <w:szCs w:val="15"/>
          <w:b w:val="1"/>
          <w:bCs w:val="1"/>
          <w:color w:val="auto"/>
        </w:rPr>
      </w:pPr>
      <w:r>
        <w:rPr>
          <w:rFonts w:ascii="Arial" w:cs="Arial" w:eastAsia="Arial" w:hAnsi="Arial"/>
          <w:sz w:val="15"/>
          <w:szCs w:val="15"/>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56" w:lineRule="exact"/>
        <w:rPr>
          <w:rFonts w:ascii="Arial" w:cs="Arial" w:eastAsia="Arial" w:hAnsi="Arial"/>
          <w:sz w:val="15"/>
          <w:szCs w:val="15"/>
          <w:b w:val="1"/>
          <w:bCs w:val="1"/>
          <w:color w:val="auto"/>
        </w:rPr>
      </w:pPr>
    </w:p>
    <w:p>
      <w:pPr>
        <w:jc w:val="both"/>
        <w:ind w:left="2" w:firstLine="1178"/>
        <w:spacing w:after="0" w:line="279" w:lineRule="auto"/>
        <w:tabs>
          <w:tab w:leader="none" w:pos="1528" w:val="left"/>
        </w:tabs>
        <w:numPr>
          <w:ilvl w:val="1"/>
          <w:numId w:val="58"/>
        </w:numPr>
        <w:rPr>
          <w:rFonts w:ascii="Arial" w:cs="Arial" w:eastAsia="Arial" w:hAnsi="Arial"/>
          <w:sz w:val="15"/>
          <w:szCs w:val="15"/>
          <w:b w:val="1"/>
          <w:bCs w:val="1"/>
          <w:color w:val="auto"/>
        </w:rPr>
      </w:pPr>
      <w:r>
        <w:rPr>
          <w:rFonts w:ascii="Arial" w:cs="Arial" w:eastAsia="Arial" w:hAnsi="Arial"/>
          <w:sz w:val="15"/>
          <w:szCs w:val="15"/>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62" w:lineRule="exact"/>
        <w:rPr>
          <w:sz w:val="20"/>
          <w:szCs w:val="20"/>
          <w:color w:val="auto"/>
        </w:rPr>
      </w:pPr>
    </w:p>
    <w:p>
      <w:pPr>
        <w:ind w:left="582"/>
        <w:spacing w:after="0"/>
        <w:rPr>
          <w:sz w:val="20"/>
          <w:szCs w:val="20"/>
          <w:color w:val="auto"/>
        </w:rPr>
      </w:pPr>
      <w:r>
        <w:rPr>
          <w:rFonts w:ascii="Arial" w:cs="Arial" w:eastAsia="Arial" w:hAnsi="Arial"/>
          <w:sz w:val="16"/>
          <w:szCs w:val="16"/>
          <w:color w:val="auto"/>
        </w:rPr>
        <w:t>No such rescission and annulment shall extend to or shall affect any subsequent default or impair any right consequent thereon.</w:t>
      </w:r>
    </w:p>
    <w:p>
      <w:pPr>
        <w:spacing w:after="0" w:line="209" w:lineRule="exact"/>
        <w:rPr>
          <w:sz w:val="20"/>
          <w:szCs w:val="20"/>
          <w:color w:val="auto"/>
        </w:rPr>
      </w:pPr>
    </w:p>
    <w:p>
      <w:pPr>
        <w:jc w:val="both"/>
        <w:ind w:left="2" w:firstLine="1178"/>
        <w:spacing w:after="0" w:line="290" w:lineRule="auto"/>
        <w:tabs>
          <w:tab w:leader="none" w:pos="1572" w:val="left"/>
        </w:tabs>
        <w:numPr>
          <w:ilvl w:val="0"/>
          <w:numId w:val="59"/>
        </w:numPr>
        <w:rPr>
          <w:rFonts w:ascii="Arial" w:cs="Arial" w:eastAsia="Arial" w:hAnsi="Arial"/>
          <w:sz w:val="15"/>
          <w:szCs w:val="15"/>
          <w:b w:val="1"/>
          <w:bCs w:val="1"/>
          <w:color w:val="auto"/>
        </w:rPr>
      </w:pPr>
      <w:r>
        <w:rPr>
          <w:rFonts w:ascii="Arial" w:cs="Arial" w:eastAsia="Arial" w:hAnsi="Arial"/>
          <w:sz w:val="15"/>
          <w:szCs w:val="15"/>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46" w:lineRule="exact"/>
        <w:rPr>
          <w:sz w:val="20"/>
          <w:szCs w:val="20"/>
          <w:color w:val="auto"/>
        </w:rPr>
      </w:pPr>
    </w:p>
    <w:p>
      <w:pPr>
        <w:ind w:left="582"/>
        <w:spacing w:after="0"/>
        <w:tabs>
          <w:tab w:leader="none" w:pos="1561" w:val="left"/>
        </w:tabs>
        <w:rPr>
          <w:sz w:val="20"/>
          <w:szCs w:val="20"/>
          <w:color w:val="auto"/>
        </w:rPr>
      </w:pPr>
      <w:r>
        <w:rPr>
          <w:rFonts w:ascii="Arial" w:cs="Arial" w:eastAsia="Arial" w:hAnsi="Arial"/>
          <w:sz w:val="16"/>
          <w:szCs w:val="16"/>
          <w:b w:val="1"/>
          <w:bCs w:val="1"/>
          <w:color w:val="auto"/>
        </w:rPr>
        <w:t>Section 6.02</w:t>
      </w:r>
      <w:r>
        <w:rPr>
          <w:sz w:val="20"/>
          <w:szCs w:val="20"/>
          <w:color w:val="auto"/>
        </w:rPr>
        <w:tab/>
      </w:r>
      <w:r>
        <w:rPr>
          <w:rFonts w:ascii="Arial" w:cs="Arial" w:eastAsia="Arial" w:hAnsi="Arial"/>
          <w:sz w:val="14"/>
          <w:szCs w:val="14"/>
          <w:b w:val="1"/>
          <w:bCs w:val="1"/>
          <w:color w:val="0000FF"/>
        </w:rPr>
        <w:t>Collection of Indebtedness and Suits for Enforcement by Trustee</w:t>
      </w:r>
    </w:p>
    <w:p>
      <w:pPr>
        <w:spacing w:after="0" w:line="213" w:lineRule="exact"/>
        <w:rPr>
          <w:sz w:val="20"/>
          <w:szCs w:val="20"/>
          <w:color w:val="auto"/>
        </w:rPr>
      </w:pPr>
    </w:p>
    <w:p>
      <w:pPr>
        <w:jc w:val="both"/>
        <w:ind w:left="2" w:firstLine="1178"/>
        <w:spacing w:after="0" w:line="260" w:lineRule="auto"/>
        <w:tabs>
          <w:tab w:leader="none" w:pos="1586"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38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2"/>
          </w:cols>
          <w:pgMar w:left="238" w:top="582" w:right="239" w:bottom="1440" w:gutter="0" w:footer="0" w:header="0"/>
        </w:sectPr>
      </w:pPr>
    </w:p>
    <w:bookmarkStart w:id="51" w:name="page52"/>
    <w:bookmarkEnd w:id="51"/>
    <w:p>
      <w:pPr>
        <w:jc w:val="both"/>
        <w:ind w:firstLine="1178"/>
        <w:spacing w:after="0" w:line="264" w:lineRule="auto"/>
        <w:tabs>
          <w:tab w:leader="none" w:pos="1576"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68" w:lineRule="exact"/>
        <w:rPr>
          <w:rFonts w:ascii="Arial" w:cs="Arial" w:eastAsia="Arial" w:hAnsi="Arial"/>
          <w:sz w:val="16"/>
          <w:szCs w:val="16"/>
          <w:b w:val="1"/>
          <w:bCs w:val="1"/>
          <w:color w:val="auto"/>
        </w:rPr>
      </w:pPr>
    </w:p>
    <w:p>
      <w:pPr>
        <w:jc w:val="both"/>
        <w:ind w:firstLine="1178"/>
        <w:spacing w:after="0" w:line="260" w:lineRule="auto"/>
        <w:tabs>
          <w:tab w:leader="none" w:pos="1632"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72" w:lineRule="exact"/>
        <w:rPr>
          <w:rFonts w:ascii="Arial" w:cs="Arial" w:eastAsia="Arial" w:hAnsi="Arial"/>
          <w:sz w:val="16"/>
          <w:szCs w:val="16"/>
          <w:b w:val="1"/>
          <w:bCs w:val="1"/>
          <w:color w:val="auto"/>
        </w:rPr>
      </w:pPr>
    </w:p>
    <w:p>
      <w:pPr>
        <w:jc w:val="both"/>
        <w:ind w:firstLine="1178"/>
        <w:spacing w:after="0" w:line="266" w:lineRule="auto"/>
        <w:tabs>
          <w:tab w:leader="none" w:pos="155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68"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68"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5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6.03</w:t>
      </w:r>
      <w:r>
        <w:rPr>
          <w:sz w:val="20"/>
          <w:szCs w:val="20"/>
          <w:color w:val="auto"/>
        </w:rPr>
        <w:tab/>
      </w:r>
      <w:r>
        <w:rPr>
          <w:rFonts w:ascii="Arial" w:cs="Arial" w:eastAsia="Arial" w:hAnsi="Arial"/>
          <w:sz w:val="14"/>
          <w:szCs w:val="14"/>
          <w:b w:val="1"/>
          <w:bCs w:val="1"/>
          <w:color w:val="0000FF"/>
        </w:rPr>
        <w:t>Application of Moneys Collected</w:t>
      </w:r>
    </w:p>
    <w:p>
      <w:pPr>
        <w:spacing w:after="0" w:line="213"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To the payment of costs and expenses of collection and of all amounts payable to the Trustee under Section 7.06;</w:t>
      </w:r>
    </w:p>
    <w:p>
      <w:pPr>
        <w:spacing w:after="0" w:line="209"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THIRD: To the payment of the remainder, if any, to the Company or any other Person lawfully entitled thereto.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82" w:right="239" w:bottom="1440" w:gutter="0" w:footer="0" w:header="0"/>
        </w:sectPr>
      </w:pPr>
    </w:p>
    <w:bookmarkStart w:id="52" w:name="page53"/>
    <w:bookmarkEnd w:id="52"/>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6.04</w:t>
      </w:r>
      <w:r>
        <w:rPr>
          <w:sz w:val="20"/>
          <w:szCs w:val="20"/>
          <w:color w:val="auto"/>
        </w:rPr>
        <w:tab/>
      </w:r>
      <w:r>
        <w:rPr>
          <w:rFonts w:ascii="Arial" w:cs="Arial" w:eastAsia="Arial" w:hAnsi="Arial"/>
          <w:sz w:val="15"/>
          <w:szCs w:val="15"/>
          <w:b w:val="1"/>
          <w:bCs w:val="1"/>
          <w:color w:val="0000FF"/>
        </w:rPr>
        <w:t>Limitation on Suits</w:t>
      </w:r>
    </w:p>
    <w:p>
      <w:pPr>
        <w:spacing w:after="0" w:line="213" w:lineRule="exact"/>
        <w:rPr>
          <w:sz w:val="20"/>
          <w:szCs w:val="20"/>
          <w:color w:val="auto"/>
        </w:rPr>
      </w:pPr>
    </w:p>
    <w:p>
      <w:pPr>
        <w:jc w:val="both"/>
        <w:ind w:firstLine="590"/>
        <w:spacing w:after="0" w:line="280" w:lineRule="auto"/>
        <w:rPr>
          <w:sz w:val="20"/>
          <w:szCs w:val="20"/>
          <w:color w:val="auto"/>
        </w:rPr>
      </w:pPr>
      <w:r>
        <w:rPr>
          <w:rFonts w:ascii="Arial" w:cs="Arial" w:eastAsia="Arial" w:hAnsi="Arial"/>
          <w:sz w:val="15"/>
          <w:szCs w:val="15"/>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60" w:lineRule="exact"/>
        <w:rPr>
          <w:sz w:val="20"/>
          <w:szCs w:val="20"/>
          <w:color w:val="auto"/>
        </w:rPr>
      </w:pPr>
    </w:p>
    <w:p>
      <w:pPr>
        <w:jc w:val="both"/>
        <w:ind w:firstLine="590"/>
        <w:spacing w:after="0" w:line="279" w:lineRule="auto"/>
        <w:rPr>
          <w:sz w:val="20"/>
          <w:szCs w:val="20"/>
          <w:color w:val="auto"/>
        </w:rPr>
      </w:pPr>
      <w:r>
        <w:rPr>
          <w:rFonts w:ascii="Arial" w:cs="Arial" w:eastAsia="Arial" w:hAnsi="Arial"/>
          <w:sz w:val="15"/>
          <w:szCs w:val="15"/>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58"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6.05</w:t>
      </w:r>
      <w:r>
        <w:rPr>
          <w:sz w:val="20"/>
          <w:szCs w:val="20"/>
          <w:color w:val="auto"/>
        </w:rPr>
        <w:tab/>
      </w:r>
      <w:r>
        <w:rPr>
          <w:rFonts w:ascii="Arial" w:cs="Arial" w:eastAsia="Arial" w:hAnsi="Arial"/>
          <w:sz w:val="14"/>
          <w:szCs w:val="14"/>
          <w:b w:val="1"/>
          <w:bCs w:val="1"/>
          <w:color w:val="0000FF"/>
        </w:rPr>
        <w:t>Rights and Remedies Cumulative; Delay or Omission Not Waiver</w:t>
      </w:r>
    </w:p>
    <w:p>
      <w:pPr>
        <w:spacing w:after="0" w:line="213" w:lineRule="exact"/>
        <w:rPr>
          <w:sz w:val="20"/>
          <w:szCs w:val="20"/>
          <w:color w:val="auto"/>
        </w:rPr>
      </w:pPr>
    </w:p>
    <w:p>
      <w:pPr>
        <w:jc w:val="both"/>
        <w:ind w:firstLine="1178"/>
        <w:spacing w:after="0" w:line="328" w:lineRule="auto"/>
        <w:tabs>
          <w:tab w:leader="none" w:pos="1540" w:val="left"/>
        </w:tabs>
        <w:numPr>
          <w:ilvl w:val="0"/>
          <w:numId w:val="62"/>
        </w:numPr>
        <w:rPr>
          <w:rFonts w:ascii="Arial" w:cs="Arial" w:eastAsia="Arial" w:hAnsi="Arial"/>
          <w:sz w:val="14"/>
          <w:szCs w:val="14"/>
          <w:b w:val="1"/>
          <w:bCs w:val="1"/>
          <w:color w:val="auto"/>
        </w:rPr>
      </w:pPr>
      <w:r>
        <w:rPr>
          <w:rFonts w:ascii="Arial" w:cs="Arial" w:eastAsia="Arial" w:hAnsi="Arial"/>
          <w:sz w:val="14"/>
          <w:szCs w:val="14"/>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26" w:lineRule="exact"/>
        <w:rPr>
          <w:rFonts w:ascii="Arial" w:cs="Arial" w:eastAsia="Arial" w:hAnsi="Arial"/>
          <w:sz w:val="14"/>
          <w:szCs w:val="14"/>
          <w:b w:val="1"/>
          <w:bCs w:val="1"/>
          <w:color w:val="auto"/>
        </w:rPr>
      </w:pPr>
    </w:p>
    <w:p>
      <w:pPr>
        <w:jc w:val="both"/>
        <w:ind w:firstLine="1178"/>
        <w:spacing w:after="0" w:line="266" w:lineRule="auto"/>
        <w:tabs>
          <w:tab w:leader="none" w:pos="1607"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6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6.06</w:t>
      </w:r>
      <w:r>
        <w:rPr>
          <w:sz w:val="20"/>
          <w:szCs w:val="20"/>
          <w:color w:val="auto"/>
        </w:rPr>
        <w:tab/>
      </w:r>
      <w:r>
        <w:rPr>
          <w:rFonts w:ascii="Arial" w:cs="Arial" w:eastAsia="Arial" w:hAnsi="Arial"/>
          <w:sz w:val="14"/>
          <w:szCs w:val="14"/>
          <w:b w:val="1"/>
          <w:bCs w:val="1"/>
          <w:color w:val="0000FF"/>
        </w:rPr>
        <w:t>Control by Securityholders</w:t>
      </w:r>
    </w:p>
    <w:p>
      <w:pPr>
        <w:spacing w:after="0" w:line="213" w:lineRule="exact"/>
        <w:rPr>
          <w:sz w:val="20"/>
          <w:szCs w:val="20"/>
          <w:color w:val="auto"/>
        </w:rPr>
      </w:pPr>
    </w:p>
    <w:p>
      <w:pPr>
        <w:jc w:val="both"/>
        <w:ind w:firstLine="590"/>
        <w:spacing w:after="0" w:line="277" w:lineRule="auto"/>
        <w:rPr>
          <w:sz w:val="20"/>
          <w:szCs w:val="20"/>
          <w:color w:val="auto"/>
        </w:rPr>
      </w:pPr>
      <w:r>
        <w:rPr>
          <w:rFonts w:ascii="Arial" w:cs="Arial" w:eastAsia="Arial" w:hAnsi="Arial"/>
          <w:sz w:val="15"/>
          <w:szCs w:val="15"/>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78" w:right="239" w:bottom="1440" w:gutter="0" w:footer="0" w:header="0"/>
        </w:sectPr>
      </w:pPr>
    </w:p>
    <w:bookmarkStart w:id="53" w:name="page54"/>
    <w:bookmarkEnd w:id="53"/>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6.07</w:t>
      </w:r>
      <w:r>
        <w:rPr>
          <w:sz w:val="20"/>
          <w:szCs w:val="20"/>
          <w:color w:val="auto"/>
        </w:rPr>
        <w:tab/>
      </w:r>
      <w:r>
        <w:rPr>
          <w:rFonts w:ascii="Arial" w:cs="Arial" w:eastAsia="Arial" w:hAnsi="Arial"/>
          <w:sz w:val="14"/>
          <w:szCs w:val="14"/>
          <w:b w:val="1"/>
          <w:bCs w:val="1"/>
          <w:color w:val="0000FF"/>
        </w:rPr>
        <w:t>Undertaking to Pay Costs</w:t>
      </w:r>
    </w:p>
    <w:p>
      <w:pPr>
        <w:spacing w:after="0" w:line="213" w:lineRule="exact"/>
        <w:rPr>
          <w:sz w:val="20"/>
          <w:szCs w:val="20"/>
          <w:color w:val="auto"/>
        </w:rPr>
      </w:pPr>
    </w:p>
    <w:p>
      <w:pPr>
        <w:jc w:val="both"/>
        <w:ind w:firstLine="590"/>
        <w:spacing w:after="0" w:line="261"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65"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ARTICLE 7</w:t>
      </w: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0000FF"/>
        </w:rPr>
        <w:t>CONCERNING THE TRUSTEE</w:t>
      </w:r>
    </w:p>
    <w:p>
      <w:pPr>
        <w:spacing w:after="0" w:line="20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7.01</w:t>
      </w:r>
      <w:r>
        <w:rPr>
          <w:sz w:val="20"/>
          <w:szCs w:val="20"/>
          <w:color w:val="auto"/>
        </w:rPr>
        <w:tab/>
      </w:r>
      <w:r>
        <w:rPr>
          <w:rFonts w:ascii="Arial" w:cs="Arial" w:eastAsia="Arial" w:hAnsi="Arial"/>
          <w:sz w:val="14"/>
          <w:szCs w:val="14"/>
          <w:b w:val="1"/>
          <w:bCs w:val="1"/>
          <w:color w:val="0000FF"/>
        </w:rPr>
        <w:t>Certain Duties and Responsibilities of Trustee</w:t>
      </w:r>
    </w:p>
    <w:p>
      <w:pPr>
        <w:spacing w:after="0" w:line="213" w:lineRule="exact"/>
        <w:rPr>
          <w:sz w:val="20"/>
          <w:szCs w:val="20"/>
          <w:color w:val="auto"/>
        </w:rPr>
      </w:pPr>
    </w:p>
    <w:p>
      <w:pPr>
        <w:jc w:val="both"/>
        <w:ind w:firstLine="1178"/>
        <w:spacing w:after="0" w:line="310" w:lineRule="auto"/>
        <w:tabs>
          <w:tab w:leader="none" w:pos="1553" w:val="left"/>
        </w:tabs>
        <w:numPr>
          <w:ilvl w:val="0"/>
          <w:numId w:val="63"/>
        </w:numPr>
        <w:rPr>
          <w:rFonts w:ascii="Arial" w:cs="Arial" w:eastAsia="Arial" w:hAnsi="Arial"/>
          <w:sz w:val="14"/>
          <w:szCs w:val="14"/>
          <w:b w:val="1"/>
          <w:bCs w:val="1"/>
          <w:color w:val="auto"/>
        </w:rPr>
      </w:pPr>
      <w:r>
        <w:rPr>
          <w:rFonts w:ascii="Arial" w:cs="Arial" w:eastAsia="Arial" w:hAnsi="Arial"/>
          <w:sz w:val="14"/>
          <w:szCs w:val="14"/>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40" w:lineRule="exact"/>
        <w:rPr>
          <w:rFonts w:ascii="Arial" w:cs="Arial" w:eastAsia="Arial" w:hAnsi="Arial"/>
          <w:sz w:val="14"/>
          <w:szCs w:val="14"/>
          <w:b w:val="1"/>
          <w:bCs w:val="1"/>
          <w:color w:val="auto"/>
        </w:rPr>
      </w:pPr>
    </w:p>
    <w:p>
      <w:pPr>
        <w:ind w:firstLine="1178"/>
        <w:spacing w:after="0" w:line="287" w:lineRule="auto"/>
        <w:tabs>
          <w:tab w:leader="none" w:pos="1544"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No provision of this Indenture shall be construed to relieve the Trustee from liability for its own negligent action, its own negligent failure to act, or its own willful misconduct, except that:</w:t>
      </w:r>
    </w:p>
    <w:p>
      <w:pPr>
        <w:spacing w:after="0" w:line="150" w:lineRule="exact"/>
        <w:rPr>
          <w:sz w:val="20"/>
          <w:szCs w:val="20"/>
          <w:color w:val="auto"/>
        </w:rPr>
      </w:pPr>
    </w:p>
    <w:p>
      <w:pPr>
        <w:ind w:firstLine="1178"/>
        <w:spacing w:after="0" w:line="287" w:lineRule="auto"/>
        <w:tabs>
          <w:tab w:leader="none" w:pos="1537"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prior to the occurrence of an Event of Default with respect to the Securities of a series and after the curing or waiving of all such Events of Default with respect to that series that may have occurred:</w:t>
      </w:r>
    </w:p>
    <w:p>
      <w:pPr>
        <w:spacing w:after="0" w:line="149" w:lineRule="exact"/>
        <w:rPr>
          <w:rFonts w:ascii="Arial" w:cs="Arial" w:eastAsia="Arial" w:hAnsi="Arial"/>
          <w:sz w:val="16"/>
          <w:szCs w:val="16"/>
          <w:b w:val="1"/>
          <w:bCs w:val="1"/>
          <w:color w:val="auto"/>
        </w:rPr>
      </w:pPr>
    </w:p>
    <w:p>
      <w:pPr>
        <w:jc w:val="both"/>
        <w:ind w:firstLine="1768"/>
        <w:spacing w:after="0" w:line="272" w:lineRule="auto"/>
        <w:tabs>
          <w:tab w:leader="none" w:pos="2181"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61" w:lineRule="exact"/>
        <w:rPr>
          <w:rFonts w:ascii="Arial" w:cs="Arial" w:eastAsia="Arial" w:hAnsi="Arial"/>
          <w:sz w:val="16"/>
          <w:szCs w:val="16"/>
          <w:b w:val="1"/>
          <w:bCs w:val="1"/>
          <w:color w:val="auto"/>
        </w:rPr>
      </w:pPr>
    </w:p>
    <w:p>
      <w:pPr>
        <w:jc w:val="both"/>
        <w:ind w:firstLine="1768"/>
        <w:spacing w:after="0" w:line="266" w:lineRule="auto"/>
        <w:tabs>
          <w:tab w:leader="none" w:pos="2163"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67" w:lineRule="exact"/>
        <w:rPr>
          <w:rFonts w:ascii="Arial" w:cs="Arial" w:eastAsia="Arial" w:hAnsi="Arial"/>
          <w:sz w:val="16"/>
          <w:szCs w:val="16"/>
          <w:b w:val="1"/>
          <w:bCs w:val="1"/>
          <w:color w:val="auto"/>
        </w:rPr>
      </w:pPr>
    </w:p>
    <w:p>
      <w:pPr>
        <w:ind w:firstLine="1178"/>
        <w:spacing w:after="0" w:line="287" w:lineRule="auto"/>
        <w:tabs>
          <w:tab w:leader="none" w:pos="1568"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spacing w:after="0" w:line="149" w:lineRule="exact"/>
        <w:rPr>
          <w:rFonts w:ascii="Arial" w:cs="Arial" w:eastAsia="Arial" w:hAnsi="Arial"/>
          <w:sz w:val="16"/>
          <w:szCs w:val="16"/>
          <w:b w:val="1"/>
          <w:bCs w:val="1"/>
          <w:color w:val="auto"/>
        </w:rPr>
      </w:pPr>
    </w:p>
    <w:p>
      <w:pPr>
        <w:jc w:val="both"/>
        <w:ind w:firstLine="1178"/>
        <w:spacing w:after="0" w:line="328" w:lineRule="auto"/>
        <w:tabs>
          <w:tab w:leader="none" w:pos="1591" w:val="left"/>
        </w:tabs>
        <w:numPr>
          <w:ilvl w:val="0"/>
          <w:numId w:val="64"/>
        </w:numPr>
        <w:rPr>
          <w:rFonts w:ascii="Arial" w:cs="Arial" w:eastAsia="Arial" w:hAnsi="Arial"/>
          <w:sz w:val="14"/>
          <w:szCs w:val="14"/>
          <w:b w:val="1"/>
          <w:bCs w:val="1"/>
          <w:color w:val="auto"/>
        </w:rPr>
      </w:pPr>
      <w:r>
        <w:rPr>
          <w:rFonts w:ascii="Arial" w:cs="Arial" w:eastAsia="Arial" w:hAnsi="Arial"/>
          <w:sz w:val="14"/>
          <w:szCs w:val="14"/>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26" w:lineRule="exact"/>
        <w:rPr>
          <w:rFonts w:ascii="Arial" w:cs="Arial" w:eastAsia="Arial" w:hAnsi="Arial"/>
          <w:sz w:val="14"/>
          <w:szCs w:val="14"/>
          <w:b w:val="1"/>
          <w:bCs w:val="1"/>
          <w:color w:val="auto"/>
        </w:rPr>
      </w:pPr>
    </w:p>
    <w:p>
      <w:pPr>
        <w:jc w:val="both"/>
        <w:ind w:firstLine="1178"/>
        <w:spacing w:after="0" w:line="298" w:lineRule="auto"/>
        <w:tabs>
          <w:tab w:leader="none" w:pos="1648" w:val="left"/>
        </w:tabs>
        <w:numPr>
          <w:ilvl w:val="0"/>
          <w:numId w:val="64"/>
        </w:numPr>
        <w:rPr>
          <w:rFonts w:ascii="Arial" w:cs="Arial" w:eastAsia="Arial" w:hAnsi="Arial"/>
          <w:sz w:val="15"/>
          <w:szCs w:val="15"/>
          <w:b w:val="1"/>
          <w:bCs w:val="1"/>
          <w:color w:val="auto"/>
        </w:rPr>
      </w:pPr>
      <w:r>
        <w:rPr>
          <w:rFonts w:ascii="Arial" w:cs="Arial" w:eastAsia="Arial" w:hAnsi="Arial"/>
          <w:sz w:val="15"/>
          <w:szCs w:val="15"/>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44" w:lineRule="exact"/>
        <w:rPr>
          <w:rFonts w:ascii="Arial" w:cs="Arial" w:eastAsia="Arial" w:hAnsi="Arial"/>
          <w:sz w:val="15"/>
          <w:szCs w:val="15"/>
          <w:b w:val="1"/>
          <w:bCs w:val="1"/>
          <w:color w:val="auto"/>
        </w:rPr>
      </w:pPr>
    </w:p>
    <w:p>
      <w:pPr>
        <w:ind w:left="1540" w:hanging="362"/>
        <w:spacing w:after="0"/>
        <w:tabs>
          <w:tab w:leader="none" w:pos="1540"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The Trustee shall not be required to give any bond or surety in respect of the performance of its powers or duties hereunder;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78" w:right="239" w:bottom="1440" w:gutter="0" w:footer="0" w:header="0"/>
        </w:sectPr>
      </w:pPr>
    </w:p>
    <w:bookmarkStart w:id="54" w:name="page55"/>
    <w:bookmarkEnd w:id="54"/>
    <w:p>
      <w:pPr>
        <w:ind w:left="1580" w:hanging="402"/>
        <w:spacing w:after="0"/>
        <w:tabs>
          <w:tab w:leader="none" w:pos="1580"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The permissive right of the Trustee to do things enumerated in this Indenture shall not be construed as a duty of the Trustee; and</w:t>
      </w:r>
    </w:p>
    <w:p>
      <w:pPr>
        <w:spacing w:after="0" w:line="209" w:lineRule="exact"/>
        <w:rPr>
          <w:rFonts w:ascii="Arial" w:cs="Arial" w:eastAsia="Arial" w:hAnsi="Arial"/>
          <w:sz w:val="16"/>
          <w:szCs w:val="16"/>
          <w:b w:val="1"/>
          <w:bCs w:val="1"/>
          <w:color w:val="auto"/>
        </w:rPr>
      </w:pPr>
    </w:p>
    <w:p>
      <w:pPr>
        <w:ind w:left="1720" w:hanging="542"/>
        <w:spacing w:after="0"/>
        <w:tabs>
          <w:tab w:leader="none" w:pos="1720" w:val="left"/>
        </w:tabs>
        <w:numPr>
          <w:ilvl w:val="0"/>
          <w:numId w:val="65"/>
        </w:numPr>
        <w:rPr>
          <w:rFonts w:ascii="Arial" w:cs="Arial" w:eastAsia="Arial" w:hAnsi="Arial"/>
          <w:sz w:val="15"/>
          <w:szCs w:val="15"/>
          <w:b w:val="1"/>
          <w:bCs w:val="1"/>
          <w:color w:val="auto"/>
        </w:rPr>
      </w:pPr>
      <w:r>
        <w:rPr>
          <w:rFonts w:ascii="Arial" w:cs="Arial" w:eastAsia="Arial" w:hAnsi="Arial"/>
          <w:sz w:val="15"/>
          <w:szCs w:val="15"/>
          <w:color w:val="auto"/>
        </w:rPr>
        <w:t>No Trustee shall have any duty or responsibility for any act or omission of any other Trustee appointed with respect to a series of Securities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hereunder.</w:t>
      </w:r>
    </w:p>
    <w:p>
      <w:pPr>
        <w:spacing w:after="0" w:line="19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7.02</w:t>
      </w:r>
      <w:r>
        <w:rPr>
          <w:sz w:val="20"/>
          <w:szCs w:val="20"/>
          <w:color w:val="auto"/>
        </w:rPr>
        <w:tab/>
      </w:r>
      <w:r>
        <w:rPr>
          <w:rFonts w:ascii="Arial" w:cs="Arial" w:eastAsia="Arial" w:hAnsi="Arial"/>
          <w:sz w:val="14"/>
          <w:szCs w:val="14"/>
          <w:b w:val="1"/>
          <w:bCs w:val="1"/>
          <w:color w:val="0000FF"/>
        </w:rPr>
        <w:t>Certain Rights of Trustee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Except as otherwise provided in Section 7.01:</w:t>
      </w:r>
    </w:p>
    <w:p>
      <w:pPr>
        <w:spacing w:after="0" w:line="209" w:lineRule="exact"/>
        <w:rPr>
          <w:sz w:val="20"/>
          <w:szCs w:val="20"/>
          <w:color w:val="auto"/>
        </w:rPr>
      </w:pPr>
    </w:p>
    <w:p>
      <w:pPr>
        <w:jc w:val="both"/>
        <w:ind w:firstLine="1178"/>
        <w:spacing w:after="0" w:line="272" w:lineRule="auto"/>
        <w:tabs>
          <w:tab w:leader="none" w:pos="1575"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61" w:lineRule="exact"/>
        <w:rPr>
          <w:rFonts w:ascii="Arial" w:cs="Arial" w:eastAsia="Arial" w:hAnsi="Arial"/>
          <w:sz w:val="16"/>
          <w:szCs w:val="16"/>
          <w:b w:val="1"/>
          <w:bCs w:val="1"/>
          <w:color w:val="auto"/>
        </w:rPr>
      </w:pPr>
    </w:p>
    <w:p>
      <w:pPr>
        <w:ind w:firstLine="1178"/>
        <w:spacing w:after="0" w:line="323" w:lineRule="auto"/>
        <w:tabs>
          <w:tab w:leader="none" w:pos="1588" w:val="left"/>
        </w:tabs>
        <w:numPr>
          <w:ilvl w:val="0"/>
          <w:numId w:val="66"/>
        </w:numPr>
        <w:rPr>
          <w:rFonts w:ascii="Arial" w:cs="Arial" w:eastAsia="Arial" w:hAnsi="Arial"/>
          <w:sz w:val="15"/>
          <w:szCs w:val="15"/>
          <w:b w:val="1"/>
          <w:bCs w:val="1"/>
          <w:color w:val="auto"/>
        </w:rPr>
      </w:pPr>
      <w:r>
        <w:rPr>
          <w:rFonts w:ascii="Arial" w:cs="Arial" w:eastAsia="Arial" w:hAnsi="Arial"/>
          <w:sz w:val="15"/>
          <w:szCs w:val="15"/>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25" w:lineRule="exact"/>
        <w:rPr>
          <w:rFonts w:ascii="Arial" w:cs="Arial" w:eastAsia="Arial" w:hAnsi="Arial"/>
          <w:sz w:val="15"/>
          <w:szCs w:val="15"/>
          <w:b w:val="1"/>
          <w:bCs w:val="1"/>
          <w:color w:val="auto"/>
        </w:rPr>
      </w:pPr>
    </w:p>
    <w:p>
      <w:pPr>
        <w:ind w:firstLine="1178"/>
        <w:spacing w:after="0" w:line="287" w:lineRule="auto"/>
        <w:tabs>
          <w:tab w:leader="none" w:pos="1573"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spacing w:after="0" w:line="149" w:lineRule="exact"/>
        <w:rPr>
          <w:rFonts w:ascii="Arial" w:cs="Arial" w:eastAsia="Arial" w:hAnsi="Arial"/>
          <w:sz w:val="16"/>
          <w:szCs w:val="16"/>
          <w:b w:val="1"/>
          <w:bCs w:val="1"/>
          <w:color w:val="auto"/>
        </w:rPr>
      </w:pPr>
    </w:p>
    <w:p>
      <w:pPr>
        <w:jc w:val="both"/>
        <w:ind w:firstLine="1178"/>
        <w:spacing w:after="0" w:line="262" w:lineRule="auto"/>
        <w:tabs>
          <w:tab w:leader="none" w:pos="1541"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71" w:lineRule="exact"/>
        <w:rPr>
          <w:rFonts w:ascii="Arial" w:cs="Arial" w:eastAsia="Arial" w:hAnsi="Arial"/>
          <w:sz w:val="16"/>
          <w:szCs w:val="16"/>
          <w:b w:val="1"/>
          <w:bCs w:val="1"/>
          <w:color w:val="auto"/>
        </w:rPr>
      </w:pPr>
    </w:p>
    <w:p>
      <w:pPr>
        <w:ind w:firstLine="1178"/>
        <w:spacing w:after="0" w:line="287" w:lineRule="auto"/>
        <w:tabs>
          <w:tab w:leader="none" w:pos="1524"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The Trustee shall not be liable for any action taken or omitted to be taken by it in good faith and believed by it to be authorized or within the discretion or rights or powers conferred upon it by this Indenture;</w:t>
      </w:r>
    </w:p>
    <w:p>
      <w:pPr>
        <w:spacing w:after="0" w:line="149" w:lineRule="exact"/>
        <w:rPr>
          <w:rFonts w:ascii="Arial" w:cs="Arial" w:eastAsia="Arial" w:hAnsi="Arial"/>
          <w:sz w:val="16"/>
          <w:szCs w:val="16"/>
          <w:b w:val="1"/>
          <w:bCs w:val="1"/>
          <w:color w:val="auto"/>
        </w:rPr>
      </w:pPr>
    </w:p>
    <w:p>
      <w:pPr>
        <w:jc w:val="both"/>
        <w:ind w:firstLine="1178"/>
        <w:spacing w:after="0" w:line="281" w:lineRule="auto"/>
        <w:tabs>
          <w:tab w:leader="none" w:pos="1529" w:val="left"/>
        </w:tabs>
        <w:numPr>
          <w:ilvl w:val="0"/>
          <w:numId w:val="66"/>
        </w:numPr>
        <w:rPr>
          <w:rFonts w:ascii="Arial" w:cs="Arial" w:eastAsia="Arial" w:hAnsi="Arial"/>
          <w:sz w:val="15"/>
          <w:szCs w:val="15"/>
          <w:b w:val="1"/>
          <w:bCs w:val="1"/>
          <w:color w:val="auto"/>
        </w:rPr>
      </w:pPr>
      <w:r>
        <w:rPr>
          <w:rFonts w:ascii="Arial" w:cs="Arial" w:eastAsia="Arial" w:hAnsi="Arial"/>
          <w:sz w:val="15"/>
          <w:szCs w:val="15"/>
          <w:color w:val="auto"/>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159" w:lineRule="exact"/>
        <w:rPr>
          <w:rFonts w:ascii="Arial" w:cs="Arial" w:eastAsia="Arial" w:hAnsi="Arial"/>
          <w:sz w:val="15"/>
          <w:szCs w:val="15"/>
          <w:b w:val="1"/>
          <w:bCs w:val="1"/>
          <w:color w:val="auto"/>
        </w:rPr>
      </w:pPr>
    </w:p>
    <w:p>
      <w:pPr>
        <w:ind w:firstLine="1178"/>
        <w:spacing w:after="0" w:line="323" w:lineRule="auto"/>
        <w:tabs>
          <w:tab w:leader="none" w:pos="1723" w:val="left"/>
        </w:tabs>
        <w:numPr>
          <w:ilvl w:val="0"/>
          <w:numId w:val="66"/>
        </w:numPr>
        <w:rPr>
          <w:rFonts w:ascii="Arial" w:cs="Arial" w:eastAsia="Arial" w:hAnsi="Arial"/>
          <w:sz w:val="15"/>
          <w:szCs w:val="15"/>
          <w:b w:val="1"/>
          <w:bCs w:val="1"/>
          <w:color w:val="auto"/>
        </w:rPr>
      </w:pPr>
      <w:r>
        <w:rPr>
          <w:rFonts w:ascii="Arial" w:cs="Arial" w:eastAsia="Arial" w:hAnsi="Arial"/>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25" w:lineRule="exact"/>
        <w:rPr>
          <w:rFonts w:ascii="Arial" w:cs="Arial" w:eastAsia="Arial" w:hAnsi="Arial"/>
          <w:sz w:val="15"/>
          <w:szCs w:val="15"/>
          <w:b w:val="1"/>
          <w:bCs w:val="1"/>
          <w:color w:val="auto"/>
        </w:rPr>
      </w:pPr>
    </w:p>
    <w:p>
      <w:pPr>
        <w:jc w:val="both"/>
        <w:ind w:firstLine="1178"/>
        <w:spacing w:after="0" w:line="264" w:lineRule="auto"/>
        <w:tabs>
          <w:tab w:leader="none" w:pos="1573"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68" w:lineRule="exact"/>
        <w:rPr>
          <w:rFonts w:ascii="Arial" w:cs="Arial" w:eastAsia="Arial" w:hAnsi="Arial"/>
          <w:sz w:val="16"/>
          <w:szCs w:val="16"/>
          <w:b w:val="1"/>
          <w:bCs w:val="1"/>
          <w:color w:val="auto"/>
        </w:rPr>
      </w:pPr>
    </w:p>
    <w:p>
      <w:pPr>
        <w:ind w:firstLine="1178"/>
        <w:spacing w:after="0" w:line="323" w:lineRule="auto"/>
        <w:tabs>
          <w:tab w:leader="none" w:pos="1515" w:val="left"/>
        </w:tabs>
        <w:numPr>
          <w:ilvl w:val="0"/>
          <w:numId w:val="66"/>
        </w:numPr>
        <w:rPr>
          <w:rFonts w:ascii="Arial" w:cs="Arial" w:eastAsia="Arial" w:hAnsi="Arial"/>
          <w:sz w:val="15"/>
          <w:szCs w:val="15"/>
          <w:b w:val="1"/>
          <w:bCs w:val="1"/>
          <w:color w:val="auto"/>
        </w:rPr>
      </w:pPr>
      <w:r>
        <w:rPr>
          <w:rFonts w:ascii="Arial" w:cs="Arial" w:eastAsia="Arial" w:hAnsi="Arial"/>
          <w:sz w:val="15"/>
          <w:szCs w:val="15"/>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82" w:right="239" w:bottom="1440" w:gutter="0" w:footer="0" w:header="0"/>
        </w:sectPr>
      </w:pPr>
    </w:p>
    <w:bookmarkStart w:id="55" w:name="page56"/>
    <w:bookmarkEnd w:id="55"/>
    <w:p>
      <w:pPr>
        <w:jc w:val="both"/>
        <w:ind w:firstLine="1178"/>
        <w:spacing w:after="0" w:line="279" w:lineRule="auto"/>
        <w:tabs>
          <w:tab w:leader="none" w:pos="1504" w:val="left"/>
        </w:tabs>
        <w:numPr>
          <w:ilvl w:val="0"/>
          <w:numId w:val="67"/>
        </w:numPr>
        <w:rPr>
          <w:rFonts w:ascii="Arial" w:cs="Arial" w:eastAsia="Arial" w:hAnsi="Arial"/>
          <w:sz w:val="15"/>
          <w:szCs w:val="15"/>
          <w:b w:val="1"/>
          <w:bCs w:val="1"/>
          <w:color w:val="auto"/>
        </w:rPr>
      </w:pPr>
      <w:r>
        <w:rPr>
          <w:rFonts w:ascii="Arial" w:cs="Arial" w:eastAsia="Arial" w:hAnsi="Arial"/>
          <w:sz w:val="15"/>
          <w:szCs w:val="15"/>
          <w:color w:val="auto"/>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162" w:lineRule="exact"/>
        <w:rPr>
          <w:rFonts w:ascii="Arial" w:cs="Arial" w:eastAsia="Arial" w:hAnsi="Arial"/>
          <w:sz w:val="15"/>
          <w:szCs w:val="15"/>
          <w:b w:val="1"/>
          <w:bCs w:val="1"/>
          <w:color w:val="auto"/>
        </w:rPr>
      </w:pPr>
    </w:p>
    <w:p>
      <w:pPr>
        <w:jc w:val="both"/>
        <w:ind w:firstLine="1178"/>
        <w:spacing w:after="0" w:line="272" w:lineRule="auto"/>
        <w:tabs>
          <w:tab w:leader="none" w:pos="1545"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w:t>
      </w:r>
    </w:p>
    <w:p>
      <w:pPr>
        <w:spacing w:after="0" w:line="161" w:lineRule="exact"/>
        <w:rPr>
          <w:rFonts w:ascii="Arial" w:cs="Arial" w:eastAsia="Arial" w:hAnsi="Arial"/>
          <w:sz w:val="16"/>
          <w:szCs w:val="16"/>
          <w:b w:val="1"/>
          <w:bCs w:val="1"/>
          <w:color w:val="auto"/>
        </w:rPr>
      </w:pPr>
    </w:p>
    <w:p>
      <w:pPr>
        <w:jc w:val="both"/>
        <w:ind w:firstLine="1178"/>
        <w:spacing w:after="0" w:line="272" w:lineRule="auto"/>
        <w:tabs>
          <w:tab w:leader="none" w:pos="1518"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The Trustee shall not be deemed to have knowledge of any Default or Event of Default (other than an Event of Default constituting the failure to pay the interest on, or the principal of, the Securities if the Trustee also serves the paying agent for such Securities) until the Trustee shall have received written notification in the manner set forth in this Indenture or a Responsible Officer of the Trustee shall have obtained actual knowledge.</w:t>
      </w:r>
    </w:p>
    <w:p>
      <w:pPr>
        <w:spacing w:after="0" w:line="15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7.03</w:t>
      </w:r>
      <w:r>
        <w:rPr>
          <w:sz w:val="20"/>
          <w:szCs w:val="20"/>
          <w:color w:val="auto"/>
        </w:rPr>
        <w:tab/>
      </w:r>
      <w:r>
        <w:rPr>
          <w:rFonts w:ascii="Arial" w:cs="Arial" w:eastAsia="Arial" w:hAnsi="Arial"/>
          <w:sz w:val="14"/>
          <w:szCs w:val="14"/>
          <w:b w:val="1"/>
          <w:bCs w:val="1"/>
          <w:color w:val="0000FF"/>
        </w:rPr>
        <w:t>Trustee Not Responsible for Recitals or Issuance or Securities</w:t>
      </w:r>
    </w:p>
    <w:p>
      <w:pPr>
        <w:spacing w:after="0" w:line="213" w:lineRule="exact"/>
        <w:rPr>
          <w:sz w:val="20"/>
          <w:szCs w:val="20"/>
          <w:color w:val="auto"/>
        </w:rPr>
      </w:pPr>
    </w:p>
    <w:p>
      <w:pPr>
        <w:jc w:val="both"/>
        <w:ind w:firstLine="1178"/>
        <w:spacing w:after="0" w:line="298" w:lineRule="auto"/>
        <w:tabs>
          <w:tab w:leader="none" w:pos="1555" w:val="left"/>
        </w:tabs>
        <w:numPr>
          <w:ilvl w:val="0"/>
          <w:numId w:val="68"/>
        </w:numPr>
        <w:rPr>
          <w:rFonts w:ascii="Arial" w:cs="Arial" w:eastAsia="Arial" w:hAnsi="Arial"/>
          <w:sz w:val="15"/>
          <w:szCs w:val="15"/>
          <w:b w:val="1"/>
          <w:bCs w:val="1"/>
          <w:color w:val="auto"/>
        </w:rPr>
      </w:pPr>
      <w:r>
        <w:rPr>
          <w:rFonts w:ascii="Arial" w:cs="Arial" w:eastAsia="Arial" w:hAnsi="Arial"/>
          <w:sz w:val="15"/>
          <w:szCs w:val="15"/>
          <w:color w:val="auto"/>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44" w:lineRule="exact"/>
        <w:rPr>
          <w:rFonts w:ascii="Arial" w:cs="Arial" w:eastAsia="Arial" w:hAnsi="Arial"/>
          <w:sz w:val="15"/>
          <w:szCs w:val="15"/>
          <w:b w:val="1"/>
          <w:bCs w:val="1"/>
          <w:color w:val="auto"/>
        </w:rPr>
      </w:pPr>
    </w:p>
    <w:p>
      <w:pPr>
        <w:ind w:left="1540" w:hanging="362"/>
        <w:spacing w:after="0"/>
        <w:tabs>
          <w:tab w:leader="none" w:pos="1540"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The Trustee makes no representations as to the validity or sufficiency of this Indenture or of the Securities.</w:t>
      </w:r>
    </w:p>
    <w:p>
      <w:pPr>
        <w:spacing w:after="0" w:line="209" w:lineRule="exact"/>
        <w:rPr>
          <w:rFonts w:ascii="Arial" w:cs="Arial" w:eastAsia="Arial" w:hAnsi="Arial"/>
          <w:sz w:val="16"/>
          <w:szCs w:val="16"/>
          <w:b w:val="1"/>
          <w:bCs w:val="1"/>
          <w:color w:val="auto"/>
        </w:rPr>
      </w:pPr>
    </w:p>
    <w:p>
      <w:pPr>
        <w:jc w:val="both"/>
        <w:ind w:firstLine="1178"/>
        <w:spacing w:after="0" w:line="272" w:lineRule="auto"/>
        <w:tabs>
          <w:tab w:leader="none" w:pos="1526"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5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7.04</w:t>
      </w:r>
      <w:r>
        <w:rPr>
          <w:sz w:val="20"/>
          <w:szCs w:val="20"/>
          <w:color w:val="auto"/>
        </w:rPr>
        <w:tab/>
      </w:r>
      <w:r>
        <w:rPr>
          <w:rFonts w:ascii="Arial" w:cs="Arial" w:eastAsia="Arial" w:hAnsi="Arial"/>
          <w:sz w:val="15"/>
          <w:szCs w:val="15"/>
          <w:b w:val="1"/>
          <w:bCs w:val="1"/>
          <w:color w:val="0000FF"/>
        </w:rPr>
        <w:t>May Hold Securities</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4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7.05</w:t>
      </w:r>
      <w:r>
        <w:rPr>
          <w:sz w:val="20"/>
          <w:szCs w:val="20"/>
          <w:color w:val="auto"/>
        </w:rPr>
        <w:tab/>
      </w:r>
      <w:r>
        <w:rPr>
          <w:rFonts w:ascii="Arial" w:cs="Arial" w:eastAsia="Arial" w:hAnsi="Arial"/>
          <w:sz w:val="15"/>
          <w:szCs w:val="15"/>
          <w:b w:val="1"/>
          <w:bCs w:val="1"/>
          <w:color w:val="0000FF"/>
        </w:rPr>
        <w:t>Moneys Held in Trust</w:t>
      </w:r>
    </w:p>
    <w:p>
      <w:pPr>
        <w:spacing w:after="0" w:line="213"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5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7.06</w:t>
      </w:r>
      <w:r>
        <w:rPr>
          <w:sz w:val="20"/>
          <w:szCs w:val="20"/>
          <w:color w:val="auto"/>
        </w:rPr>
        <w:tab/>
      </w:r>
      <w:r>
        <w:rPr>
          <w:rFonts w:ascii="Arial" w:cs="Arial" w:eastAsia="Arial" w:hAnsi="Arial"/>
          <w:sz w:val="14"/>
          <w:szCs w:val="14"/>
          <w:b w:val="1"/>
          <w:bCs w:val="1"/>
          <w:color w:val="0000FF"/>
        </w:rPr>
        <w:t>Compensation and Reimbursement</w:t>
      </w:r>
    </w:p>
    <w:p>
      <w:pPr>
        <w:spacing w:after="0" w:line="213" w:lineRule="exact"/>
        <w:rPr>
          <w:sz w:val="20"/>
          <w:szCs w:val="20"/>
          <w:color w:val="auto"/>
        </w:rPr>
      </w:pPr>
    </w:p>
    <w:p>
      <w:pPr>
        <w:jc w:val="both"/>
        <w:ind w:firstLine="1178"/>
        <w:spacing w:after="0" w:line="266" w:lineRule="auto"/>
        <w:tabs>
          <w:tab w:leader="none" w:pos="1612"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82" w:right="239" w:bottom="1440" w:gutter="0" w:footer="0" w:header="0"/>
        </w:sectPr>
      </w:pPr>
    </w:p>
    <w:bookmarkStart w:id="56" w:name="page57"/>
    <w:bookmarkEnd w:id="56"/>
    <w:p>
      <w:pPr>
        <w:jc w:val="both"/>
        <w:ind w:firstLine="1178"/>
        <w:spacing w:after="0" w:line="283" w:lineRule="auto"/>
        <w:tabs>
          <w:tab w:leader="none" w:pos="1612" w:val="left"/>
        </w:tabs>
        <w:numPr>
          <w:ilvl w:val="0"/>
          <w:numId w:val="70"/>
        </w:numPr>
        <w:rPr>
          <w:rFonts w:ascii="Arial" w:cs="Arial" w:eastAsia="Arial" w:hAnsi="Arial"/>
          <w:sz w:val="15"/>
          <w:szCs w:val="15"/>
          <w:b w:val="1"/>
          <w:bCs w:val="1"/>
          <w:color w:val="auto"/>
        </w:rPr>
      </w:pPr>
      <w:r>
        <w:rPr>
          <w:rFonts w:ascii="Arial" w:cs="Arial" w:eastAsia="Arial" w:hAnsi="Arial"/>
          <w:sz w:val="15"/>
          <w:szCs w:val="15"/>
          <w:color w:val="auto"/>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56" w:lineRule="exact"/>
        <w:rPr>
          <w:rFonts w:ascii="Arial" w:cs="Arial" w:eastAsia="Arial" w:hAnsi="Arial"/>
          <w:sz w:val="15"/>
          <w:szCs w:val="15"/>
          <w:b w:val="1"/>
          <w:bCs w:val="1"/>
          <w:color w:val="auto"/>
        </w:rPr>
      </w:pPr>
    </w:p>
    <w:p>
      <w:pPr>
        <w:ind w:firstLine="1178"/>
        <w:spacing w:after="0" w:line="287" w:lineRule="auto"/>
        <w:tabs>
          <w:tab w:leader="none" w:pos="1537"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The Company need not reimburse any expense or indemnify against any loss or liability incurred by the Trustee or by any officer, director, employee, shareholder or agent of the Trustee through negligence or bad faith.</w:t>
      </w:r>
    </w:p>
    <w:p>
      <w:pPr>
        <w:spacing w:after="0" w:line="149" w:lineRule="exact"/>
        <w:rPr>
          <w:rFonts w:ascii="Arial" w:cs="Arial" w:eastAsia="Arial" w:hAnsi="Arial"/>
          <w:sz w:val="16"/>
          <w:szCs w:val="16"/>
          <w:b w:val="1"/>
          <w:bCs w:val="1"/>
          <w:color w:val="auto"/>
        </w:rPr>
      </w:pPr>
    </w:p>
    <w:p>
      <w:pPr>
        <w:jc w:val="both"/>
        <w:ind w:firstLine="1178"/>
        <w:spacing w:after="0" w:line="264" w:lineRule="auto"/>
        <w:tabs>
          <w:tab w:leader="none" w:pos="1597"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6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7.07</w:t>
      </w:r>
      <w:r>
        <w:rPr>
          <w:sz w:val="20"/>
          <w:szCs w:val="20"/>
          <w:color w:val="auto"/>
        </w:rPr>
        <w:tab/>
      </w:r>
      <w:r>
        <w:rPr>
          <w:rFonts w:ascii="Arial" w:cs="Arial" w:eastAsia="Arial" w:hAnsi="Arial"/>
          <w:sz w:val="14"/>
          <w:szCs w:val="14"/>
          <w:b w:val="1"/>
          <w:bCs w:val="1"/>
          <w:color w:val="0000FF"/>
        </w:rPr>
        <w:t>Reliance on Officer’s Certificate</w:t>
      </w:r>
    </w:p>
    <w:p>
      <w:pPr>
        <w:spacing w:after="0" w:line="213" w:lineRule="exact"/>
        <w:rPr>
          <w:sz w:val="20"/>
          <w:szCs w:val="20"/>
          <w:color w:val="auto"/>
        </w:rPr>
      </w:pPr>
    </w:p>
    <w:p>
      <w:pPr>
        <w:jc w:val="both"/>
        <w:ind w:firstLine="590"/>
        <w:spacing w:after="0" w:line="286" w:lineRule="auto"/>
        <w:rPr>
          <w:sz w:val="20"/>
          <w:szCs w:val="20"/>
          <w:color w:val="auto"/>
        </w:rPr>
      </w:pPr>
      <w:r>
        <w:rPr>
          <w:rFonts w:ascii="Arial" w:cs="Arial" w:eastAsia="Arial" w:hAnsi="Arial"/>
          <w:sz w:val="15"/>
          <w:szCs w:val="15"/>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48"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7.08</w:t>
      </w:r>
      <w:r>
        <w:rPr>
          <w:sz w:val="20"/>
          <w:szCs w:val="20"/>
          <w:color w:val="auto"/>
        </w:rPr>
        <w:tab/>
      </w:r>
      <w:r>
        <w:rPr>
          <w:rFonts w:ascii="Arial" w:cs="Arial" w:eastAsia="Arial" w:hAnsi="Arial"/>
          <w:sz w:val="14"/>
          <w:szCs w:val="14"/>
          <w:b w:val="1"/>
          <w:bCs w:val="1"/>
          <w:color w:val="0000FF"/>
        </w:rPr>
        <w:t>Disqualification; Conflicting Interests</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4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7.09</w:t>
      </w:r>
      <w:r>
        <w:rPr>
          <w:sz w:val="20"/>
          <w:szCs w:val="20"/>
          <w:color w:val="auto"/>
        </w:rPr>
        <w:tab/>
      </w:r>
      <w:r>
        <w:rPr>
          <w:rFonts w:ascii="Arial" w:cs="Arial" w:eastAsia="Arial" w:hAnsi="Arial"/>
          <w:sz w:val="15"/>
          <w:szCs w:val="15"/>
          <w:b w:val="1"/>
          <w:bCs w:val="1"/>
          <w:color w:val="0000FF"/>
        </w:rPr>
        <w:t>Corporate Trustee Required; Eligibility</w:t>
      </w:r>
    </w:p>
    <w:p>
      <w:pPr>
        <w:spacing w:after="0" w:line="213"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8"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6"/>
          <w:szCs w:val="16"/>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6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7.10</w:t>
      </w:r>
      <w:r>
        <w:rPr>
          <w:sz w:val="20"/>
          <w:szCs w:val="20"/>
          <w:color w:val="auto"/>
        </w:rPr>
        <w:tab/>
      </w:r>
      <w:r>
        <w:rPr>
          <w:rFonts w:ascii="Arial" w:cs="Arial" w:eastAsia="Arial" w:hAnsi="Arial"/>
          <w:sz w:val="14"/>
          <w:szCs w:val="14"/>
          <w:b w:val="1"/>
          <w:bCs w:val="1"/>
          <w:color w:val="0000FF"/>
        </w:rPr>
        <w:t>Resignation and Removal; Appointment of Successor</w:t>
      </w:r>
    </w:p>
    <w:p>
      <w:pPr>
        <w:spacing w:after="0" w:line="213" w:lineRule="exact"/>
        <w:rPr>
          <w:sz w:val="20"/>
          <w:szCs w:val="20"/>
          <w:color w:val="auto"/>
        </w:rPr>
      </w:pPr>
    </w:p>
    <w:p>
      <w:pPr>
        <w:jc w:val="both"/>
        <w:ind w:firstLine="1178"/>
        <w:spacing w:after="0" w:line="261" w:lineRule="auto"/>
        <w:tabs>
          <w:tab w:leader="none" w:pos="1555"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582" w:right="239" w:bottom="1440" w:gutter="0" w:footer="0" w:header="0"/>
        </w:sectPr>
      </w:pPr>
    </w:p>
    <w:bookmarkStart w:id="57" w:name="page58"/>
    <w:bookmarkEnd w:id="57"/>
    <w:p>
      <w:pPr>
        <w:ind w:left="1540" w:hanging="362"/>
        <w:spacing w:after="0"/>
        <w:tabs>
          <w:tab w:leader="none" w:pos="154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In case at any time any one of the following shall occur:</w:t>
      </w:r>
    </w:p>
    <w:p>
      <w:pPr>
        <w:spacing w:after="0" w:line="209" w:lineRule="exact"/>
        <w:rPr>
          <w:rFonts w:ascii="Arial" w:cs="Arial" w:eastAsia="Arial" w:hAnsi="Arial"/>
          <w:sz w:val="16"/>
          <w:szCs w:val="16"/>
          <w:b w:val="1"/>
          <w:bCs w:val="1"/>
          <w:color w:val="auto"/>
        </w:rPr>
      </w:pPr>
    </w:p>
    <w:p>
      <w:pPr>
        <w:ind w:firstLine="1768"/>
        <w:spacing w:after="0" w:line="287" w:lineRule="auto"/>
        <w:tabs>
          <w:tab w:leader="none" w:pos="2128" w:val="left"/>
        </w:tabs>
        <w:numPr>
          <w:ilvl w:val="1"/>
          <w:numId w:val="72"/>
        </w:numPr>
        <w:rPr>
          <w:rFonts w:ascii="Arial" w:cs="Arial" w:eastAsia="Arial" w:hAnsi="Arial"/>
          <w:sz w:val="16"/>
          <w:szCs w:val="16"/>
          <w:b w:val="1"/>
          <w:bCs w:val="1"/>
          <w:color w:val="auto"/>
        </w:rPr>
      </w:pPr>
      <w:r>
        <w:rPr>
          <w:rFonts w:ascii="Arial" w:cs="Arial" w:eastAsia="Arial" w:hAnsi="Arial"/>
          <w:sz w:val="16"/>
          <w:szCs w:val="16"/>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49" w:lineRule="exact"/>
        <w:rPr>
          <w:rFonts w:ascii="Arial" w:cs="Arial" w:eastAsia="Arial" w:hAnsi="Arial"/>
          <w:sz w:val="16"/>
          <w:szCs w:val="16"/>
          <w:b w:val="1"/>
          <w:bCs w:val="1"/>
          <w:color w:val="auto"/>
        </w:rPr>
      </w:pPr>
    </w:p>
    <w:p>
      <w:pPr>
        <w:ind w:firstLine="1768"/>
        <w:spacing w:after="0" w:line="287" w:lineRule="auto"/>
        <w:tabs>
          <w:tab w:leader="none" w:pos="2137" w:val="left"/>
        </w:tabs>
        <w:numPr>
          <w:ilvl w:val="1"/>
          <w:numId w:val="72"/>
        </w:numPr>
        <w:rPr>
          <w:rFonts w:ascii="Arial" w:cs="Arial" w:eastAsia="Arial" w:hAnsi="Arial"/>
          <w:sz w:val="16"/>
          <w:szCs w:val="16"/>
          <w:b w:val="1"/>
          <w:bCs w:val="1"/>
          <w:color w:val="auto"/>
        </w:rPr>
      </w:pPr>
      <w:r>
        <w:rPr>
          <w:rFonts w:ascii="Arial" w:cs="Arial" w:eastAsia="Arial" w:hAnsi="Arial"/>
          <w:sz w:val="16"/>
          <w:szCs w:val="16"/>
          <w:color w:val="auto"/>
        </w:rPr>
        <w:t>the Trustee shall cease to be eligible in accordance with the provisions of Section 7.09 and shall fail to resign after written request therefor by the Company or by any such Securityholder; or</w:t>
      </w:r>
    </w:p>
    <w:p>
      <w:pPr>
        <w:spacing w:after="0" w:line="149" w:lineRule="exact"/>
        <w:rPr>
          <w:rFonts w:ascii="Arial" w:cs="Arial" w:eastAsia="Arial" w:hAnsi="Arial"/>
          <w:sz w:val="16"/>
          <w:szCs w:val="16"/>
          <w:b w:val="1"/>
          <w:bCs w:val="1"/>
          <w:color w:val="auto"/>
        </w:rPr>
      </w:pPr>
    </w:p>
    <w:p>
      <w:pPr>
        <w:jc w:val="both"/>
        <w:ind w:firstLine="1768"/>
        <w:spacing w:after="0" w:line="272" w:lineRule="auto"/>
        <w:tabs>
          <w:tab w:leader="none" w:pos="2184" w:val="left"/>
        </w:tabs>
        <w:numPr>
          <w:ilvl w:val="1"/>
          <w:numId w:val="72"/>
        </w:numPr>
        <w:rPr>
          <w:rFonts w:ascii="Arial" w:cs="Arial" w:eastAsia="Arial" w:hAnsi="Arial"/>
          <w:sz w:val="16"/>
          <w:szCs w:val="16"/>
          <w:b w:val="1"/>
          <w:bCs w:val="1"/>
          <w:color w:val="auto"/>
        </w:rPr>
      </w:pPr>
      <w:r>
        <w:rPr>
          <w:rFonts w:ascii="Arial" w:cs="Arial" w:eastAsia="Arial" w:hAnsi="Arial"/>
          <w:sz w:val="16"/>
          <w:szCs w:val="16"/>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61"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8" w:lineRule="exact"/>
        <w:rPr>
          <w:sz w:val="20"/>
          <w:szCs w:val="20"/>
          <w:color w:val="auto"/>
        </w:rPr>
      </w:pPr>
    </w:p>
    <w:p>
      <w:pPr>
        <w:ind w:firstLine="1178"/>
        <w:spacing w:after="0" w:line="323" w:lineRule="auto"/>
        <w:tabs>
          <w:tab w:leader="none" w:pos="1563" w:val="left"/>
        </w:tabs>
        <w:numPr>
          <w:ilvl w:val="0"/>
          <w:numId w:val="73"/>
        </w:numPr>
        <w:rPr>
          <w:rFonts w:ascii="Arial" w:cs="Arial" w:eastAsia="Arial" w:hAnsi="Arial"/>
          <w:sz w:val="15"/>
          <w:szCs w:val="15"/>
          <w:b w:val="1"/>
          <w:bCs w:val="1"/>
          <w:color w:val="auto"/>
        </w:rPr>
      </w:pPr>
      <w:r>
        <w:rPr>
          <w:rFonts w:ascii="Arial" w:cs="Arial" w:eastAsia="Arial" w:hAnsi="Arial"/>
          <w:sz w:val="15"/>
          <w:szCs w:val="15"/>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25" w:lineRule="exact"/>
        <w:rPr>
          <w:rFonts w:ascii="Arial" w:cs="Arial" w:eastAsia="Arial" w:hAnsi="Arial"/>
          <w:sz w:val="15"/>
          <w:szCs w:val="15"/>
          <w:b w:val="1"/>
          <w:bCs w:val="1"/>
          <w:color w:val="auto"/>
        </w:rPr>
      </w:pPr>
    </w:p>
    <w:p>
      <w:pPr>
        <w:ind w:firstLine="1178"/>
        <w:spacing w:after="0" w:line="287" w:lineRule="auto"/>
        <w:tabs>
          <w:tab w:leader="none" w:pos="1598"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49" w:lineRule="exact"/>
        <w:rPr>
          <w:rFonts w:ascii="Arial" w:cs="Arial" w:eastAsia="Arial" w:hAnsi="Arial"/>
          <w:sz w:val="16"/>
          <w:szCs w:val="16"/>
          <w:b w:val="1"/>
          <w:bCs w:val="1"/>
          <w:color w:val="auto"/>
        </w:rPr>
      </w:pPr>
    </w:p>
    <w:p>
      <w:pPr>
        <w:ind w:firstLine="1178"/>
        <w:spacing w:after="0" w:line="287" w:lineRule="auto"/>
        <w:tabs>
          <w:tab w:leader="none" w:pos="1518"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4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7.11</w:t>
      </w:r>
      <w:r>
        <w:rPr>
          <w:sz w:val="20"/>
          <w:szCs w:val="20"/>
          <w:color w:val="auto"/>
        </w:rPr>
        <w:tab/>
      </w:r>
      <w:r>
        <w:rPr>
          <w:rFonts w:ascii="Arial" w:cs="Arial" w:eastAsia="Arial" w:hAnsi="Arial"/>
          <w:sz w:val="14"/>
          <w:szCs w:val="14"/>
          <w:b w:val="1"/>
          <w:bCs w:val="1"/>
          <w:color w:val="0000FF"/>
        </w:rPr>
        <w:t>Acceptance of Appointment By Successor</w:t>
      </w:r>
    </w:p>
    <w:p>
      <w:pPr>
        <w:spacing w:after="0" w:line="213" w:lineRule="exact"/>
        <w:rPr>
          <w:sz w:val="20"/>
          <w:szCs w:val="20"/>
          <w:color w:val="auto"/>
        </w:rPr>
      </w:pPr>
    </w:p>
    <w:p>
      <w:pPr>
        <w:jc w:val="both"/>
        <w:ind w:firstLine="1178"/>
        <w:spacing w:after="0" w:line="283" w:lineRule="auto"/>
        <w:tabs>
          <w:tab w:leader="none" w:pos="1593" w:val="left"/>
        </w:tabs>
        <w:numPr>
          <w:ilvl w:val="0"/>
          <w:numId w:val="74"/>
        </w:numPr>
        <w:rPr>
          <w:rFonts w:ascii="Arial" w:cs="Arial" w:eastAsia="Arial" w:hAnsi="Arial"/>
          <w:sz w:val="15"/>
          <w:szCs w:val="15"/>
          <w:b w:val="1"/>
          <w:bCs w:val="1"/>
          <w:color w:val="auto"/>
        </w:rPr>
      </w:pPr>
      <w:r>
        <w:rPr>
          <w:rFonts w:ascii="Arial" w:cs="Arial" w:eastAsia="Arial" w:hAnsi="Arial"/>
          <w:sz w:val="15"/>
          <w:szCs w:val="15"/>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56" w:lineRule="exact"/>
        <w:rPr>
          <w:rFonts w:ascii="Arial" w:cs="Arial" w:eastAsia="Arial" w:hAnsi="Arial"/>
          <w:sz w:val="15"/>
          <w:szCs w:val="15"/>
          <w:b w:val="1"/>
          <w:bCs w:val="1"/>
          <w:color w:val="auto"/>
        </w:rPr>
      </w:pPr>
    </w:p>
    <w:p>
      <w:pPr>
        <w:jc w:val="both"/>
        <w:ind w:firstLine="1178"/>
        <w:spacing w:after="0" w:line="277" w:lineRule="auto"/>
        <w:tabs>
          <w:tab w:leader="none" w:pos="1555" w:val="left"/>
        </w:tabs>
        <w:numPr>
          <w:ilvl w:val="0"/>
          <w:numId w:val="74"/>
        </w:numPr>
        <w:rPr>
          <w:rFonts w:ascii="Arial" w:cs="Arial" w:eastAsia="Arial" w:hAnsi="Arial"/>
          <w:sz w:val="15"/>
          <w:szCs w:val="15"/>
          <w:b w:val="1"/>
          <w:bCs w:val="1"/>
          <w:color w:val="auto"/>
        </w:rPr>
      </w:pPr>
      <w:r>
        <w:rPr>
          <w:rFonts w:ascii="Arial" w:cs="Arial" w:eastAsia="Arial" w:hAnsi="Arial"/>
          <w:sz w:val="15"/>
          <w:szCs w:val="15"/>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82" w:right="239" w:bottom="1440" w:gutter="0" w:footer="0" w:header="0"/>
        </w:sectPr>
      </w:pPr>
    </w:p>
    <w:bookmarkStart w:id="58" w:name="page59"/>
    <w:bookmarkEnd w:id="58"/>
    <w:p>
      <w:pPr>
        <w:jc w:val="both"/>
        <w:spacing w:after="0" w:line="272" w:lineRule="auto"/>
        <w:rPr>
          <w:sz w:val="20"/>
          <w:szCs w:val="20"/>
          <w:color w:val="auto"/>
        </w:rPr>
      </w:pPr>
      <w:r>
        <w:rPr>
          <w:rFonts w:ascii="Arial" w:cs="Arial" w:eastAsia="Arial" w:hAnsi="Arial"/>
          <w:sz w:val="16"/>
          <w:szCs w:val="16"/>
          <w:color w:val="auto"/>
        </w:rPr>
        <w:t>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61" w:lineRule="exact"/>
        <w:rPr>
          <w:sz w:val="20"/>
          <w:szCs w:val="20"/>
          <w:color w:val="auto"/>
        </w:rPr>
      </w:pPr>
    </w:p>
    <w:p>
      <w:pPr>
        <w:ind w:firstLine="1178"/>
        <w:spacing w:after="0" w:line="287" w:lineRule="auto"/>
        <w:tabs>
          <w:tab w:leader="none" w:pos="1538"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49" w:lineRule="exact"/>
        <w:rPr>
          <w:rFonts w:ascii="Arial" w:cs="Arial" w:eastAsia="Arial" w:hAnsi="Arial"/>
          <w:sz w:val="16"/>
          <w:szCs w:val="16"/>
          <w:b w:val="1"/>
          <w:bCs w:val="1"/>
          <w:color w:val="auto"/>
        </w:rPr>
      </w:pPr>
    </w:p>
    <w:p>
      <w:pPr>
        <w:ind w:left="1540" w:hanging="362"/>
        <w:spacing w:after="0"/>
        <w:tabs>
          <w:tab w:leader="none" w:pos="1540"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No successor trustee shall accept its appointment unless at the time of such acceptance such successor trustee shall be qualified and eligible under this</w:t>
      </w:r>
    </w:p>
    <w:p>
      <w:pPr>
        <w:spacing w:after="0" w:line="46"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6"/>
          <w:szCs w:val="16"/>
          <w:color w:val="auto"/>
        </w:rPr>
        <w:t>Article.</w:t>
      </w:r>
    </w:p>
    <w:p>
      <w:pPr>
        <w:spacing w:after="0" w:line="198" w:lineRule="exact"/>
        <w:rPr>
          <w:rFonts w:ascii="Arial" w:cs="Arial" w:eastAsia="Arial" w:hAnsi="Arial"/>
          <w:sz w:val="14"/>
          <w:szCs w:val="14"/>
          <w:b w:val="1"/>
          <w:bCs w:val="1"/>
          <w:color w:val="auto"/>
        </w:rPr>
      </w:pPr>
    </w:p>
    <w:p>
      <w:pPr>
        <w:jc w:val="both"/>
        <w:ind w:firstLine="1178"/>
        <w:spacing w:after="0" w:line="272" w:lineRule="auto"/>
        <w:tabs>
          <w:tab w:leader="none" w:pos="1562"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Upon acceptance of appointment by a successor trustee as provided in this Section, the Company shall send notice of the succession of such trustee hereunder to the Securityholders. If the Company fails to transmit such notice within ten days after acceptance of appointment by the successor trustee, the successor trustee shall cause such notice to be transmitted at the expense of the Company.</w:t>
      </w:r>
    </w:p>
    <w:p>
      <w:pPr>
        <w:spacing w:after="0" w:line="15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7.12</w:t>
      </w:r>
      <w:r>
        <w:rPr>
          <w:sz w:val="20"/>
          <w:szCs w:val="20"/>
          <w:color w:val="auto"/>
        </w:rPr>
        <w:tab/>
      </w:r>
      <w:r>
        <w:rPr>
          <w:rFonts w:ascii="Arial" w:cs="Arial" w:eastAsia="Arial" w:hAnsi="Arial"/>
          <w:sz w:val="14"/>
          <w:szCs w:val="14"/>
          <w:b w:val="1"/>
          <w:bCs w:val="1"/>
          <w:color w:val="0000FF"/>
        </w:rPr>
        <w:t>Merger, Conversion, Consolidation or Succession to Business</w:t>
      </w:r>
    </w:p>
    <w:p>
      <w:pPr>
        <w:spacing w:after="0" w:line="213" w:lineRule="exact"/>
        <w:rPr>
          <w:sz w:val="20"/>
          <w:szCs w:val="20"/>
          <w:color w:val="auto"/>
        </w:rPr>
      </w:pPr>
    </w:p>
    <w:p>
      <w:pPr>
        <w:jc w:val="both"/>
        <w:ind w:firstLine="590"/>
        <w:spacing w:after="0" w:line="261"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7.13</w:t>
      </w:r>
      <w:r>
        <w:rPr>
          <w:sz w:val="20"/>
          <w:szCs w:val="20"/>
          <w:color w:val="auto"/>
        </w:rPr>
        <w:tab/>
      </w:r>
      <w:r>
        <w:rPr>
          <w:rFonts w:ascii="Arial" w:cs="Arial" w:eastAsia="Arial" w:hAnsi="Arial"/>
          <w:sz w:val="14"/>
          <w:szCs w:val="14"/>
          <w:b w:val="1"/>
          <w:bCs w:val="1"/>
          <w:color w:val="0000FF"/>
        </w:rPr>
        <w:t>Preferential Collection of Claims Against the Company</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Trustee shall comply with Section 311(a) of the Trust Indenture Act, excluding any creditor relationship described in Section 311(b) of the Trust Indenture Act.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 Trustee who has resigned or been removed shall be subject to Section 311(a) of the Trust Indenture Act to the extent included therein.</w:t>
      </w:r>
    </w:p>
    <w:p>
      <w:pPr>
        <w:spacing w:after="0" w:line="19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7.14</w:t>
      </w:r>
      <w:r>
        <w:rPr>
          <w:sz w:val="20"/>
          <w:szCs w:val="20"/>
          <w:color w:val="auto"/>
        </w:rPr>
        <w:tab/>
      </w:r>
      <w:r>
        <w:rPr>
          <w:rFonts w:ascii="Arial" w:cs="Arial" w:eastAsia="Arial" w:hAnsi="Arial"/>
          <w:sz w:val="15"/>
          <w:szCs w:val="15"/>
          <w:b w:val="1"/>
          <w:bCs w:val="1"/>
          <w:color w:val="0000FF"/>
        </w:rPr>
        <w:t>Notice of Default</w:t>
      </w:r>
    </w:p>
    <w:p>
      <w:pPr>
        <w:spacing w:after="0" w:line="213" w:lineRule="exact"/>
        <w:rPr>
          <w:sz w:val="20"/>
          <w:szCs w:val="20"/>
          <w:color w:val="auto"/>
        </w:rPr>
      </w:pPr>
    </w:p>
    <w:p>
      <w:pPr>
        <w:jc w:val="both"/>
        <w:ind w:firstLine="590"/>
        <w:spacing w:after="0" w:line="286" w:lineRule="auto"/>
        <w:rPr>
          <w:sz w:val="20"/>
          <w:szCs w:val="20"/>
          <w:color w:val="auto"/>
        </w:rPr>
      </w:pPr>
      <w:r>
        <w:rPr>
          <w:rFonts w:ascii="Arial" w:cs="Arial" w:eastAsia="Arial" w:hAnsi="Arial"/>
          <w:sz w:val="15"/>
          <w:szCs w:val="15"/>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except in the case of a default in the payment of the principal of (or premium, if any) or interest on any Security, the Trustee shall be protected in withholding</w:t>
      </w:r>
      <w:r>
        <w:rPr>
          <w:rFonts w:ascii="Arial" w:cs="Arial" w:eastAsia="Arial" w:hAnsi="Arial"/>
          <w:sz w:val="15"/>
          <w:szCs w:val="15"/>
          <w:i w:val="1"/>
          <w:iCs w:val="1"/>
          <w:color w:val="auto"/>
        </w:rPr>
        <w:t xml:space="preserve"> </w:t>
      </w:r>
      <w:r>
        <w:rPr>
          <w:rFonts w:ascii="Arial" w:cs="Arial" w:eastAsia="Arial" w:hAnsi="Arial"/>
          <w:sz w:val="15"/>
          <w:szCs w:val="15"/>
          <w:color w:val="auto"/>
        </w:rPr>
        <w:t>such notice if and so long as the Responsible Officers of the Trustee in good faith determine that the withholding of such notice is in the interest of the Securityholders.</w:t>
      </w:r>
    </w:p>
    <w:p>
      <w:pPr>
        <w:spacing w:after="0" w:line="148" w:lineRule="exact"/>
        <w:rPr>
          <w:sz w:val="20"/>
          <w:szCs w:val="20"/>
          <w:color w:val="auto"/>
        </w:rPr>
      </w:pPr>
    </w:p>
    <w:p>
      <w:pPr>
        <w:ind w:left="7140"/>
        <w:spacing w:after="0"/>
        <w:rPr>
          <w:sz w:val="20"/>
          <w:szCs w:val="20"/>
          <w:color w:val="auto"/>
        </w:rPr>
      </w:pPr>
      <w:r>
        <w:rPr>
          <w:rFonts w:ascii="Arial" w:cs="Arial" w:eastAsia="Arial" w:hAnsi="Arial"/>
          <w:sz w:val="16"/>
          <w:szCs w:val="16"/>
          <w:b w:val="1"/>
          <w:bCs w:val="1"/>
          <w:color w:val="auto"/>
        </w:rPr>
        <w:t>ARTICLE 8</w:t>
      </w:r>
    </w:p>
    <w:p>
      <w:pPr>
        <w:spacing w:after="0" w:line="209"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0000FF"/>
        </w:rPr>
        <w:t>CONCERNING THE SECURITYHOLDERS</w:t>
      </w:r>
    </w:p>
    <w:p>
      <w:pPr>
        <w:spacing w:after="0" w:line="20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8.01</w:t>
      </w:r>
      <w:r>
        <w:rPr>
          <w:sz w:val="20"/>
          <w:szCs w:val="20"/>
          <w:color w:val="auto"/>
        </w:rPr>
        <w:tab/>
      </w:r>
      <w:r>
        <w:rPr>
          <w:rFonts w:ascii="Arial" w:cs="Arial" w:eastAsia="Arial" w:hAnsi="Arial"/>
          <w:sz w:val="14"/>
          <w:szCs w:val="14"/>
          <w:b w:val="1"/>
          <w:bCs w:val="1"/>
          <w:color w:val="0000FF"/>
        </w:rPr>
        <w:t>Evidence of Action by Securityholders</w:t>
      </w:r>
    </w:p>
    <w:p>
      <w:pPr>
        <w:spacing w:after="0" w:line="213" w:lineRule="exact"/>
        <w:rPr>
          <w:sz w:val="20"/>
          <w:szCs w:val="20"/>
          <w:color w:val="auto"/>
        </w:rPr>
      </w:pPr>
    </w:p>
    <w:p>
      <w:pPr>
        <w:jc w:val="both"/>
        <w:ind w:firstLine="590"/>
        <w:spacing w:after="0" w:line="290" w:lineRule="auto"/>
        <w:rPr>
          <w:sz w:val="20"/>
          <w:szCs w:val="20"/>
          <w:color w:val="auto"/>
        </w:rPr>
      </w:pPr>
      <w:r>
        <w:rPr>
          <w:rFonts w:ascii="Arial" w:cs="Arial" w:eastAsia="Arial" w:hAnsi="Arial"/>
          <w:sz w:val="15"/>
          <w:szCs w:val="15"/>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82" w:right="239" w:bottom="1440" w:gutter="0" w:footer="0" w:header="0"/>
        </w:sectPr>
      </w:pPr>
    </w:p>
    <w:bookmarkStart w:id="59" w:name="page60"/>
    <w:bookmarkEnd w:id="59"/>
    <w:p>
      <w:pPr>
        <w:jc w:val="both"/>
        <w:ind w:firstLine="590"/>
        <w:spacing w:after="0" w:line="303" w:lineRule="auto"/>
        <w:rPr>
          <w:sz w:val="20"/>
          <w:szCs w:val="20"/>
          <w:color w:val="auto"/>
        </w:rPr>
      </w:pPr>
      <w:r>
        <w:rPr>
          <w:rFonts w:ascii="Arial" w:cs="Arial" w:eastAsia="Arial" w:hAnsi="Arial"/>
          <w:sz w:val="14"/>
          <w:szCs w:val="14"/>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40"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8.02</w:t>
      </w:r>
      <w:r>
        <w:rPr>
          <w:sz w:val="20"/>
          <w:szCs w:val="20"/>
          <w:color w:val="auto"/>
        </w:rPr>
        <w:tab/>
      </w:r>
      <w:r>
        <w:rPr>
          <w:rFonts w:ascii="Arial" w:cs="Arial" w:eastAsia="Arial" w:hAnsi="Arial"/>
          <w:sz w:val="14"/>
          <w:szCs w:val="14"/>
          <w:b w:val="1"/>
          <w:bCs w:val="1"/>
          <w:color w:val="0000FF"/>
        </w:rPr>
        <w:t>Proof of Execution by Securityholders</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50" w:lineRule="exact"/>
        <w:rPr>
          <w:sz w:val="20"/>
          <w:szCs w:val="20"/>
          <w:color w:val="auto"/>
        </w:rPr>
      </w:pPr>
    </w:p>
    <w:p>
      <w:pPr>
        <w:ind w:left="1540" w:hanging="362"/>
        <w:spacing w:after="0"/>
        <w:tabs>
          <w:tab w:leader="none" w:pos="1540" w:val="left"/>
        </w:tabs>
        <w:numPr>
          <w:ilvl w:val="0"/>
          <w:numId w:val="76"/>
        </w:numPr>
        <w:rPr>
          <w:rFonts w:ascii="Arial" w:cs="Arial" w:eastAsia="Arial" w:hAnsi="Arial"/>
          <w:sz w:val="15"/>
          <w:szCs w:val="15"/>
          <w:b w:val="1"/>
          <w:bCs w:val="1"/>
          <w:color w:val="auto"/>
        </w:rPr>
      </w:pPr>
      <w:r>
        <w:rPr>
          <w:rFonts w:ascii="Arial" w:cs="Arial" w:eastAsia="Arial" w:hAnsi="Arial"/>
          <w:sz w:val="15"/>
          <w:szCs w:val="15"/>
          <w:color w:val="auto"/>
        </w:rPr>
        <w:t>The fact and date of the execution by any such Person of any instrument may be proved in any reasonable manner acceptable to the Trustee.</w:t>
      </w:r>
    </w:p>
    <w:p>
      <w:pPr>
        <w:spacing w:after="0" w:line="220" w:lineRule="exact"/>
        <w:rPr>
          <w:rFonts w:ascii="Arial" w:cs="Arial" w:eastAsia="Arial" w:hAnsi="Arial"/>
          <w:sz w:val="15"/>
          <w:szCs w:val="15"/>
          <w:b w:val="1"/>
          <w:bCs w:val="1"/>
          <w:color w:val="auto"/>
        </w:rPr>
      </w:pPr>
    </w:p>
    <w:p>
      <w:pPr>
        <w:ind w:right="780" w:firstLine="1178"/>
        <w:spacing w:after="0" w:line="510" w:lineRule="auto"/>
        <w:tabs>
          <w:tab w:leader="none" w:pos="1541"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8.03</w:t>
      </w:r>
      <w:r>
        <w:rPr>
          <w:sz w:val="20"/>
          <w:szCs w:val="20"/>
          <w:color w:val="auto"/>
        </w:rPr>
        <w:tab/>
      </w:r>
      <w:r>
        <w:rPr>
          <w:rFonts w:ascii="Arial" w:cs="Arial" w:eastAsia="Arial" w:hAnsi="Arial"/>
          <w:sz w:val="15"/>
          <w:szCs w:val="15"/>
          <w:b w:val="1"/>
          <w:bCs w:val="1"/>
          <w:color w:val="0000FF"/>
        </w:rPr>
        <w:t>Who May be Deemed Owners</w:t>
      </w:r>
    </w:p>
    <w:p>
      <w:pPr>
        <w:spacing w:after="0" w:line="213"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6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8.04</w:t>
      </w:r>
      <w:r>
        <w:rPr>
          <w:sz w:val="20"/>
          <w:szCs w:val="20"/>
          <w:color w:val="auto"/>
        </w:rPr>
        <w:tab/>
      </w:r>
      <w:r>
        <w:rPr>
          <w:rFonts w:ascii="Arial" w:cs="Arial" w:eastAsia="Arial" w:hAnsi="Arial"/>
          <w:sz w:val="14"/>
          <w:szCs w:val="14"/>
          <w:b w:val="1"/>
          <w:bCs w:val="1"/>
          <w:color w:val="0000FF"/>
        </w:rPr>
        <w:t>Certain Securities Owned by Company Disregarded</w:t>
      </w:r>
    </w:p>
    <w:p>
      <w:pPr>
        <w:spacing w:after="0" w:line="213" w:lineRule="exact"/>
        <w:rPr>
          <w:sz w:val="20"/>
          <w:szCs w:val="20"/>
          <w:color w:val="auto"/>
        </w:rPr>
      </w:pPr>
    </w:p>
    <w:p>
      <w:pPr>
        <w:jc w:val="both"/>
        <w:ind w:firstLine="590"/>
        <w:spacing w:after="0" w:line="303" w:lineRule="auto"/>
        <w:rPr>
          <w:sz w:val="20"/>
          <w:szCs w:val="20"/>
          <w:color w:val="auto"/>
        </w:rPr>
      </w:pPr>
      <w:r>
        <w:rPr>
          <w:rFonts w:ascii="Arial" w:cs="Arial" w:eastAsia="Arial" w:hAnsi="Arial"/>
          <w:sz w:val="14"/>
          <w:szCs w:val="14"/>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40"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8.05</w:t>
      </w:r>
      <w:r>
        <w:rPr>
          <w:sz w:val="20"/>
          <w:szCs w:val="20"/>
          <w:color w:val="auto"/>
        </w:rPr>
        <w:tab/>
      </w:r>
      <w:r>
        <w:rPr>
          <w:rFonts w:ascii="Arial" w:cs="Arial" w:eastAsia="Arial" w:hAnsi="Arial"/>
          <w:sz w:val="14"/>
          <w:szCs w:val="14"/>
          <w:b w:val="1"/>
          <w:bCs w:val="1"/>
          <w:color w:val="0000FF"/>
        </w:rPr>
        <w:t>Actions Binding on Future Securityholders</w:t>
      </w:r>
    </w:p>
    <w:p>
      <w:pPr>
        <w:spacing w:after="0" w:line="213" w:lineRule="exact"/>
        <w:rPr>
          <w:sz w:val="20"/>
          <w:szCs w:val="20"/>
          <w:color w:val="auto"/>
        </w:rPr>
      </w:pPr>
    </w:p>
    <w:p>
      <w:pPr>
        <w:jc w:val="both"/>
        <w:ind w:firstLine="590"/>
        <w:spacing w:after="0" w:line="280" w:lineRule="auto"/>
        <w:rPr>
          <w:sz w:val="20"/>
          <w:szCs w:val="20"/>
          <w:color w:val="auto"/>
        </w:rPr>
      </w:pPr>
      <w:r>
        <w:rPr>
          <w:rFonts w:ascii="Arial" w:cs="Arial" w:eastAsia="Arial" w:hAnsi="Arial"/>
          <w:sz w:val="15"/>
          <w:szCs w:val="15"/>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82" w:right="239" w:bottom="1440" w:gutter="0" w:footer="0" w:header="0"/>
        </w:sectPr>
      </w:pPr>
    </w:p>
    <w:bookmarkStart w:id="60" w:name="page61"/>
    <w:bookmarkEnd w:id="60"/>
    <w:p>
      <w:pPr>
        <w:ind w:left="7180"/>
        <w:spacing w:after="0"/>
        <w:rPr>
          <w:sz w:val="20"/>
          <w:szCs w:val="20"/>
          <w:color w:val="auto"/>
        </w:rPr>
      </w:pPr>
      <w:r>
        <w:rPr>
          <w:rFonts w:ascii="Arial" w:cs="Arial" w:eastAsia="Arial" w:hAnsi="Arial"/>
          <w:sz w:val="16"/>
          <w:szCs w:val="16"/>
          <w:b w:val="1"/>
          <w:bCs w:val="1"/>
          <w:color w:val="auto"/>
        </w:rPr>
        <w:t>ARTICLE 9</w:t>
      </w:r>
    </w:p>
    <w:p>
      <w:pPr>
        <w:spacing w:after="0" w:line="209"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0000FF"/>
        </w:rPr>
        <w:t>SUPPLEMENTAL INDENTURES</w:t>
      </w:r>
    </w:p>
    <w:p>
      <w:pPr>
        <w:spacing w:after="0" w:line="20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9.01</w:t>
      </w:r>
      <w:r>
        <w:rPr>
          <w:sz w:val="20"/>
          <w:szCs w:val="20"/>
          <w:color w:val="auto"/>
        </w:rPr>
        <w:tab/>
      </w:r>
      <w:r>
        <w:rPr>
          <w:rFonts w:ascii="Arial" w:cs="Arial" w:eastAsia="Arial" w:hAnsi="Arial"/>
          <w:sz w:val="14"/>
          <w:szCs w:val="14"/>
          <w:b w:val="1"/>
          <w:bCs w:val="1"/>
          <w:color w:val="0000FF"/>
        </w:rPr>
        <w:t>Supplemental Indentures Without the Consent of Securityholders</w:t>
      </w:r>
    </w:p>
    <w:p>
      <w:pPr>
        <w:spacing w:after="0" w:line="213"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61" w:lineRule="exact"/>
        <w:rPr>
          <w:sz w:val="20"/>
          <w:szCs w:val="20"/>
          <w:color w:val="auto"/>
        </w:rPr>
      </w:pPr>
    </w:p>
    <w:p>
      <w:pPr>
        <w:ind w:left="1540" w:hanging="362"/>
        <w:spacing w:after="0"/>
        <w:tabs>
          <w:tab w:leader="none" w:pos="1540"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to cure any ambiguity, defect, or inconsistency herein or in the Securities of any series;</w:t>
      </w:r>
    </w:p>
    <w:p>
      <w:pPr>
        <w:spacing w:after="0" w:line="209" w:lineRule="exact"/>
        <w:rPr>
          <w:rFonts w:ascii="Arial" w:cs="Arial" w:eastAsia="Arial" w:hAnsi="Arial"/>
          <w:sz w:val="16"/>
          <w:szCs w:val="16"/>
          <w:b w:val="1"/>
          <w:bCs w:val="1"/>
          <w:color w:val="auto"/>
        </w:rPr>
      </w:pPr>
    </w:p>
    <w:p>
      <w:pPr>
        <w:ind w:left="1540" w:hanging="362"/>
        <w:spacing w:after="0"/>
        <w:tabs>
          <w:tab w:leader="none" w:pos="1540"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to comply with Article Ten;</w:t>
      </w:r>
    </w:p>
    <w:p>
      <w:pPr>
        <w:spacing w:after="0" w:line="209" w:lineRule="exact"/>
        <w:rPr>
          <w:rFonts w:ascii="Arial" w:cs="Arial" w:eastAsia="Arial" w:hAnsi="Arial"/>
          <w:sz w:val="16"/>
          <w:szCs w:val="16"/>
          <w:b w:val="1"/>
          <w:bCs w:val="1"/>
          <w:color w:val="auto"/>
        </w:rPr>
      </w:pPr>
    </w:p>
    <w:p>
      <w:pPr>
        <w:ind w:left="1520" w:hanging="342"/>
        <w:spacing w:after="0"/>
        <w:tabs>
          <w:tab w:leader="none" w:pos="1520"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to provide for uncertificated Securities in addition to or in place of certificated Securities;</w:t>
      </w:r>
    </w:p>
    <w:p>
      <w:pPr>
        <w:spacing w:after="0" w:line="209" w:lineRule="exact"/>
        <w:rPr>
          <w:rFonts w:ascii="Arial" w:cs="Arial" w:eastAsia="Arial" w:hAnsi="Arial"/>
          <w:sz w:val="16"/>
          <w:szCs w:val="16"/>
          <w:b w:val="1"/>
          <w:bCs w:val="1"/>
          <w:color w:val="auto"/>
        </w:rPr>
      </w:pPr>
    </w:p>
    <w:p>
      <w:pPr>
        <w:jc w:val="both"/>
        <w:ind w:firstLine="1178"/>
        <w:spacing w:after="0" w:line="290" w:lineRule="auto"/>
        <w:tabs>
          <w:tab w:leader="none" w:pos="1578" w:val="left"/>
        </w:tabs>
        <w:numPr>
          <w:ilvl w:val="0"/>
          <w:numId w:val="77"/>
        </w:numPr>
        <w:rPr>
          <w:rFonts w:ascii="Arial" w:cs="Arial" w:eastAsia="Arial" w:hAnsi="Arial"/>
          <w:sz w:val="15"/>
          <w:szCs w:val="15"/>
          <w:b w:val="1"/>
          <w:bCs w:val="1"/>
          <w:color w:val="auto"/>
        </w:rPr>
      </w:pPr>
      <w:r>
        <w:rPr>
          <w:rFonts w:ascii="Arial" w:cs="Arial" w:eastAsia="Arial" w:hAnsi="Arial"/>
          <w:sz w:val="15"/>
          <w:szCs w:val="15"/>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49" w:lineRule="exact"/>
        <w:rPr>
          <w:rFonts w:ascii="Arial" w:cs="Arial" w:eastAsia="Arial" w:hAnsi="Arial"/>
          <w:sz w:val="15"/>
          <w:szCs w:val="15"/>
          <w:b w:val="1"/>
          <w:bCs w:val="1"/>
          <w:color w:val="auto"/>
        </w:rPr>
      </w:pPr>
    </w:p>
    <w:p>
      <w:pPr>
        <w:ind w:firstLine="1178"/>
        <w:spacing w:after="0" w:line="287" w:lineRule="auto"/>
        <w:tabs>
          <w:tab w:leader="none" w:pos="1546"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to add to, delete from, or revise the conditions, limitations, and restrictions on the authorized amount, terms, or purposes of issue, authentication, and delivery of Securities, as herein set forth;</w:t>
      </w:r>
    </w:p>
    <w:p>
      <w:pPr>
        <w:spacing w:after="0" w:line="149" w:lineRule="exact"/>
        <w:rPr>
          <w:rFonts w:ascii="Arial" w:cs="Arial" w:eastAsia="Arial" w:hAnsi="Arial"/>
          <w:sz w:val="16"/>
          <w:szCs w:val="16"/>
          <w:b w:val="1"/>
          <w:bCs w:val="1"/>
          <w:color w:val="auto"/>
        </w:rPr>
      </w:pPr>
    </w:p>
    <w:p>
      <w:pPr>
        <w:ind w:left="1500" w:hanging="322"/>
        <w:spacing w:after="0"/>
        <w:tabs>
          <w:tab w:leader="none" w:pos="1500"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to make any change that does not adversely affect the rights of any Securityholder in any material respect;</w:t>
      </w:r>
    </w:p>
    <w:p>
      <w:pPr>
        <w:spacing w:after="0" w:line="209" w:lineRule="exact"/>
        <w:rPr>
          <w:rFonts w:ascii="Arial" w:cs="Arial" w:eastAsia="Arial" w:hAnsi="Arial"/>
          <w:sz w:val="16"/>
          <w:szCs w:val="16"/>
          <w:b w:val="1"/>
          <w:bCs w:val="1"/>
          <w:color w:val="auto"/>
        </w:rPr>
      </w:pPr>
    </w:p>
    <w:p>
      <w:pPr>
        <w:jc w:val="both"/>
        <w:ind w:firstLine="1178"/>
        <w:spacing w:after="0" w:line="272" w:lineRule="auto"/>
        <w:tabs>
          <w:tab w:leader="none" w:pos="1558"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61" w:lineRule="exact"/>
        <w:rPr>
          <w:rFonts w:ascii="Arial" w:cs="Arial" w:eastAsia="Arial" w:hAnsi="Arial"/>
          <w:sz w:val="16"/>
          <w:szCs w:val="16"/>
          <w:b w:val="1"/>
          <w:bCs w:val="1"/>
          <w:color w:val="auto"/>
        </w:rPr>
      </w:pPr>
    </w:p>
    <w:p>
      <w:pPr>
        <w:ind w:left="1540" w:hanging="362"/>
        <w:spacing w:after="0"/>
        <w:tabs>
          <w:tab w:leader="none" w:pos="1540"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to evidence and provide for the acceptance of appointment hereunder by a successor trustee; or</w:t>
      </w:r>
    </w:p>
    <w:p>
      <w:pPr>
        <w:spacing w:after="0" w:line="209" w:lineRule="exact"/>
        <w:rPr>
          <w:rFonts w:ascii="Arial" w:cs="Arial" w:eastAsia="Arial" w:hAnsi="Arial"/>
          <w:sz w:val="16"/>
          <w:szCs w:val="16"/>
          <w:b w:val="1"/>
          <w:bCs w:val="1"/>
          <w:color w:val="auto"/>
        </w:rPr>
      </w:pPr>
    </w:p>
    <w:p>
      <w:pPr>
        <w:ind w:left="1520" w:hanging="342"/>
        <w:spacing w:after="0"/>
        <w:tabs>
          <w:tab w:leader="none" w:pos="1520" w:val="left"/>
        </w:tabs>
        <w:numPr>
          <w:ilvl w:val="0"/>
          <w:numId w:val="77"/>
        </w:numPr>
        <w:rPr>
          <w:rFonts w:ascii="Arial" w:cs="Arial" w:eastAsia="Arial" w:hAnsi="Arial"/>
          <w:sz w:val="15"/>
          <w:szCs w:val="15"/>
          <w:b w:val="1"/>
          <w:bCs w:val="1"/>
          <w:color w:val="auto"/>
        </w:rPr>
      </w:pPr>
      <w:r>
        <w:rPr>
          <w:rFonts w:ascii="Arial" w:cs="Arial" w:eastAsia="Arial" w:hAnsi="Arial"/>
          <w:sz w:val="15"/>
          <w:szCs w:val="15"/>
          <w:color w:val="auto"/>
        </w:rPr>
        <w:t>to comply with any requirements of the Commission or any successor in connection with the qualification of this Indenture under the Trust Indenture</w:t>
      </w:r>
    </w:p>
    <w:p>
      <w:pPr>
        <w:spacing w:after="0" w:line="35"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6"/>
          <w:szCs w:val="16"/>
          <w:color w:val="auto"/>
        </w:rPr>
        <w:t>Act.</w:t>
      </w:r>
    </w:p>
    <w:p>
      <w:pPr>
        <w:spacing w:after="0" w:line="198"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61"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46"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9.02</w:t>
      </w:r>
      <w:r>
        <w:rPr>
          <w:sz w:val="20"/>
          <w:szCs w:val="20"/>
          <w:color w:val="auto"/>
        </w:rPr>
        <w:tab/>
      </w:r>
      <w:r>
        <w:rPr>
          <w:rFonts w:ascii="Arial" w:cs="Arial" w:eastAsia="Arial" w:hAnsi="Arial"/>
          <w:sz w:val="14"/>
          <w:szCs w:val="14"/>
          <w:b w:val="1"/>
          <w:bCs w:val="1"/>
          <w:color w:val="0000FF"/>
        </w:rPr>
        <w:t>Supplemental Indentures With Consent of Securityholders</w:t>
      </w:r>
    </w:p>
    <w:p>
      <w:pPr>
        <w:spacing w:after="0" w:line="213" w:lineRule="exact"/>
        <w:rPr>
          <w:sz w:val="20"/>
          <w:szCs w:val="20"/>
          <w:color w:val="auto"/>
        </w:rPr>
      </w:pPr>
    </w:p>
    <w:p>
      <w:pPr>
        <w:jc w:val="both"/>
        <w:ind w:firstLine="590"/>
        <w:spacing w:after="0" w:line="280" w:lineRule="auto"/>
        <w:rPr>
          <w:sz w:val="20"/>
          <w:szCs w:val="20"/>
          <w:color w:val="auto"/>
        </w:rPr>
      </w:pPr>
      <w:r>
        <w:rPr>
          <w:rFonts w:ascii="Arial" w:cs="Arial" w:eastAsia="Arial" w:hAnsi="Arial"/>
          <w:sz w:val="15"/>
          <w:szCs w:val="15"/>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0"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78" w:right="239" w:bottom="1440" w:gutter="0" w:footer="0" w:header="0"/>
        </w:sectPr>
      </w:pPr>
    </w:p>
    <w:bookmarkStart w:id="61" w:name="page62"/>
    <w:bookmarkEnd w:id="61"/>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9.03</w:t>
      </w:r>
      <w:r>
        <w:rPr>
          <w:sz w:val="20"/>
          <w:szCs w:val="20"/>
          <w:color w:val="auto"/>
        </w:rPr>
        <w:tab/>
      </w:r>
      <w:r>
        <w:rPr>
          <w:rFonts w:ascii="Arial" w:cs="Arial" w:eastAsia="Arial" w:hAnsi="Arial"/>
          <w:sz w:val="14"/>
          <w:szCs w:val="14"/>
          <w:b w:val="1"/>
          <w:bCs w:val="1"/>
          <w:color w:val="0000FF"/>
        </w:rPr>
        <w:t>Effect of Supplemental Indentures</w:t>
      </w:r>
    </w:p>
    <w:p>
      <w:pPr>
        <w:spacing w:after="0" w:line="213"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4"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9.04</w:t>
      </w:r>
      <w:r>
        <w:rPr>
          <w:sz w:val="20"/>
          <w:szCs w:val="20"/>
          <w:color w:val="auto"/>
        </w:rPr>
        <w:tab/>
      </w:r>
      <w:r>
        <w:rPr>
          <w:rFonts w:ascii="Arial" w:cs="Arial" w:eastAsia="Arial" w:hAnsi="Arial"/>
          <w:sz w:val="14"/>
          <w:szCs w:val="14"/>
          <w:b w:val="1"/>
          <w:bCs w:val="1"/>
          <w:color w:val="0000FF"/>
        </w:rPr>
        <w:t>Securities Affected by Supplemental Indentures</w:t>
      </w:r>
    </w:p>
    <w:p>
      <w:pPr>
        <w:spacing w:after="0" w:line="213" w:lineRule="exact"/>
        <w:rPr>
          <w:sz w:val="20"/>
          <w:szCs w:val="20"/>
          <w:color w:val="auto"/>
        </w:rPr>
      </w:pPr>
    </w:p>
    <w:p>
      <w:pPr>
        <w:jc w:val="both"/>
        <w:ind w:firstLine="590"/>
        <w:spacing w:after="0" w:line="286" w:lineRule="auto"/>
        <w:rPr>
          <w:sz w:val="20"/>
          <w:szCs w:val="20"/>
          <w:color w:val="auto"/>
        </w:rPr>
      </w:pPr>
      <w:r>
        <w:rPr>
          <w:rFonts w:ascii="Arial" w:cs="Arial" w:eastAsia="Arial" w:hAnsi="Arial"/>
          <w:sz w:val="15"/>
          <w:szCs w:val="15"/>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48"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6"/>
          <w:szCs w:val="16"/>
          <w:b w:val="1"/>
          <w:bCs w:val="1"/>
          <w:color w:val="auto"/>
        </w:rPr>
        <w:t>Section 9.05</w:t>
      </w:r>
      <w:r>
        <w:rPr>
          <w:sz w:val="20"/>
          <w:szCs w:val="20"/>
          <w:color w:val="auto"/>
        </w:rPr>
        <w:tab/>
      </w:r>
      <w:r>
        <w:rPr>
          <w:rFonts w:ascii="Arial" w:cs="Arial" w:eastAsia="Arial" w:hAnsi="Arial"/>
          <w:sz w:val="14"/>
          <w:szCs w:val="14"/>
          <w:b w:val="1"/>
          <w:bCs w:val="1"/>
          <w:color w:val="0000FF"/>
        </w:rPr>
        <w:t>Execution of Supplemental Indentures</w:t>
      </w:r>
    </w:p>
    <w:p>
      <w:pPr>
        <w:spacing w:after="0" w:line="213" w:lineRule="exact"/>
        <w:rPr>
          <w:sz w:val="20"/>
          <w:szCs w:val="20"/>
          <w:color w:val="auto"/>
        </w:rPr>
      </w:pPr>
    </w:p>
    <w:p>
      <w:pPr>
        <w:jc w:val="both"/>
        <w:ind w:firstLine="590"/>
        <w:spacing w:after="0" w:line="304" w:lineRule="auto"/>
        <w:rPr>
          <w:sz w:val="20"/>
          <w:szCs w:val="20"/>
          <w:color w:val="auto"/>
        </w:rPr>
      </w:pPr>
      <w:r>
        <w:rPr>
          <w:rFonts w:ascii="Arial" w:cs="Arial" w:eastAsia="Arial" w:hAnsi="Arial"/>
          <w:sz w:val="14"/>
          <w:szCs w:val="14"/>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46"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6"/>
          <w:szCs w:val="16"/>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164"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ARTICLE 10</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0000FF"/>
        </w:rPr>
        <w:t>SUCCESSOR ENTITY</w:t>
      </w:r>
    </w:p>
    <w:p>
      <w:pPr>
        <w:spacing w:after="0" w:line="209"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10.01</w:t>
      </w:r>
      <w:r>
        <w:rPr>
          <w:sz w:val="20"/>
          <w:szCs w:val="20"/>
          <w:color w:val="auto"/>
        </w:rPr>
        <w:tab/>
      </w:r>
      <w:r>
        <w:rPr>
          <w:rFonts w:ascii="Arial" w:cs="Arial" w:eastAsia="Arial" w:hAnsi="Arial"/>
          <w:sz w:val="14"/>
          <w:szCs w:val="14"/>
          <w:b w:val="1"/>
          <w:bCs w:val="1"/>
          <w:color w:val="0000FF"/>
        </w:rPr>
        <w:t>Company May Consolidate, Etc</w:t>
      </w:r>
    </w:p>
    <w:p>
      <w:pPr>
        <w:spacing w:after="0" w:line="213" w:lineRule="exact"/>
        <w:rPr>
          <w:sz w:val="20"/>
          <w:szCs w:val="20"/>
          <w:color w:val="auto"/>
        </w:rPr>
      </w:pPr>
    </w:p>
    <w:p>
      <w:pPr>
        <w:jc w:val="both"/>
        <w:ind w:firstLine="590"/>
        <w:spacing w:after="0" w:line="300" w:lineRule="auto"/>
        <w:rPr>
          <w:sz w:val="20"/>
          <w:szCs w:val="20"/>
          <w:color w:val="auto"/>
        </w:rPr>
      </w:pPr>
      <w:r>
        <w:rPr>
          <w:rFonts w:ascii="Arial" w:cs="Arial" w:eastAsia="Arial" w:hAnsi="Arial"/>
          <w:sz w:val="14"/>
          <w:szCs w:val="14"/>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78" w:right="239" w:bottom="1440" w:gutter="0" w:footer="0" w:header="0"/>
        </w:sectPr>
      </w:pPr>
    </w:p>
    <w:bookmarkStart w:id="62" w:name="page63"/>
    <w:bookmarkEnd w:id="62"/>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10.02</w:t>
      </w:r>
      <w:r>
        <w:rPr>
          <w:sz w:val="20"/>
          <w:szCs w:val="20"/>
          <w:color w:val="auto"/>
        </w:rPr>
        <w:tab/>
      </w:r>
      <w:r>
        <w:rPr>
          <w:rFonts w:ascii="Arial" w:cs="Arial" w:eastAsia="Arial" w:hAnsi="Arial"/>
          <w:sz w:val="14"/>
          <w:szCs w:val="14"/>
          <w:b w:val="1"/>
          <w:bCs w:val="1"/>
          <w:color w:val="0000FF"/>
        </w:rPr>
        <w:t>Successor Entity Substituted</w:t>
      </w:r>
    </w:p>
    <w:p>
      <w:pPr>
        <w:spacing w:after="0" w:line="213" w:lineRule="exact"/>
        <w:rPr>
          <w:sz w:val="20"/>
          <w:szCs w:val="20"/>
          <w:color w:val="auto"/>
        </w:rPr>
      </w:pPr>
    </w:p>
    <w:p>
      <w:pPr>
        <w:jc w:val="both"/>
        <w:ind w:firstLine="1178"/>
        <w:spacing w:after="0" w:line="290" w:lineRule="auto"/>
        <w:tabs>
          <w:tab w:leader="none" w:pos="1643" w:val="left"/>
        </w:tabs>
        <w:numPr>
          <w:ilvl w:val="0"/>
          <w:numId w:val="78"/>
        </w:numPr>
        <w:rPr>
          <w:rFonts w:ascii="Arial" w:cs="Arial" w:eastAsia="Arial" w:hAnsi="Arial"/>
          <w:sz w:val="15"/>
          <w:szCs w:val="15"/>
          <w:b w:val="1"/>
          <w:bCs w:val="1"/>
          <w:color w:val="auto"/>
        </w:rPr>
      </w:pPr>
      <w:r>
        <w:rPr>
          <w:rFonts w:ascii="Arial" w:cs="Arial" w:eastAsia="Arial" w:hAnsi="Arial"/>
          <w:sz w:val="15"/>
          <w:szCs w:val="15"/>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49" w:lineRule="exact"/>
        <w:rPr>
          <w:rFonts w:ascii="Arial" w:cs="Arial" w:eastAsia="Arial" w:hAnsi="Arial"/>
          <w:sz w:val="15"/>
          <w:szCs w:val="15"/>
          <w:b w:val="1"/>
          <w:bCs w:val="1"/>
          <w:color w:val="auto"/>
        </w:rPr>
      </w:pPr>
    </w:p>
    <w:p>
      <w:pPr>
        <w:ind w:firstLine="1178"/>
        <w:spacing w:after="0" w:line="287" w:lineRule="auto"/>
        <w:tabs>
          <w:tab w:leader="none" w:pos="1548"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49" w:lineRule="exact"/>
        <w:rPr>
          <w:rFonts w:ascii="Arial" w:cs="Arial" w:eastAsia="Arial" w:hAnsi="Arial"/>
          <w:sz w:val="16"/>
          <w:szCs w:val="16"/>
          <w:b w:val="1"/>
          <w:bCs w:val="1"/>
          <w:color w:val="auto"/>
        </w:rPr>
      </w:pPr>
    </w:p>
    <w:p>
      <w:pPr>
        <w:jc w:val="both"/>
        <w:ind w:firstLine="1178"/>
        <w:spacing w:after="0" w:line="272" w:lineRule="auto"/>
        <w:tabs>
          <w:tab w:leader="none" w:pos="1561"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57"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auto"/>
        </w:rPr>
        <w:t>ARTICLE 11</w:t>
      </w:r>
    </w:p>
    <w:p>
      <w:pPr>
        <w:spacing w:after="0" w:line="209"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0000FF"/>
        </w:rPr>
        <w:t>SATISFACTION AND DISCHARGE</w:t>
      </w:r>
    </w:p>
    <w:p>
      <w:pPr>
        <w:spacing w:after="0" w:line="209"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6"/>
          <w:szCs w:val="16"/>
          <w:b w:val="1"/>
          <w:bCs w:val="1"/>
          <w:color w:val="auto"/>
        </w:rPr>
        <w:t>Section 11.01</w:t>
      </w:r>
      <w:r>
        <w:rPr>
          <w:sz w:val="20"/>
          <w:szCs w:val="20"/>
          <w:color w:val="auto"/>
        </w:rPr>
        <w:tab/>
      </w:r>
      <w:r>
        <w:rPr>
          <w:rFonts w:ascii="Arial" w:cs="Arial" w:eastAsia="Arial" w:hAnsi="Arial"/>
          <w:sz w:val="14"/>
          <w:szCs w:val="14"/>
          <w:b w:val="1"/>
          <w:bCs w:val="1"/>
          <w:color w:val="0000FF"/>
        </w:rPr>
        <w:t>Satisfaction and Discharge of Indenture</w:t>
      </w:r>
    </w:p>
    <w:p>
      <w:pPr>
        <w:spacing w:after="0" w:line="213" w:lineRule="exact"/>
        <w:rPr>
          <w:sz w:val="20"/>
          <w:szCs w:val="20"/>
          <w:color w:val="auto"/>
        </w:rPr>
      </w:pPr>
    </w:p>
    <w:p>
      <w:pPr>
        <w:jc w:val="both"/>
        <w:ind w:firstLine="590"/>
        <w:spacing w:after="0" w:line="299" w:lineRule="auto"/>
        <w:rPr>
          <w:sz w:val="20"/>
          <w:szCs w:val="20"/>
          <w:color w:val="auto"/>
        </w:rPr>
      </w:pPr>
      <w:r>
        <w:rPr>
          <w:rFonts w:ascii="Arial" w:cs="Arial" w:eastAsia="Arial" w:hAnsi="Arial"/>
          <w:sz w:val="14"/>
          <w:szCs w:val="14"/>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42"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6"/>
          <w:szCs w:val="16"/>
          <w:b w:val="1"/>
          <w:bCs w:val="1"/>
          <w:color w:val="auto"/>
        </w:rPr>
        <w:t>Section 11.02</w:t>
      </w:r>
      <w:r>
        <w:rPr>
          <w:sz w:val="20"/>
          <w:szCs w:val="20"/>
          <w:color w:val="auto"/>
        </w:rPr>
        <w:tab/>
      </w:r>
      <w:r>
        <w:rPr>
          <w:rFonts w:ascii="Arial" w:cs="Arial" w:eastAsia="Arial" w:hAnsi="Arial"/>
          <w:sz w:val="14"/>
          <w:szCs w:val="14"/>
          <w:b w:val="1"/>
          <w:bCs w:val="1"/>
          <w:color w:val="0000FF"/>
        </w:rPr>
        <w:t>Discharge of Obligations</w:t>
      </w:r>
    </w:p>
    <w:p>
      <w:pPr>
        <w:spacing w:after="0" w:line="213" w:lineRule="exact"/>
        <w:rPr>
          <w:sz w:val="20"/>
          <w:szCs w:val="20"/>
          <w:color w:val="auto"/>
        </w:rPr>
      </w:pPr>
    </w:p>
    <w:p>
      <w:pPr>
        <w:jc w:val="both"/>
        <w:ind w:firstLine="590"/>
        <w:spacing w:after="0" w:line="281" w:lineRule="auto"/>
        <w:rPr>
          <w:sz w:val="20"/>
          <w:szCs w:val="20"/>
          <w:color w:val="auto"/>
        </w:rPr>
      </w:pPr>
      <w:r>
        <w:rPr>
          <w:rFonts w:ascii="Arial" w:cs="Arial" w:eastAsia="Arial" w:hAnsi="Arial"/>
          <w:sz w:val="15"/>
          <w:szCs w:val="15"/>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Thereafter, Sections 7.06 and 11.05 shall survive.</w:t>
      </w:r>
    </w:p>
    <w:p>
      <w:pPr>
        <w:spacing w:after="0" w:line="205"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6"/>
          <w:szCs w:val="16"/>
          <w:b w:val="1"/>
          <w:bCs w:val="1"/>
          <w:color w:val="auto"/>
        </w:rPr>
        <w:t>Section 11.03</w:t>
      </w:r>
      <w:r>
        <w:rPr>
          <w:sz w:val="20"/>
          <w:szCs w:val="20"/>
          <w:color w:val="auto"/>
        </w:rPr>
        <w:tab/>
      </w:r>
      <w:r>
        <w:rPr>
          <w:rFonts w:ascii="Arial" w:cs="Arial" w:eastAsia="Arial" w:hAnsi="Arial"/>
          <w:sz w:val="14"/>
          <w:szCs w:val="14"/>
          <w:b w:val="1"/>
          <w:bCs w:val="1"/>
          <w:color w:val="0000FF"/>
        </w:rPr>
        <w:t>Deposited Moneys to be Held in Trust</w:t>
      </w:r>
    </w:p>
    <w:p>
      <w:pPr>
        <w:spacing w:after="0" w:line="213"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78" w:right="239" w:bottom="1440" w:gutter="0" w:footer="0" w:header="0"/>
        </w:sectPr>
      </w:pPr>
    </w:p>
    <w:bookmarkStart w:id="63" w:name="page64"/>
    <w:bookmarkEnd w:id="63"/>
    <w:p>
      <w:pPr>
        <w:ind w:left="580"/>
        <w:spacing w:after="0"/>
        <w:tabs>
          <w:tab w:leader="none" w:pos="1640" w:val="left"/>
        </w:tabs>
        <w:rPr>
          <w:sz w:val="20"/>
          <w:szCs w:val="20"/>
          <w:color w:val="auto"/>
        </w:rPr>
      </w:pPr>
      <w:r>
        <w:rPr>
          <w:rFonts w:ascii="Arial" w:cs="Arial" w:eastAsia="Arial" w:hAnsi="Arial"/>
          <w:sz w:val="16"/>
          <w:szCs w:val="16"/>
          <w:b w:val="1"/>
          <w:bCs w:val="1"/>
          <w:color w:val="auto"/>
        </w:rPr>
        <w:t>Section 11.04</w:t>
      </w:r>
      <w:r>
        <w:rPr>
          <w:sz w:val="20"/>
          <w:szCs w:val="20"/>
          <w:color w:val="auto"/>
        </w:rPr>
        <w:tab/>
      </w:r>
      <w:r>
        <w:rPr>
          <w:rFonts w:ascii="Arial" w:cs="Arial" w:eastAsia="Arial" w:hAnsi="Arial"/>
          <w:sz w:val="14"/>
          <w:szCs w:val="14"/>
          <w:b w:val="1"/>
          <w:bCs w:val="1"/>
          <w:color w:val="0000FF"/>
        </w:rPr>
        <w:t>Payment of Moneys Held by Paying Agents</w:t>
      </w:r>
    </w:p>
    <w:p>
      <w:pPr>
        <w:spacing w:after="0" w:line="213"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57"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6"/>
          <w:szCs w:val="16"/>
          <w:b w:val="1"/>
          <w:bCs w:val="1"/>
          <w:color w:val="auto"/>
        </w:rPr>
        <w:t>Section 11.05</w:t>
      </w:r>
      <w:r>
        <w:rPr>
          <w:sz w:val="20"/>
          <w:szCs w:val="20"/>
          <w:color w:val="auto"/>
        </w:rPr>
        <w:tab/>
      </w:r>
      <w:r>
        <w:rPr>
          <w:rFonts w:ascii="Arial" w:cs="Arial" w:eastAsia="Arial" w:hAnsi="Arial"/>
          <w:sz w:val="14"/>
          <w:szCs w:val="14"/>
          <w:b w:val="1"/>
          <w:bCs w:val="1"/>
          <w:color w:val="0000FF"/>
        </w:rPr>
        <w:t>Repayment to Company</w:t>
      </w:r>
    </w:p>
    <w:p>
      <w:pPr>
        <w:spacing w:after="0" w:line="213" w:lineRule="exact"/>
        <w:rPr>
          <w:sz w:val="20"/>
          <w:szCs w:val="20"/>
          <w:color w:val="auto"/>
        </w:rPr>
      </w:pPr>
    </w:p>
    <w:p>
      <w:pPr>
        <w:jc w:val="both"/>
        <w:ind w:firstLine="590"/>
        <w:spacing w:after="0" w:line="26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69" w:lineRule="exact"/>
        <w:rPr>
          <w:sz w:val="20"/>
          <w:szCs w:val="20"/>
          <w:color w:val="auto"/>
        </w:rPr>
      </w:pPr>
    </w:p>
    <w:p>
      <w:pPr>
        <w:ind w:left="7060"/>
        <w:spacing w:after="0"/>
        <w:rPr>
          <w:sz w:val="20"/>
          <w:szCs w:val="20"/>
          <w:color w:val="auto"/>
        </w:rPr>
      </w:pPr>
      <w:r>
        <w:rPr>
          <w:rFonts w:ascii="Arial" w:cs="Arial" w:eastAsia="Arial" w:hAnsi="Arial"/>
          <w:sz w:val="16"/>
          <w:szCs w:val="16"/>
          <w:b w:val="1"/>
          <w:bCs w:val="1"/>
          <w:color w:val="auto"/>
        </w:rPr>
        <w:t>ARTICLE 12</w:t>
      </w:r>
    </w:p>
    <w:p>
      <w:pPr>
        <w:spacing w:after="0" w:line="209"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0000FF"/>
        </w:rPr>
        <w:t>IMMUNITY OF INCORPORATORS, STOCKHOLDERS, OFFICERS AND DIRECTORS</w:t>
      </w:r>
    </w:p>
    <w:p>
      <w:pPr>
        <w:spacing w:after="0" w:line="209"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12.01</w:t>
      </w:r>
      <w:r>
        <w:rPr>
          <w:sz w:val="20"/>
          <w:szCs w:val="20"/>
          <w:color w:val="auto"/>
        </w:rPr>
        <w:tab/>
      </w:r>
      <w:r>
        <w:rPr>
          <w:rFonts w:ascii="Arial" w:cs="Arial" w:eastAsia="Arial" w:hAnsi="Arial"/>
          <w:sz w:val="14"/>
          <w:szCs w:val="14"/>
          <w:b w:val="1"/>
          <w:bCs w:val="1"/>
          <w:color w:val="0000FF"/>
        </w:rPr>
        <w:t>No Recourse</w:t>
      </w:r>
    </w:p>
    <w:p>
      <w:pPr>
        <w:spacing w:after="0" w:line="213" w:lineRule="exact"/>
        <w:rPr>
          <w:sz w:val="20"/>
          <w:szCs w:val="20"/>
          <w:color w:val="auto"/>
        </w:rPr>
      </w:pPr>
    </w:p>
    <w:p>
      <w:pPr>
        <w:jc w:val="both"/>
        <w:ind w:firstLine="590"/>
        <w:spacing w:after="0" w:line="300" w:lineRule="auto"/>
        <w:rPr>
          <w:sz w:val="20"/>
          <w:szCs w:val="20"/>
          <w:color w:val="auto"/>
        </w:rPr>
      </w:pPr>
      <w:r>
        <w:rPr>
          <w:rFonts w:ascii="Arial" w:cs="Arial" w:eastAsia="Arial" w:hAnsi="Arial"/>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47" w:lineRule="exact"/>
        <w:rPr>
          <w:sz w:val="20"/>
          <w:szCs w:val="20"/>
          <w:color w:val="auto"/>
        </w:rPr>
      </w:pPr>
    </w:p>
    <w:p>
      <w:pPr>
        <w:ind w:left="7140"/>
        <w:spacing w:after="0"/>
        <w:rPr>
          <w:sz w:val="20"/>
          <w:szCs w:val="20"/>
          <w:color w:val="auto"/>
        </w:rPr>
      </w:pPr>
      <w:r>
        <w:rPr>
          <w:rFonts w:ascii="Arial" w:cs="Arial" w:eastAsia="Arial" w:hAnsi="Arial"/>
          <w:sz w:val="16"/>
          <w:szCs w:val="16"/>
          <w:b w:val="1"/>
          <w:bCs w:val="1"/>
          <w:color w:val="auto"/>
        </w:rPr>
        <w:t>ARTICLE 13</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0000FF"/>
        </w:rPr>
        <w:t>MISCELLANEOUS PROVISIONS</w:t>
      </w:r>
    </w:p>
    <w:p>
      <w:pPr>
        <w:spacing w:after="0" w:line="209"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13.01</w:t>
      </w:r>
      <w:r>
        <w:rPr>
          <w:sz w:val="20"/>
          <w:szCs w:val="20"/>
          <w:color w:val="auto"/>
        </w:rPr>
        <w:tab/>
      </w:r>
      <w:r>
        <w:rPr>
          <w:rFonts w:ascii="Arial" w:cs="Arial" w:eastAsia="Arial" w:hAnsi="Arial"/>
          <w:sz w:val="13"/>
          <w:szCs w:val="13"/>
          <w:b w:val="1"/>
          <w:bCs w:val="1"/>
          <w:color w:val="0000FF"/>
        </w:rPr>
        <w:t>Effect on Successors and Assigns</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All the covenants, stipulations, promises and agreements in this Indenture made by or on behalf of the Company shall bind its successors and assigns, whether so expressed or not.</w:t>
      </w:r>
    </w:p>
    <w:p>
      <w:pPr>
        <w:spacing w:after="0" w:line="146"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13.02</w:t>
      </w:r>
      <w:r>
        <w:rPr>
          <w:sz w:val="20"/>
          <w:szCs w:val="20"/>
          <w:color w:val="auto"/>
        </w:rPr>
        <w:tab/>
      </w:r>
      <w:r>
        <w:rPr>
          <w:rFonts w:ascii="Arial" w:cs="Arial" w:eastAsia="Arial" w:hAnsi="Arial"/>
          <w:sz w:val="13"/>
          <w:szCs w:val="13"/>
          <w:b w:val="1"/>
          <w:bCs w:val="1"/>
          <w:color w:val="0000FF"/>
        </w:rPr>
        <w:t>Actions by Successor</w:t>
      </w:r>
    </w:p>
    <w:p>
      <w:pPr>
        <w:spacing w:after="0" w:line="213"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57"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13.03</w:t>
      </w:r>
      <w:r>
        <w:rPr>
          <w:sz w:val="20"/>
          <w:szCs w:val="20"/>
          <w:color w:val="auto"/>
        </w:rPr>
        <w:tab/>
      </w:r>
      <w:r>
        <w:rPr>
          <w:rFonts w:ascii="Arial" w:cs="Arial" w:eastAsia="Arial" w:hAnsi="Arial"/>
          <w:sz w:val="14"/>
          <w:szCs w:val="14"/>
          <w:b w:val="1"/>
          <w:bCs w:val="1"/>
          <w:color w:val="0000FF"/>
        </w:rPr>
        <w:t>Surrender of Company Powers</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78" w:right="239" w:bottom="1440" w:gutter="0" w:footer="0" w:header="0"/>
        </w:sectPr>
      </w:pPr>
    </w:p>
    <w:bookmarkStart w:id="64" w:name="page65"/>
    <w:bookmarkEnd w:id="64"/>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13.04</w:t>
      </w:r>
      <w:r>
        <w:rPr>
          <w:sz w:val="20"/>
          <w:szCs w:val="20"/>
          <w:color w:val="auto"/>
        </w:rPr>
        <w:tab/>
      </w:r>
      <w:r>
        <w:rPr>
          <w:rFonts w:ascii="Arial" w:cs="Arial" w:eastAsia="Arial" w:hAnsi="Arial"/>
          <w:sz w:val="13"/>
          <w:szCs w:val="13"/>
          <w:b w:val="1"/>
          <w:bCs w:val="1"/>
          <w:color w:val="0000FF"/>
        </w:rPr>
        <w:t>Notices</w:t>
      </w:r>
    </w:p>
    <w:p>
      <w:pPr>
        <w:spacing w:after="0" w:line="213" w:lineRule="exact"/>
        <w:rPr>
          <w:sz w:val="20"/>
          <w:szCs w:val="20"/>
          <w:color w:val="auto"/>
        </w:rPr>
      </w:pPr>
    </w:p>
    <w:p>
      <w:pPr>
        <w:jc w:val="both"/>
        <w:ind w:firstLine="590"/>
        <w:spacing w:after="0" w:line="298" w:lineRule="auto"/>
        <w:rPr>
          <w:sz w:val="20"/>
          <w:szCs w:val="20"/>
          <w:color w:val="auto"/>
        </w:rPr>
      </w:pPr>
      <w:r>
        <w:rPr>
          <w:rFonts w:ascii="Arial" w:cs="Arial" w:eastAsia="Arial" w:hAnsi="Arial"/>
          <w:sz w:val="14"/>
          <w:szCs w:val="14"/>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-282575</wp:posOffset>
            </wp:positionV>
            <wp:extent cx="347472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3474720" cy="7620"/>
                    </a:xfrm>
                    <a:prstGeom prst="rect">
                      <a:avLst/>
                    </a:prstGeom>
                    <a:noFill/>
                  </pic:spPr>
                </pic:pic>
              </a:graphicData>
            </a:graphic>
          </wp:anchor>
        </w:drawing>
      </w:r>
    </w:p>
    <w:p>
      <w:pPr>
        <w:spacing w:after="0" w:line="144"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13.05</w:t>
      </w:r>
      <w:r>
        <w:rPr>
          <w:sz w:val="20"/>
          <w:szCs w:val="20"/>
          <w:color w:val="auto"/>
        </w:rPr>
        <w:tab/>
      </w:r>
      <w:r>
        <w:rPr>
          <w:rFonts w:ascii="Arial" w:cs="Arial" w:eastAsia="Arial" w:hAnsi="Arial"/>
          <w:sz w:val="15"/>
          <w:szCs w:val="15"/>
          <w:b w:val="1"/>
          <w:bCs w:val="1"/>
          <w:color w:val="0000FF"/>
        </w:rPr>
        <w:t>Governing Law; Jury Trial Waiver</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This Indenture and each Security shall be governed by, and construed in accordance with, the internal laws of the State of New York, except to the extent that the Trust Indenture Act is applicable.</w:t>
      </w:r>
    </w:p>
    <w:p>
      <w:pPr>
        <w:spacing w:after="0" w:line="150"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57"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13.06</w:t>
      </w:r>
      <w:r>
        <w:rPr>
          <w:sz w:val="20"/>
          <w:szCs w:val="20"/>
          <w:color w:val="auto"/>
        </w:rPr>
        <w:tab/>
      </w:r>
      <w:r>
        <w:rPr>
          <w:rFonts w:ascii="Arial" w:cs="Arial" w:eastAsia="Arial" w:hAnsi="Arial"/>
          <w:sz w:val="14"/>
          <w:szCs w:val="14"/>
          <w:b w:val="1"/>
          <w:bCs w:val="1"/>
          <w:color w:val="0000FF"/>
        </w:rPr>
        <w:t>Treatment of Securities as Debt</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It is intended that the Securities will be treated as indebtedness and not as equity for federal income tax purposes. The provisions of this Indenture shall be interpreted to further this intention.</w:t>
      </w:r>
    </w:p>
    <w:p>
      <w:pPr>
        <w:spacing w:after="0" w:line="146"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13.07</w:t>
      </w:r>
      <w:r>
        <w:rPr>
          <w:sz w:val="20"/>
          <w:szCs w:val="20"/>
          <w:color w:val="auto"/>
        </w:rPr>
        <w:tab/>
      </w:r>
      <w:r>
        <w:rPr>
          <w:rFonts w:ascii="Arial" w:cs="Arial" w:eastAsia="Arial" w:hAnsi="Arial"/>
          <w:sz w:val="14"/>
          <w:szCs w:val="14"/>
          <w:b w:val="1"/>
          <w:bCs w:val="1"/>
          <w:color w:val="0000FF"/>
        </w:rPr>
        <w:t>Certificates and Opinions as to Conditions Precedent</w:t>
      </w:r>
    </w:p>
    <w:p>
      <w:pPr>
        <w:spacing w:after="0" w:line="213" w:lineRule="exact"/>
        <w:rPr>
          <w:sz w:val="20"/>
          <w:szCs w:val="20"/>
          <w:color w:val="auto"/>
        </w:rPr>
      </w:pPr>
    </w:p>
    <w:p>
      <w:pPr>
        <w:jc w:val="both"/>
        <w:ind w:firstLine="1178"/>
        <w:spacing w:after="0" w:line="286" w:lineRule="auto"/>
        <w:tabs>
          <w:tab w:leader="none" w:pos="1563" w:val="left"/>
        </w:tabs>
        <w:numPr>
          <w:ilvl w:val="0"/>
          <w:numId w:val="79"/>
        </w:numPr>
        <w:rPr>
          <w:rFonts w:ascii="Arial" w:cs="Arial" w:eastAsia="Arial" w:hAnsi="Arial"/>
          <w:sz w:val="15"/>
          <w:szCs w:val="15"/>
          <w:b w:val="1"/>
          <w:bCs w:val="1"/>
          <w:color w:val="auto"/>
        </w:rPr>
      </w:pPr>
      <w:r>
        <w:rPr>
          <w:rFonts w:ascii="Arial" w:cs="Arial" w:eastAsia="Arial" w:hAnsi="Arial"/>
          <w:sz w:val="15"/>
          <w:szCs w:val="15"/>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52" w:lineRule="exact"/>
        <w:rPr>
          <w:rFonts w:ascii="Arial" w:cs="Arial" w:eastAsia="Arial" w:hAnsi="Arial"/>
          <w:sz w:val="15"/>
          <w:szCs w:val="15"/>
          <w:b w:val="1"/>
          <w:bCs w:val="1"/>
          <w:color w:val="auto"/>
        </w:rPr>
      </w:pPr>
    </w:p>
    <w:p>
      <w:pPr>
        <w:jc w:val="both"/>
        <w:ind w:firstLine="1178"/>
        <w:spacing w:after="0" w:line="283" w:lineRule="auto"/>
        <w:tabs>
          <w:tab w:leader="none" w:pos="1565" w:val="left"/>
        </w:tabs>
        <w:numPr>
          <w:ilvl w:val="0"/>
          <w:numId w:val="79"/>
        </w:numPr>
        <w:rPr>
          <w:rFonts w:ascii="Arial" w:cs="Arial" w:eastAsia="Arial" w:hAnsi="Arial"/>
          <w:sz w:val="15"/>
          <w:szCs w:val="15"/>
          <w:b w:val="1"/>
          <w:bCs w:val="1"/>
          <w:color w:val="auto"/>
        </w:rPr>
      </w:pPr>
      <w:r>
        <w:rPr>
          <w:rFonts w:ascii="Arial" w:cs="Arial" w:eastAsia="Arial" w:hAnsi="Arial"/>
          <w:sz w:val="15"/>
          <w:szCs w:val="15"/>
          <w:color w:val="auto"/>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52"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13.08</w:t>
      </w:r>
      <w:r>
        <w:rPr>
          <w:sz w:val="20"/>
          <w:szCs w:val="20"/>
          <w:color w:val="auto"/>
        </w:rPr>
        <w:tab/>
      </w:r>
      <w:r>
        <w:rPr>
          <w:rFonts w:ascii="Arial" w:cs="Arial" w:eastAsia="Arial" w:hAnsi="Arial"/>
          <w:sz w:val="14"/>
          <w:szCs w:val="14"/>
          <w:b w:val="1"/>
          <w:bCs w:val="1"/>
          <w:color w:val="0000FF"/>
        </w:rPr>
        <w:t>Payments on Business Days</w:t>
      </w:r>
    </w:p>
    <w:p>
      <w:pPr>
        <w:spacing w:after="0" w:line="213"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6"/>
          <w:szCs w:val="16"/>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64"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13.09</w:t>
      </w:r>
      <w:r>
        <w:rPr>
          <w:sz w:val="20"/>
          <w:szCs w:val="20"/>
          <w:color w:val="auto"/>
        </w:rPr>
        <w:tab/>
      </w:r>
      <w:r>
        <w:rPr>
          <w:rFonts w:ascii="Arial" w:cs="Arial" w:eastAsia="Arial" w:hAnsi="Arial"/>
          <w:sz w:val="15"/>
          <w:szCs w:val="15"/>
          <w:b w:val="1"/>
          <w:bCs w:val="1"/>
          <w:color w:val="0000FF"/>
        </w:rPr>
        <w:t>Conflict with Trust Indenture Act</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If and to the extent that any provision of this Indenture limits, qualifies or conflicts with the duties imposed by Section 318(c) of the Trust Indenture Act, such imposed duties shall control.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78" w:right="239" w:bottom="1440" w:gutter="0" w:footer="0" w:header="0"/>
        </w:sectPr>
      </w:pPr>
    </w:p>
    <w:bookmarkStart w:id="65" w:name="page66"/>
    <w:bookmarkEnd w:id="65"/>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13.10</w:t>
      </w:r>
      <w:r>
        <w:rPr>
          <w:sz w:val="20"/>
          <w:szCs w:val="20"/>
          <w:color w:val="auto"/>
        </w:rPr>
        <w:tab/>
      </w:r>
      <w:r>
        <w:rPr>
          <w:rFonts w:ascii="Arial" w:cs="Arial" w:eastAsia="Arial" w:hAnsi="Arial"/>
          <w:sz w:val="14"/>
          <w:szCs w:val="14"/>
          <w:b w:val="1"/>
          <w:bCs w:val="1"/>
          <w:color w:val="0000FF"/>
        </w:rPr>
        <w:t>Counterparts</w:t>
      </w:r>
    </w:p>
    <w:p>
      <w:pPr>
        <w:spacing w:after="0" w:line="213"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6"/>
          <w:szCs w:val="16"/>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6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6"/>
          <w:szCs w:val="16"/>
          <w:b w:val="1"/>
          <w:bCs w:val="1"/>
          <w:color w:val="auto"/>
        </w:rPr>
        <w:t>Section 13.11</w:t>
      </w:r>
      <w:r>
        <w:rPr>
          <w:sz w:val="20"/>
          <w:szCs w:val="20"/>
          <w:color w:val="auto"/>
        </w:rPr>
        <w:tab/>
      </w:r>
      <w:r>
        <w:rPr>
          <w:rFonts w:ascii="Arial" w:cs="Arial" w:eastAsia="Arial" w:hAnsi="Arial"/>
          <w:sz w:val="15"/>
          <w:szCs w:val="15"/>
          <w:b w:val="1"/>
          <w:bCs w:val="1"/>
          <w:color w:val="0000FF"/>
        </w:rPr>
        <w:t>Separability</w:t>
      </w:r>
    </w:p>
    <w:p>
      <w:pPr>
        <w:spacing w:after="0" w:line="213"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57"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13.12</w:t>
      </w:r>
      <w:r>
        <w:rPr>
          <w:sz w:val="20"/>
          <w:szCs w:val="20"/>
          <w:color w:val="auto"/>
        </w:rPr>
        <w:tab/>
      </w:r>
      <w:r>
        <w:rPr>
          <w:rFonts w:ascii="Arial" w:cs="Arial" w:eastAsia="Arial" w:hAnsi="Arial"/>
          <w:sz w:val="14"/>
          <w:szCs w:val="14"/>
          <w:b w:val="1"/>
          <w:bCs w:val="1"/>
          <w:color w:val="0000FF"/>
        </w:rPr>
        <w:t>Compliance Certificates</w:t>
      </w:r>
    </w:p>
    <w:p>
      <w:pPr>
        <w:spacing w:after="0" w:line="213" w:lineRule="exact"/>
        <w:rPr>
          <w:sz w:val="20"/>
          <w:szCs w:val="20"/>
          <w:color w:val="auto"/>
        </w:rPr>
      </w:pPr>
    </w:p>
    <w:p>
      <w:pPr>
        <w:jc w:val="both"/>
        <w:ind w:firstLine="590"/>
        <w:spacing w:after="0" w:line="283" w:lineRule="auto"/>
        <w:rPr>
          <w:sz w:val="20"/>
          <w:szCs w:val="20"/>
          <w:color w:val="auto"/>
        </w:rPr>
      </w:pPr>
      <w:r>
        <w:rPr>
          <w:rFonts w:ascii="Arial" w:cs="Arial" w:eastAsia="Arial" w:hAnsi="Arial"/>
          <w:sz w:val="15"/>
          <w:szCs w:val="15"/>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52"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13.13</w:t>
      </w:r>
      <w:r>
        <w:rPr>
          <w:sz w:val="20"/>
          <w:szCs w:val="20"/>
          <w:color w:val="auto"/>
        </w:rPr>
        <w:tab/>
      </w:r>
      <w:r>
        <w:rPr>
          <w:rFonts w:ascii="Arial" w:cs="Arial" w:eastAsia="Arial" w:hAnsi="Arial"/>
          <w:sz w:val="15"/>
          <w:szCs w:val="15"/>
          <w:b w:val="1"/>
          <w:bCs w:val="1"/>
          <w:color w:val="0000FF"/>
        </w:rPr>
        <w:t>U.S.A Patriot Act</w:t>
      </w:r>
    </w:p>
    <w:p>
      <w:pPr>
        <w:spacing w:after="0" w:line="213"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6"/>
          <w:szCs w:val="16"/>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64"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13.14</w:t>
      </w:r>
      <w:r>
        <w:rPr>
          <w:sz w:val="20"/>
          <w:szCs w:val="20"/>
          <w:color w:val="auto"/>
        </w:rPr>
        <w:tab/>
      </w:r>
      <w:r>
        <w:rPr>
          <w:rFonts w:ascii="Arial" w:cs="Arial" w:eastAsia="Arial" w:hAnsi="Arial"/>
          <w:sz w:val="15"/>
          <w:szCs w:val="15"/>
          <w:b w:val="1"/>
          <w:bCs w:val="1"/>
          <w:color w:val="0000FF"/>
        </w:rPr>
        <w:t>Force Majeure</w:t>
      </w:r>
    </w:p>
    <w:p>
      <w:pPr>
        <w:spacing w:after="0" w:line="21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6"/>
          <w:szCs w:val="16"/>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68"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b w:val="1"/>
          <w:bCs w:val="1"/>
          <w:color w:val="auto"/>
        </w:rPr>
        <w:t>Section 13.15</w:t>
      </w:r>
      <w:r>
        <w:rPr>
          <w:sz w:val="20"/>
          <w:szCs w:val="20"/>
          <w:color w:val="auto"/>
        </w:rPr>
        <w:tab/>
      </w:r>
      <w:r>
        <w:rPr>
          <w:rFonts w:ascii="Arial" w:cs="Arial" w:eastAsia="Arial" w:hAnsi="Arial"/>
          <w:sz w:val="14"/>
          <w:szCs w:val="14"/>
          <w:b w:val="1"/>
          <w:bCs w:val="1"/>
          <w:color w:val="0000FF"/>
        </w:rPr>
        <w:t>Table of Contents; Headings</w:t>
      </w:r>
    </w:p>
    <w:p>
      <w:pPr>
        <w:spacing w:after="0" w:line="21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78" w:right="239" w:bottom="1440" w:gutter="0" w:footer="0" w:header="0"/>
        </w:sectPr>
      </w:pPr>
    </w:p>
    <w:bookmarkStart w:id="66" w:name="page67"/>
    <w:bookmarkEnd w:id="66"/>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hereto have caused this Indenture to be duly executed all as of the day and year first above written.</w:t>
      </w:r>
    </w:p>
    <w:p>
      <w:pPr>
        <w:sectPr>
          <w:pgSz w:w="11900" w:h="16838" w:orient="portrait"/>
          <w:cols w:equalWidth="0" w:num="1">
            <w:col w:w="9639"/>
          </w:cols>
          <w:pgMar w:left="820" w:top="578" w:right="1440" w:bottom="1440" w:gutter="0" w:footer="0" w:header="0"/>
        </w:sectPr>
      </w:pPr>
    </w:p>
    <w:p>
      <w:pPr>
        <w:spacing w:after="0" w:line="22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SI-BONE, INC.</w:t>
      </w:r>
    </w:p>
    <w:p>
      <w:pPr>
        <w:spacing w:after="0" w:line="213"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-6985</wp:posOffset>
            </wp:positionV>
            <wp:extent cx="1041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18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2181860</wp:posOffset>
            </wp:positionH>
            <wp:positionV relativeFrom="paragraph">
              <wp:posOffset>-6985</wp:posOffset>
            </wp:positionV>
            <wp:extent cx="1041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18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-6985</wp:posOffset>
            </wp:positionV>
            <wp:extent cx="1041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[TRUSTEE]</w:t>
      </w:r>
      <w:r>
        <w:rPr>
          <w:rFonts w:ascii="Arial" w:cs="Arial" w:eastAsia="Arial" w:hAnsi="Arial"/>
          <w:sz w:val="16"/>
          <w:szCs w:val="16"/>
          <w:color w:val="auto"/>
        </w:rPr>
        <w:t>, as Trustee</w:t>
      </w:r>
    </w:p>
    <w:p>
      <w:pPr>
        <w:spacing w:after="0" w:line="213"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-6985</wp:posOffset>
            </wp:positionV>
            <wp:extent cx="1041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18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2181860</wp:posOffset>
            </wp:positionH>
            <wp:positionV relativeFrom="paragraph">
              <wp:posOffset>-6985</wp:posOffset>
            </wp:positionV>
            <wp:extent cx="1041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18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2125980</wp:posOffset>
            </wp:positionH>
            <wp:positionV relativeFrom="paragraph">
              <wp:posOffset>-6985</wp:posOffset>
            </wp:positionV>
            <wp:extent cx="1041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398"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639"/>
          </w:cols>
          <w:pgMar w:left="820" w:top="578" w:right="1440" w:bottom="1440" w:gutter="0" w:footer="0" w:header="0"/>
          <w:type w:val="continuous"/>
        </w:sectPr>
      </w:pPr>
    </w:p>
    <w:bookmarkStart w:id="67" w:name="page68"/>
    <w:bookmarkEnd w:id="67"/>
    <w:tbl>
      <w:tblPr>
        <w:tblLayout w:type="fixed"/>
        <w:tblInd w:w="2" w:type="dxa"/>
        <w:tblCellMar>
          <w:top w:w="0" w:type="dxa"/>
          <w:left w:w="0" w:type="dxa"/>
          <w:bottom w:w="0" w:type="dxa"/>
          <w:right w:w="0" w:type="dxa"/>
        </w:tblCellMar>
      </w:tblPr>
      <w:tr>
        <w:trPr>
          <w:trHeight w:val="212"/>
        </w:trPr>
        <w:tc>
          <w:tcPr>
            <w:tcW w:w="6120" w:type="dxa"/>
            <w:vAlign w:val="bottom"/>
            <w:gridSpan w:val="3"/>
          </w:tcPr>
          <w:p>
            <w:pPr>
              <w:spacing w:after="0"/>
              <w:rPr>
                <w:sz w:val="20"/>
                <w:szCs w:val="20"/>
                <w:color w:val="auto"/>
              </w:rPr>
            </w:pPr>
            <w:r>
              <w:rPr>
                <w:rFonts w:ascii="Arial" w:cs="Arial" w:eastAsia="Arial" w:hAnsi="Arial"/>
                <w:sz w:val="16"/>
                <w:szCs w:val="16"/>
                <w:b w:val="1"/>
                <w:bCs w:val="1"/>
                <w:color w:val="auto"/>
              </w:rPr>
              <w:t>CROSS-REFERENCE TABLE (1)</w:t>
            </w:r>
          </w:p>
        </w:tc>
        <w:tc>
          <w:tcPr>
            <w:tcW w:w="4580" w:type="dxa"/>
            <w:vAlign w:val="bottom"/>
          </w:tcPr>
          <w:p>
            <w:pPr>
              <w:spacing w:after="0"/>
              <w:rPr>
                <w:sz w:val="18"/>
                <w:szCs w:val="18"/>
                <w:color w:val="auto"/>
              </w:rPr>
            </w:pPr>
          </w:p>
        </w:tc>
      </w:tr>
      <w:tr>
        <w:trPr>
          <w:trHeight w:val="934"/>
        </w:trPr>
        <w:tc>
          <w:tcPr>
            <w:tcW w:w="740" w:type="dxa"/>
            <w:vAlign w:val="bottom"/>
          </w:tcPr>
          <w:p>
            <w:pPr>
              <w:spacing w:after="0"/>
              <w:rPr>
                <w:sz w:val="24"/>
                <w:szCs w:val="24"/>
                <w:color w:val="auto"/>
              </w:rPr>
            </w:pPr>
          </w:p>
        </w:tc>
        <w:tc>
          <w:tcPr>
            <w:tcW w:w="5380" w:type="dxa"/>
            <w:vAlign w:val="bottom"/>
            <w:gridSpan w:val="2"/>
          </w:tcPr>
          <w:p>
            <w:pPr>
              <w:ind w:left="720"/>
              <w:spacing w:after="0"/>
              <w:rPr>
                <w:sz w:val="20"/>
                <w:szCs w:val="20"/>
                <w:color w:val="auto"/>
              </w:rPr>
            </w:pPr>
            <w:r>
              <w:rPr>
                <w:rFonts w:ascii="Arial" w:cs="Arial" w:eastAsia="Arial" w:hAnsi="Arial"/>
                <w:sz w:val="16"/>
                <w:szCs w:val="16"/>
                <w:b w:val="1"/>
                <w:bCs w:val="1"/>
                <w:color w:val="auto"/>
              </w:rPr>
              <w:t>Section of Trust Indenture Act of 1939, as Amended</w:t>
            </w:r>
          </w:p>
        </w:tc>
        <w:tc>
          <w:tcPr>
            <w:tcW w:w="4580" w:type="dxa"/>
            <w:vAlign w:val="bottom"/>
          </w:tcPr>
          <w:p>
            <w:pPr>
              <w:ind w:left="1580"/>
              <w:spacing w:after="0"/>
              <w:rPr>
                <w:sz w:val="20"/>
                <w:szCs w:val="20"/>
                <w:color w:val="auto"/>
              </w:rPr>
            </w:pPr>
            <w:r>
              <w:rPr>
                <w:rFonts w:ascii="Arial" w:cs="Arial" w:eastAsia="Arial" w:hAnsi="Arial"/>
                <w:sz w:val="16"/>
                <w:szCs w:val="16"/>
                <w:b w:val="1"/>
                <w:bCs w:val="1"/>
                <w:color w:val="auto"/>
              </w:rPr>
              <w:t>Section of Indenture</w:t>
            </w:r>
          </w:p>
        </w:tc>
      </w:tr>
      <w:tr>
        <w:trPr>
          <w:trHeight w:val="26"/>
        </w:trPr>
        <w:tc>
          <w:tcPr>
            <w:tcW w:w="74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12"/>
        </w:trPr>
        <w:tc>
          <w:tcPr>
            <w:tcW w:w="740" w:type="dxa"/>
            <w:vAlign w:val="bottom"/>
          </w:tcPr>
          <w:p>
            <w:pPr>
              <w:spacing w:after="0"/>
              <w:rPr>
                <w:sz w:val="18"/>
                <w:szCs w:val="18"/>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310(a)</w:t>
            </w:r>
          </w:p>
        </w:tc>
        <w:tc>
          <w:tcPr>
            <w:tcW w:w="4580" w:type="dxa"/>
            <w:vAlign w:val="bottom"/>
          </w:tcPr>
          <w:p>
            <w:pPr>
              <w:ind w:left="20"/>
              <w:spacing w:after="0"/>
              <w:rPr>
                <w:sz w:val="20"/>
                <w:szCs w:val="20"/>
                <w:color w:val="auto"/>
              </w:rPr>
            </w:pPr>
            <w:r>
              <w:rPr>
                <w:rFonts w:ascii="Arial" w:cs="Arial" w:eastAsia="Arial" w:hAnsi="Arial"/>
                <w:sz w:val="16"/>
                <w:szCs w:val="16"/>
                <w:color w:val="auto"/>
              </w:rPr>
              <w:t>7.09</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310(b)</w:t>
            </w:r>
          </w:p>
        </w:tc>
        <w:tc>
          <w:tcPr>
            <w:tcW w:w="4580" w:type="dxa"/>
            <w:vAlign w:val="bottom"/>
          </w:tcPr>
          <w:p>
            <w:pPr>
              <w:ind w:left="20"/>
              <w:spacing w:after="0"/>
              <w:rPr>
                <w:sz w:val="20"/>
                <w:szCs w:val="20"/>
                <w:color w:val="auto"/>
              </w:rPr>
            </w:pPr>
            <w:r>
              <w:rPr>
                <w:rFonts w:ascii="Arial" w:cs="Arial" w:eastAsia="Arial" w:hAnsi="Arial"/>
                <w:sz w:val="16"/>
                <w:szCs w:val="16"/>
                <w:color w:val="auto"/>
              </w:rPr>
              <w:t>7.08</w:t>
            </w:r>
          </w:p>
        </w:tc>
      </w:tr>
      <w:tr>
        <w:trPr>
          <w:trHeight w:val="246"/>
        </w:trPr>
        <w:tc>
          <w:tcPr>
            <w:tcW w:w="7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7.10</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310(c)</w:t>
            </w:r>
          </w:p>
        </w:tc>
        <w:tc>
          <w:tcPr>
            <w:tcW w:w="4580" w:type="dxa"/>
            <w:vAlign w:val="bottom"/>
          </w:tcPr>
          <w:p>
            <w:pPr>
              <w:ind w:left="20"/>
              <w:spacing w:after="0"/>
              <w:rPr>
                <w:sz w:val="20"/>
                <w:szCs w:val="20"/>
                <w:color w:val="auto"/>
              </w:rPr>
            </w:pPr>
            <w:r>
              <w:rPr>
                <w:rFonts w:ascii="Arial" w:cs="Arial" w:eastAsia="Arial" w:hAnsi="Arial"/>
                <w:sz w:val="16"/>
                <w:szCs w:val="16"/>
                <w:color w:val="auto"/>
              </w:rPr>
              <w:t>Inapplicable</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311(a)</w:t>
            </w:r>
          </w:p>
        </w:tc>
        <w:tc>
          <w:tcPr>
            <w:tcW w:w="4580" w:type="dxa"/>
            <w:vAlign w:val="bottom"/>
          </w:tcPr>
          <w:p>
            <w:pPr>
              <w:ind w:left="20"/>
              <w:spacing w:after="0"/>
              <w:rPr>
                <w:sz w:val="20"/>
                <w:szCs w:val="20"/>
                <w:color w:val="auto"/>
              </w:rPr>
            </w:pPr>
            <w:r>
              <w:rPr>
                <w:rFonts w:ascii="Arial" w:cs="Arial" w:eastAsia="Arial" w:hAnsi="Arial"/>
                <w:sz w:val="16"/>
                <w:szCs w:val="16"/>
                <w:color w:val="auto"/>
              </w:rPr>
              <w:t>7.13</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311(b)</w:t>
            </w:r>
          </w:p>
        </w:tc>
        <w:tc>
          <w:tcPr>
            <w:tcW w:w="4580" w:type="dxa"/>
            <w:vAlign w:val="bottom"/>
          </w:tcPr>
          <w:p>
            <w:pPr>
              <w:ind w:left="20"/>
              <w:spacing w:after="0"/>
              <w:rPr>
                <w:sz w:val="20"/>
                <w:szCs w:val="20"/>
                <w:color w:val="auto"/>
              </w:rPr>
            </w:pPr>
            <w:r>
              <w:rPr>
                <w:rFonts w:ascii="Arial" w:cs="Arial" w:eastAsia="Arial" w:hAnsi="Arial"/>
                <w:sz w:val="16"/>
                <w:szCs w:val="16"/>
                <w:color w:val="auto"/>
              </w:rPr>
              <w:t>7.13</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311(c)</w:t>
            </w:r>
          </w:p>
        </w:tc>
        <w:tc>
          <w:tcPr>
            <w:tcW w:w="4580" w:type="dxa"/>
            <w:vAlign w:val="bottom"/>
          </w:tcPr>
          <w:p>
            <w:pPr>
              <w:ind w:left="20"/>
              <w:spacing w:after="0"/>
              <w:rPr>
                <w:sz w:val="20"/>
                <w:szCs w:val="20"/>
                <w:color w:val="auto"/>
              </w:rPr>
            </w:pPr>
            <w:r>
              <w:rPr>
                <w:rFonts w:ascii="Arial" w:cs="Arial" w:eastAsia="Arial" w:hAnsi="Arial"/>
                <w:sz w:val="16"/>
                <w:szCs w:val="16"/>
                <w:color w:val="auto"/>
              </w:rPr>
              <w:t>Inapplicable</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312(a)</w:t>
            </w:r>
          </w:p>
        </w:tc>
        <w:tc>
          <w:tcPr>
            <w:tcW w:w="4580" w:type="dxa"/>
            <w:vAlign w:val="bottom"/>
          </w:tcPr>
          <w:p>
            <w:pPr>
              <w:ind w:left="20"/>
              <w:spacing w:after="0"/>
              <w:rPr>
                <w:sz w:val="20"/>
                <w:szCs w:val="20"/>
                <w:color w:val="auto"/>
              </w:rPr>
            </w:pPr>
            <w:r>
              <w:rPr>
                <w:rFonts w:ascii="Arial" w:cs="Arial" w:eastAsia="Arial" w:hAnsi="Arial"/>
                <w:sz w:val="16"/>
                <w:szCs w:val="16"/>
                <w:color w:val="auto"/>
              </w:rPr>
              <w:t>5.01</w:t>
            </w:r>
          </w:p>
        </w:tc>
      </w:tr>
      <w:tr>
        <w:trPr>
          <w:trHeight w:val="246"/>
        </w:trPr>
        <w:tc>
          <w:tcPr>
            <w:tcW w:w="7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5.02(a)</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312(b)</w:t>
            </w:r>
          </w:p>
        </w:tc>
        <w:tc>
          <w:tcPr>
            <w:tcW w:w="4580" w:type="dxa"/>
            <w:vAlign w:val="bottom"/>
          </w:tcPr>
          <w:p>
            <w:pPr>
              <w:ind w:left="20"/>
              <w:spacing w:after="0"/>
              <w:rPr>
                <w:sz w:val="20"/>
                <w:szCs w:val="20"/>
                <w:color w:val="auto"/>
              </w:rPr>
            </w:pPr>
            <w:r>
              <w:rPr>
                <w:rFonts w:ascii="Arial" w:cs="Arial" w:eastAsia="Arial" w:hAnsi="Arial"/>
                <w:sz w:val="16"/>
                <w:szCs w:val="16"/>
                <w:color w:val="auto"/>
              </w:rPr>
              <w:t>5.02(c)</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312(c)</w:t>
            </w:r>
          </w:p>
        </w:tc>
        <w:tc>
          <w:tcPr>
            <w:tcW w:w="4580" w:type="dxa"/>
            <w:vAlign w:val="bottom"/>
          </w:tcPr>
          <w:p>
            <w:pPr>
              <w:ind w:left="20"/>
              <w:spacing w:after="0"/>
              <w:rPr>
                <w:sz w:val="20"/>
                <w:szCs w:val="20"/>
                <w:color w:val="auto"/>
              </w:rPr>
            </w:pPr>
            <w:r>
              <w:rPr>
                <w:rFonts w:ascii="Arial" w:cs="Arial" w:eastAsia="Arial" w:hAnsi="Arial"/>
                <w:sz w:val="16"/>
                <w:szCs w:val="16"/>
                <w:color w:val="auto"/>
              </w:rPr>
              <w:t>5.02(c)</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313(a)</w:t>
            </w:r>
          </w:p>
        </w:tc>
        <w:tc>
          <w:tcPr>
            <w:tcW w:w="4580" w:type="dxa"/>
            <w:vAlign w:val="bottom"/>
          </w:tcPr>
          <w:p>
            <w:pPr>
              <w:ind w:left="20"/>
              <w:spacing w:after="0"/>
              <w:rPr>
                <w:sz w:val="20"/>
                <w:szCs w:val="20"/>
                <w:color w:val="auto"/>
              </w:rPr>
            </w:pPr>
            <w:r>
              <w:rPr>
                <w:rFonts w:ascii="Arial" w:cs="Arial" w:eastAsia="Arial" w:hAnsi="Arial"/>
                <w:sz w:val="16"/>
                <w:szCs w:val="16"/>
                <w:color w:val="auto"/>
              </w:rPr>
              <w:t>5.04(a)</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313(b)</w:t>
            </w:r>
          </w:p>
        </w:tc>
        <w:tc>
          <w:tcPr>
            <w:tcW w:w="4580" w:type="dxa"/>
            <w:vAlign w:val="bottom"/>
          </w:tcPr>
          <w:p>
            <w:pPr>
              <w:ind w:left="20"/>
              <w:spacing w:after="0"/>
              <w:rPr>
                <w:sz w:val="20"/>
                <w:szCs w:val="20"/>
                <w:color w:val="auto"/>
              </w:rPr>
            </w:pPr>
            <w:r>
              <w:rPr>
                <w:rFonts w:ascii="Arial" w:cs="Arial" w:eastAsia="Arial" w:hAnsi="Arial"/>
                <w:sz w:val="16"/>
                <w:szCs w:val="16"/>
                <w:color w:val="auto"/>
              </w:rPr>
              <w:t>5.04(b)</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313(c)</w:t>
            </w:r>
          </w:p>
        </w:tc>
        <w:tc>
          <w:tcPr>
            <w:tcW w:w="4580" w:type="dxa"/>
            <w:vAlign w:val="bottom"/>
          </w:tcPr>
          <w:p>
            <w:pPr>
              <w:ind w:left="20"/>
              <w:spacing w:after="0"/>
              <w:rPr>
                <w:sz w:val="20"/>
                <w:szCs w:val="20"/>
                <w:color w:val="auto"/>
              </w:rPr>
            </w:pPr>
            <w:r>
              <w:rPr>
                <w:rFonts w:ascii="Arial" w:cs="Arial" w:eastAsia="Arial" w:hAnsi="Arial"/>
                <w:sz w:val="16"/>
                <w:szCs w:val="16"/>
                <w:color w:val="auto"/>
              </w:rPr>
              <w:t>5.04(a)</w:t>
            </w:r>
          </w:p>
        </w:tc>
      </w:tr>
      <w:tr>
        <w:trPr>
          <w:trHeight w:val="246"/>
        </w:trPr>
        <w:tc>
          <w:tcPr>
            <w:tcW w:w="7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5.04(b)</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313(d)</w:t>
            </w:r>
          </w:p>
        </w:tc>
        <w:tc>
          <w:tcPr>
            <w:tcW w:w="4580" w:type="dxa"/>
            <w:vAlign w:val="bottom"/>
          </w:tcPr>
          <w:p>
            <w:pPr>
              <w:ind w:left="20"/>
              <w:spacing w:after="0"/>
              <w:rPr>
                <w:sz w:val="20"/>
                <w:szCs w:val="20"/>
                <w:color w:val="auto"/>
              </w:rPr>
            </w:pPr>
            <w:r>
              <w:rPr>
                <w:rFonts w:ascii="Arial" w:cs="Arial" w:eastAsia="Arial" w:hAnsi="Arial"/>
                <w:sz w:val="16"/>
                <w:szCs w:val="16"/>
                <w:color w:val="auto"/>
              </w:rPr>
              <w:t>5.04(c)</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314(a)</w:t>
            </w:r>
          </w:p>
        </w:tc>
        <w:tc>
          <w:tcPr>
            <w:tcW w:w="4580" w:type="dxa"/>
            <w:vAlign w:val="bottom"/>
          </w:tcPr>
          <w:p>
            <w:pPr>
              <w:ind w:left="20"/>
              <w:spacing w:after="0"/>
              <w:rPr>
                <w:sz w:val="20"/>
                <w:szCs w:val="20"/>
                <w:color w:val="auto"/>
              </w:rPr>
            </w:pPr>
            <w:r>
              <w:rPr>
                <w:rFonts w:ascii="Arial" w:cs="Arial" w:eastAsia="Arial" w:hAnsi="Arial"/>
                <w:sz w:val="16"/>
                <w:szCs w:val="16"/>
                <w:color w:val="auto"/>
              </w:rPr>
              <w:t>5.03</w:t>
            </w:r>
          </w:p>
        </w:tc>
      </w:tr>
      <w:tr>
        <w:trPr>
          <w:trHeight w:val="246"/>
        </w:trPr>
        <w:tc>
          <w:tcPr>
            <w:tcW w:w="7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13.12</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314(b)</w:t>
            </w:r>
          </w:p>
        </w:tc>
        <w:tc>
          <w:tcPr>
            <w:tcW w:w="4580" w:type="dxa"/>
            <w:vAlign w:val="bottom"/>
          </w:tcPr>
          <w:p>
            <w:pPr>
              <w:ind w:left="20"/>
              <w:spacing w:after="0"/>
              <w:rPr>
                <w:sz w:val="20"/>
                <w:szCs w:val="20"/>
                <w:color w:val="auto"/>
              </w:rPr>
            </w:pPr>
            <w:r>
              <w:rPr>
                <w:rFonts w:ascii="Arial" w:cs="Arial" w:eastAsia="Arial" w:hAnsi="Arial"/>
                <w:sz w:val="16"/>
                <w:szCs w:val="16"/>
                <w:color w:val="auto"/>
              </w:rPr>
              <w:t>Inapplicable</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314(c)</w:t>
            </w:r>
          </w:p>
        </w:tc>
        <w:tc>
          <w:tcPr>
            <w:tcW w:w="4580" w:type="dxa"/>
            <w:vAlign w:val="bottom"/>
          </w:tcPr>
          <w:p>
            <w:pPr>
              <w:ind w:left="20"/>
              <w:spacing w:after="0"/>
              <w:rPr>
                <w:sz w:val="20"/>
                <w:szCs w:val="20"/>
                <w:color w:val="auto"/>
              </w:rPr>
            </w:pPr>
            <w:r>
              <w:rPr>
                <w:rFonts w:ascii="Arial" w:cs="Arial" w:eastAsia="Arial" w:hAnsi="Arial"/>
                <w:sz w:val="16"/>
                <w:szCs w:val="16"/>
                <w:color w:val="auto"/>
              </w:rPr>
              <w:t>13.07(a)</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314(d)</w:t>
            </w:r>
          </w:p>
        </w:tc>
        <w:tc>
          <w:tcPr>
            <w:tcW w:w="4580" w:type="dxa"/>
            <w:vAlign w:val="bottom"/>
          </w:tcPr>
          <w:p>
            <w:pPr>
              <w:ind w:left="20"/>
              <w:spacing w:after="0"/>
              <w:rPr>
                <w:sz w:val="20"/>
                <w:szCs w:val="20"/>
                <w:color w:val="auto"/>
              </w:rPr>
            </w:pPr>
            <w:r>
              <w:rPr>
                <w:rFonts w:ascii="Arial" w:cs="Arial" w:eastAsia="Arial" w:hAnsi="Arial"/>
                <w:sz w:val="16"/>
                <w:szCs w:val="16"/>
                <w:color w:val="auto"/>
              </w:rPr>
              <w:t>Inapplicable</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314(e)</w:t>
            </w:r>
          </w:p>
        </w:tc>
        <w:tc>
          <w:tcPr>
            <w:tcW w:w="4580" w:type="dxa"/>
            <w:vAlign w:val="bottom"/>
          </w:tcPr>
          <w:p>
            <w:pPr>
              <w:ind w:left="20"/>
              <w:spacing w:after="0"/>
              <w:rPr>
                <w:sz w:val="20"/>
                <w:szCs w:val="20"/>
                <w:color w:val="auto"/>
              </w:rPr>
            </w:pPr>
            <w:r>
              <w:rPr>
                <w:rFonts w:ascii="Arial" w:cs="Arial" w:eastAsia="Arial" w:hAnsi="Arial"/>
                <w:sz w:val="16"/>
                <w:szCs w:val="16"/>
                <w:color w:val="auto"/>
              </w:rPr>
              <w:t>13.07(b)</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314(f)</w:t>
            </w:r>
          </w:p>
        </w:tc>
        <w:tc>
          <w:tcPr>
            <w:tcW w:w="4580" w:type="dxa"/>
            <w:vAlign w:val="bottom"/>
          </w:tcPr>
          <w:p>
            <w:pPr>
              <w:ind w:left="20"/>
              <w:spacing w:after="0"/>
              <w:rPr>
                <w:sz w:val="20"/>
                <w:szCs w:val="20"/>
                <w:color w:val="auto"/>
              </w:rPr>
            </w:pPr>
            <w:r>
              <w:rPr>
                <w:rFonts w:ascii="Arial" w:cs="Arial" w:eastAsia="Arial" w:hAnsi="Arial"/>
                <w:sz w:val="16"/>
                <w:szCs w:val="16"/>
                <w:color w:val="auto"/>
              </w:rPr>
              <w:t>Inapplicable</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315(a)</w:t>
            </w:r>
          </w:p>
        </w:tc>
        <w:tc>
          <w:tcPr>
            <w:tcW w:w="4580" w:type="dxa"/>
            <w:vAlign w:val="bottom"/>
          </w:tcPr>
          <w:p>
            <w:pPr>
              <w:ind w:left="20"/>
              <w:spacing w:after="0"/>
              <w:rPr>
                <w:sz w:val="20"/>
                <w:szCs w:val="20"/>
                <w:color w:val="auto"/>
              </w:rPr>
            </w:pPr>
            <w:r>
              <w:rPr>
                <w:rFonts w:ascii="Arial" w:cs="Arial" w:eastAsia="Arial" w:hAnsi="Arial"/>
                <w:sz w:val="16"/>
                <w:szCs w:val="16"/>
                <w:color w:val="auto"/>
              </w:rPr>
              <w:t>7.01(a)</w:t>
            </w:r>
          </w:p>
        </w:tc>
      </w:tr>
      <w:tr>
        <w:trPr>
          <w:trHeight w:val="246"/>
        </w:trPr>
        <w:tc>
          <w:tcPr>
            <w:tcW w:w="7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7.01(b)</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315(b)</w:t>
            </w:r>
          </w:p>
        </w:tc>
        <w:tc>
          <w:tcPr>
            <w:tcW w:w="4580" w:type="dxa"/>
            <w:vAlign w:val="bottom"/>
          </w:tcPr>
          <w:p>
            <w:pPr>
              <w:ind w:left="20"/>
              <w:spacing w:after="0"/>
              <w:rPr>
                <w:sz w:val="20"/>
                <w:szCs w:val="20"/>
                <w:color w:val="auto"/>
              </w:rPr>
            </w:pPr>
            <w:r>
              <w:rPr>
                <w:rFonts w:ascii="Arial" w:cs="Arial" w:eastAsia="Arial" w:hAnsi="Arial"/>
                <w:sz w:val="16"/>
                <w:szCs w:val="16"/>
                <w:color w:val="auto"/>
              </w:rPr>
              <w:t>7.14</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315(c)</w:t>
            </w:r>
          </w:p>
        </w:tc>
        <w:tc>
          <w:tcPr>
            <w:tcW w:w="4580" w:type="dxa"/>
            <w:vAlign w:val="bottom"/>
          </w:tcPr>
          <w:p>
            <w:pPr>
              <w:ind w:left="20"/>
              <w:spacing w:after="0"/>
              <w:rPr>
                <w:sz w:val="20"/>
                <w:szCs w:val="20"/>
                <w:color w:val="auto"/>
              </w:rPr>
            </w:pPr>
            <w:r>
              <w:rPr>
                <w:rFonts w:ascii="Arial" w:cs="Arial" w:eastAsia="Arial" w:hAnsi="Arial"/>
                <w:sz w:val="16"/>
                <w:szCs w:val="16"/>
                <w:color w:val="auto"/>
              </w:rPr>
              <w:t>7.01</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315(d)</w:t>
            </w:r>
          </w:p>
        </w:tc>
        <w:tc>
          <w:tcPr>
            <w:tcW w:w="4580" w:type="dxa"/>
            <w:vAlign w:val="bottom"/>
          </w:tcPr>
          <w:p>
            <w:pPr>
              <w:ind w:left="20"/>
              <w:spacing w:after="0"/>
              <w:rPr>
                <w:sz w:val="20"/>
                <w:szCs w:val="20"/>
                <w:color w:val="auto"/>
              </w:rPr>
            </w:pPr>
            <w:r>
              <w:rPr>
                <w:rFonts w:ascii="Arial" w:cs="Arial" w:eastAsia="Arial" w:hAnsi="Arial"/>
                <w:sz w:val="16"/>
                <w:szCs w:val="16"/>
                <w:color w:val="auto"/>
              </w:rPr>
              <w:t>7.01(b)</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315(e)</w:t>
            </w:r>
          </w:p>
        </w:tc>
        <w:tc>
          <w:tcPr>
            <w:tcW w:w="4580" w:type="dxa"/>
            <w:vAlign w:val="bottom"/>
          </w:tcPr>
          <w:p>
            <w:pPr>
              <w:ind w:left="20"/>
              <w:spacing w:after="0"/>
              <w:rPr>
                <w:sz w:val="20"/>
                <w:szCs w:val="20"/>
                <w:color w:val="auto"/>
              </w:rPr>
            </w:pPr>
            <w:r>
              <w:rPr>
                <w:rFonts w:ascii="Arial" w:cs="Arial" w:eastAsia="Arial" w:hAnsi="Arial"/>
                <w:sz w:val="16"/>
                <w:szCs w:val="16"/>
                <w:color w:val="auto"/>
              </w:rPr>
              <w:t>6.07</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316(a)</w:t>
            </w:r>
          </w:p>
        </w:tc>
        <w:tc>
          <w:tcPr>
            <w:tcW w:w="4580" w:type="dxa"/>
            <w:vAlign w:val="bottom"/>
          </w:tcPr>
          <w:p>
            <w:pPr>
              <w:ind w:left="20"/>
              <w:spacing w:after="0"/>
              <w:rPr>
                <w:sz w:val="20"/>
                <w:szCs w:val="20"/>
                <w:color w:val="auto"/>
              </w:rPr>
            </w:pPr>
            <w:r>
              <w:rPr>
                <w:rFonts w:ascii="Arial" w:cs="Arial" w:eastAsia="Arial" w:hAnsi="Arial"/>
                <w:sz w:val="16"/>
                <w:szCs w:val="16"/>
                <w:color w:val="auto"/>
              </w:rPr>
              <w:t>6.06</w:t>
            </w:r>
          </w:p>
        </w:tc>
      </w:tr>
      <w:tr>
        <w:trPr>
          <w:trHeight w:val="246"/>
        </w:trPr>
        <w:tc>
          <w:tcPr>
            <w:tcW w:w="74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580" w:type="dxa"/>
            <w:vAlign w:val="bottom"/>
          </w:tcPr>
          <w:p>
            <w:pPr>
              <w:ind w:left="20"/>
              <w:spacing w:after="0"/>
              <w:rPr>
                <w:sz w:val="20"/>
                <w:szCs w:val="20"/>
                <w:color w:val="auto"/>
              </w:rPr>
            </w:pPr>
            <w:r>
              <w:rPr>
                <w:rFonts w:ascii="Arial" w:cs="Arial" w:eastAsia="Arial" w:hAnsi="Arial"/>
                <w:sz w:val="16"/>
                <w:szCs w:val="16"/>
                <w:color w:val="auto"/>
              </w:rPr>
              <w:t>8.04</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316(b)</w:t>
            </w:r>
          </w:p>
        </w:tc>
        <w:tc>
          <w:tcPr>
            <w:tcW w:w="4580" w:type="dxa"/>
            <w:vAlign w:val="bottom"/>
          </w:tcPr>
          <w:p>
            <w:pPr>
              <w:ind w:left="20"/>
              <w:spacing w:after="0"/>
              <w:rPr>
                <w:sz w:val="20"/>
                <w:szCs w:val="20"/>
                <w:color w:val="auto"/>
              </w:rPr>
            </w:pPr>
            <w:r>
              <w:rPr>
                <w:rFonts w:ascii="Arial" w:cs="Arial" w:eastAsia="Arial" w:hAnsi="Arial"/>
                <w:sz w:val="16"/>
                <w:szCs w:val="16"/>
                <w:color w:val="auto"/>
              </w:rPr>
              <w:t>6.04</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316(c)</w:t>
            </w:r>
          </w:p>
        </w:tc>
        <w:tc>
          <w:tcPr>
            <w:tcW w:w="4580" w:type="dxa"/>
            <w:vAlign w:val="bottom"/>
          </w:tcPr>
          <w:p>
            <w:pPr>
              <w:ind w:left="20"/>
              <w:spacing w:after="0"/>
              <w:rPr>
                <w:sz w:val="20"/>
                <w:szCs w:val="20"/>
                <w:color w:val="auto"/>
              </w:rPr>
            </w:pPr>
            <w:r>
              <w:rPr>
                <w:rFonts w:ascii="Arial" w:cs="Arial" w:eastAsia="Arial" w:hAnsi="Arial"/>
                <w:sz w:val="16"/>
                <w:szCs w:val="16"/>
                <w:color w:val="auto"/>
              </w:rPr>
              <w:t>8.01</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317(a)</w:t>
            </w:r>
          </w:p>
        </w:tc>
        <w:tc>
          <w:tcPr>
            <w:tcW w:w="4580" w:type="dxa"/>
            <w:vAlign w:val="bottom"/>
          </w:tcPr>
          <w:p>
            <w:pPr>
              <w:ind w:left="20"/>
              <w:spacing w:after="0"/>
              <w:rPr>
                <w:sz w:val="20"/>
                <w:szCs w:val="20"/>
                <w:color w:val="auto"/>
              </w:rPr>
            </w:pPr>
            <w:r>
              <w:rPr>
                <w:rFonts w:ascii="Arial" w:cs="Arial" w:eastAsia="Arial" w:hAnsi="Arial"/>
                <w:sz w:val="16"/>
                <w:szCs w:val="16"/>
                <w:color w:val="auto"/>
              </w:rPr>
              <w:t>6.02</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317(b)</w:t>
            </w:r>
          </w:p>
        </w:tc>
        <w:tc>
          <w:tcPr>
            <w:tcW w:w="4580" w:type="dxa"/>
            <w:vAlign w:val="bottom"/>
          </w:tcPr>
          <w:p>
            <w:pPr>
              <w:ind w:left="20"/>
              <w:spacing w:after="0"/>
              <w:rPr>
                <w:sz w:val="20"/>
                <w:szCs w:val="20"/>
                <w:color w:val="auto"/>
              </w:rPr>
            </w:pPr>
            <w:r>
              <w:rPr>
                <w:rFonts w:ascii="Arial" w:cs="Arial" w:eastAsia="Arial" w:hAnsi="Arial"/>
                <w:sz w:val="16"/>
                <w:szCs w:val="16"/>
                <w:color w:val="auto"/>
              </w:rPr>
              <w:t>4.03</w:t>
            </w:r>
          </w:p>
        </w:tc>
      </w:tr>
      <w:tr>
        <w:trPr>
          <w:trHeight w:val="246"/>
        </w:trPr>
        <w:tc>
          <w:tcPr>
            <w:tcW w:w="740" w:type="dxa"/>
            <w:vAlign w:val="bottom"/>
          </w:tcPr>
          <w:p>
            <w:pPr>
              <w:spacing w:after="0"/>
              <w:rPr>
                <w:sz w:val="21"/>
                <w:szCs w:val="21"/>
                <w:color w:val="auto"/>
              </w:rPr>
            </w:pPr>
          </w:p>
        </w:tc>
        <w:tc>
          <w:tcPr>
            <w:tcW w:w="5380" w:type="dxa"/>
            <w:vAlign w:val="bottom"/>
            <w:gridSpan w:val="2"/>
          </w:tcPr>
          <w:p>
            <w:pPr>
              <w:ind w:left="20"/>
              <w:spacing w:after="0"/>
              <w:rPr>
                <w:sz w:val="20"/>
                <w:szCs w:val="20"/>
                <w:color w:val="auto"/>
              </w:rPr>
            </w:pPr>
            <w:r>
              <w:rPr>
                <w:rFonts w:ascii="Arial" w:cs="Arial" w:eastAsia="Arial" w:hAnsi="Arial"/>
                <w:sz w:val="16"/>
                <w:szCs w:val="16"/>
                <w:color w:val="auto"/>
              </w:rPr>
              <w:t>318(a)</w:t>
            </w:r>
          </w:p>
        </w:tc>
        <w:tc>
          <w:tcPr>
            <w:tcW w:w="4580" w:type="dxa"/>
            <w:vAlign w:val="bottom"/>
          </w:tcPr>
          <w:p>
            <w:pPr>
              <w:ind w:left="20"/>
              <w:spacing w:after="0"/>
              <w:rPr>
                <w:sz w:val="20"/>
                <w:szCs w:val="20"/>
                <w:color w:val="auto"/>
              </w:rPr>
            </w:pPr>
            <w:r>
              <w:rPr>
                <w:rFonts w:ascii="Arial" w:cs="Arial" w:eastAsia="Arial" w:hAnsi="Arial"/>
                <w:sz w:val="16"/>
                <w:szCs w:val="16"/>
                <w:color w:val="auto"/>
              </w:rPr>
              <w:t>13.09</w:t>
            </w:r>
          </w:p>
        </w:tc>
      </w:tr>
      <w:tr>
        <w:trPr>
          <w:trHeight w:val="221"/>
        </w:trPr>
        <w:tc>
          <w:tcPr>
            <w:tcW w:w="5820" w:type="dxa"/>
            <w:vAlign w:val="bottom"/>
            <w:gridSpan w:val="2"/>
          </w:tcPr>
          <w:p>
            <w:pPr>
              <w:spacing w:after="0"/>
              <w:rPr>
                <w:sz w:val="20"/>
                <w:szCs w:val="20"/>
                <w:color w:val="auto"/>
              </w:rPr>
            </w:pPr>
            <w:r>
              <w:rPr>
                <w:rFonts w:ascii="Arial" w:cs="Arial" w:eastAsia="Arial" w:hAnsi="Arial"/>
                <w:sz w:val="16"/>
                <w:szCs w:val="16"/>
                <w:color w:val="auto"/>
              </w:rPr>
              <w:t>_________________</w:t>
            </w:r>
          </w:p>
        </w:tc>
        <w:tc>
          <w:tcPr>
            <w:tcW w:w="300" w:type="dxa"/>
            <w:vAlign w:val="bottom"/>
          </w:tcPr>
          <w:p>
            <w:pPr>
              <w:spacing w:after="0"/>
              <w:rPr>
                <w:sz w:val="19"/>
                <w:szCs w:val="19"/>
                <w:color w:val="auto"/>
              </w:rPr>
            </w:pPr>
          </w:p>
        </w:tc>
        <w:tc>
          <w:tcPr>
            <w:tcW w:w="4580" w:type="dxa"/>
            <w:vAlign w:val="bottom"/>
          </w:tcPr>
          <w:p>
            <w:pPr>
              <w:spacing w:after="0"/>
              <w:rPr>
                <w:sz w:val="19"/>
                <w:szCs w:val="19"/>
                <w:color w:val="auto"/>
              </w:rPr>
            </w:pPr>
          </w:p>
        </w:tc>
      </w:tr>
    </w:tbl>
    <w:p>
      <w:pPr>
        <w:spacing w:after="0" w:line="185" w:lineRule="exact"/>
        <w:rPr>
          <w:sz w:val="20"/>
          <w:szCs w:val="20"/>
          <w:color w:val="auto"/>
        </w:rPr>
      </w:pPr>
    </w:p>
    <w:p>
      <w:pPr>
        <w:ind w:left="5642" w:right="340" w:hanging="5642"/>
        <w:spacing w:after="0" w:line="816" w:lineRule="auto"/>
        <w:tabs>
          <w:tab w:leader="none" w:pos="303"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Cross-Reference Table does not constitute part of the Indenture and shall not have any bearing on the interpretation of any of its terms or provisions. 32</w:t>
      </w:r>
    </w:p>
    <w:p>
      <w:pPr>
        <w:sectPr>
          <w:pgSz w:w="11900" w:h="16838" w:orient="portrait"/>
          <w:cols w:equalWidth="0" w:num="1">
            <w:col w:w="10702"/>
          </w:cols>
          <w:pgMar w:left="238" w:top="578" w:right="95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SI-BONE, INC.</w:t>
      </w:r>
    </w:p>
    <w:p>
      <w:pPr>
        <w:spacing w:after="0" w:line="209"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AND</w:t>
      </w:r>
    </w:p>
    <w:p>
      <w:pPr>
        <w:spacing w:after="0" w:line="209"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_____________, AS WARRANT AGENT</w:t>
      </w:r>
    </w:p>
    <w:p>
      <w:pPr>
        <w:spacing w:after="0" w:line="209"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FORM OF COMMON STOCK</w:t>
      </w:r>
    </w:p>
    <w:p>
      <w:pPr>
        <w:spacing w:after="0" w:line="2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WARRANT AGREEMENT</w:t>
      </w:r>
    </w:p>
    <w:p>
      <w:pPr>
        <w:spacing w:after="0" w:line="19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DATED AS OF __________</w:t>
      </w:r>
    </w:p>
    <w:p>
      <w:pPr>
        <w:sectPr>
          <w:pgSz w:w="11900" w:h="16838" w:orient="portrait"/>
          <w:cols w:equalWidth="0" w:num="1">
            <w:col w:w="10220"/>
          </w:cols>
          <w:pgMar w:left="1440" w:top="34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SI-BONE,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COMMON STOCK WARRANT AGREEMENT</w:t>
      </w:r>
    </w:p>
    <w:p>
      <w:pPr>
        <w:spacing w:after="0" w:line="209" w:lineRule="exact"/>
        <w:rPr>
          <w:sz w:val="20"/>
          <w:szCs w:val="20"/>
          <w:color w:val="auto"/>
        </w:rPr>
      </w:pPr>
    </w:p>
    <w:p>
      <w:pPr>
        <w:jc w:val="both"/>
        <w:ind w:firstLine="590"/>
        <w:spacing w:after="0" w:line="274" w:lineRule="auto"/>
        <w:rPr>
          <w:sz w:val="20"/>
          <w:szCs w:val="20"/>
          <w:color w:val="auto"/>
        </w:rPr>
      </w:pPr>
      <w:r>
        <w:rPr>
          <w:rFonts w:ascii="Arial" w:cs="Arial" w:eastAsia="Arial" w:hAnsi="Arial"/>
          <w:sz w:val="16"/>
          <w:szCs w:val="16"/>
          <w:b w:val="1"/>
          <w:bCs w:val="1"/>
          <w:color w:val="auto"/>
        </w:rPr>
        <w:t xml:space="preserve">THIS COMMON STOCK WARRANT AGREEMENT </w:t>
      </w:r>
      <w:r>
        <w:rPr>
          <w:rFonts w:ascii="Arial" w:cs="Arial" w:eastAsia="Arial" w:hAnsi="Arial"/>
          <w:sz w:val="16"/>
          <w:szCs w:val="16"/>
          <w:color w:val="auto"/>
        </w:rPr>
        <w:t>(this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 between</w:t>
      </w:r>
      <w:r>
        <w:rPr>
          <w:rFonts w:ascii="Arial" w:cs="Arial" w:eastAsia="Arial" w:hAnsi="Arial"/>
          <w:sz w:val="16"/>
          <w:szCs w:val="16"/>
          <w:b w:val="1"/>
          <w:bCs w:val="1"/>
          <w:color w:val="auto"/>
        </w:rPr>
        <w:t>, SI-BONE, INC.</w:t>
      </w:r>
      <w:r>
        <w:rPr>
          <w:rFonts w:ascii="Arial" w:cs="Arial" w:eastAsia="Arial" w:hAnsi="Arial"/>
          <w:sz w:val="16"/>
          <w:szCs w:val="16"/>
          <w:color w:val="auto"/>
        </w:rPr>
        <w:t>,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 a [corporation] [national banking association] organized and existing under the laws of [●] and having a corporate trust office in [●], as warrant agent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w:t>
      </w:r>
    </w:p>
    <w:p>
      <w:pPr>
        <w:spacing w:after="0" w:line="157"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the Company proposes to sell [</w:t>
      </w:r>
      <w:r>
        <w:rPr>
          <w:rFonts w:ascii="Arial" w:cs="Arial" w:eastAsia="Arial" w:hAnsi="Arial"/>
          <w:sz w:val="16"/>
          <w:szCs w:val="16"/>
          <w:b w:val="1"/>
          <w:bCs w:val="1"/>
          <w:i w:val="1"/>
          <w:iCs w:val="1"/>
          <w:color w:val="auto"/>
        </w:rPr>
        <w:t>If Warrants are sold with other securities —</w:t>
      </w:r>
      <w:r>
        <w:rPr>
          <w:rFonts w:ascii="Arial" w:cs="Arial" w:eastAsia="Arial" w:hAnsi="Arial"/>
          <w:sz w:val="16"/>
          <w:szCs w:val="16"/>
          <w:b w:val="1"/>
          <w:bCs w:val="1"/>
          <w:color w:val="auto"/>
        </w:rPr>
        <w:t xml:space="preserve"> </w:t>
      </w:r>
      <w:r>
        <w:rPr>
          <w:rFonts w:ascii="Arial" w:cs="Arial" w:eastAsia="Arial" w:hAnsi="Arial"/>
          <w:sz w:val="16"/>
          <w:szCs w:val="16"/>
          <w:color w:val="auto"/>
        </w:rPr>
        <w:t>[title of such other securities being offered] (the “</w:t>
      </w:r>
      <w:r>
        <w:rPr>
          <w:rFonts w:ascii="Arial" w:cs="Arial" w:eastAsia="Arial" w:hAnsi="Arial"/>
          <w:sz w:val="16"/>
          <w:szCs w:val="16"/>
          <w:b w:val="1"/>
          <w:bCs w:val="1"/>
          <w:i w:val="1"/>
          <w:iCs w:val="1"/>
          <w:color w:val="auto"/>
        </w:rPr>
        <w:t>Other Securities</w:t>
      </w:r>
      <w:r>
        <w:rPr>
          <w:rFonts w:ascii="Arial" w:cs="Arial" w:eastAsia="Arial" w:hAnsi="Arial"/>
          <w:sz w:val="16"/>
          <w:szCs w:val="16"/>
          <w:color w:val="auto"/>
        </w:rPr>
        <w:t>”) with]</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certificates evidencing one or more 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or, individually,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representing the right to purchase Common Stock [of the Company, par value $0.0001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such warrant certificates and other warrant certificates issued pursuant to this Agreement being herein called the “</w:t>
      </w:r>
      <w:r>
        <w:rPr>
          <w:rFonts w:ascii="Arial" w:cs="Arial" w:eastAsia="Arial" w:hAnsi="Arial"/>
          <w:sz w:val="16"/>
          <w:szCs w:val="16"/>
          <w:b w:val="1"/>
          <w:bCs w:val="1"/>
          <w:i w:val="1"/>
          <w:iCs w:val="1"/>
          <w:color w:val="auto"/>
        </w:rPr>
        <w:t>Warrant Certificates</w:t>
      </w:r>
      <w:r>
        <w:rPr>
          <w:rFonts w:ascii="Arial" w:cs="Arial" w:eastAsia="Arial" w:hAnsi="Arial"/>
          <w:sz w:val="16"/>
          <w:szCs w:val="16"/>
          <w:color w:val="auto"/>
        </w:rPr>
        <w:t>”; and</w:t>
      </w:r>
    </w:p>
    <w:p>
      <w:pPr>
        <w:spacing w:after="0" w:line="162" w:lineRule="exact"/>
        <w:rPr>
          <w:sz w:val="20"/>
          <w:szCs w:val="20"/>
          <w:color w:val="auto"/>
        </w:rPr>
      </w:pPr>
    </w:p>
    <w:p>
      <w:pPr>
        <w:jc w:val="both"/>
        <w:ind w:firstLine="590"/>
        <w:spacing w:after="0" w:line="301"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Company desires the Warrant Agent to act on behalf of the Company, and the Warrant Agent is willing so to act, in connection with the issuance,</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premises and of the mutual agreements herein contained, the parties hereto agree as follows:</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ARTICLE1</w:t>
      </w:r>
    </w:p>
    <w:p>
      <w:pPr>
        <w:spacing w:after="0" w:line="172"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ISSUANCE OF WARRANTS AND EXECUTION AND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DELIVERY OF WARRANT CERTIFICATES</w:t>
      </w:r>
    </w:p>
    <w:p>
      <w:pPr>
        <w:spacing w:after="0" w:line="194" w:lineRule="exact"/>
        <w:rPr>
          <w:sz w:val="20"/>
          <w:szCs w:val="20"/>
          <w:color w:val="auto"/>
        </w:rPr>
      </w:pPr>
    </w:p>
    <w:p>
      <w:pPr>
        <w:jc w:val="both"/>
        <w:ind w:firstLine="590"/>
        <w:spacing w:after="0" w:line="265"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—Upon issuance, each Warrant Certificate shall evidence one or more Warrants.] [</w:t>
      </w:r>
      <w:r>
        <w:rPr>
          <w:rFonts w:ascii="Arial" w:cs="Arial" w:eastAsia="Arial" w:hAnsi="Arial"/>
          <w:sz w:val="16"/>
          <w:szCs w:val="16"/>
          <w:b w:val="1"/>
          <w:bCs w:val="1"/>
          <w:i w:val="1"/>
          <w:iCs w:val="1"/>
          <w:color w:val="auto"/>
        </w:rPr>
        <w:t>If Other Securities and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—Warrant Certificates will be issued in connection with the issuance of the Other Securities but shall be separately transferable and each Warrant Certificate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—Warrant Certificates will be issued with the Other Securities and each Warrant Certificate will evidence [●] Warrants for each [$[●] principal amount ][[●] shares] of Other Securities issued.]</w:t>
      </w:r>
    </w:p>
    <w:p>
      <w:pPr>
        <w:spacing w:after="0" w:line="164" w:lineRule="exact"/>
        <w:rPr>
          <w:sz w:val="20"/>
          <w:szCs w:val="20"/>
          <w:color w:val="auto"/>
        </w:rPr>
      </w:pPr>
    </w:p>
    <w:p>
      <w:pPr>
        <w:jc w:val="both"/>
        <w:ind w:firstLine="590"/>
        <w:spacing w:after="0" w:line="302" w:lineRule="auto"/>
        <w:rPr>
          <w:sz w:val="20"/>
          <w:szCs w:val="20"/>
          <w:color w:val="auto"/>
        </w:rPr>
      </w:pPr>
      <w:r>
        <w:rPr>
          <w:rFonts w:ascii="Arial" w:cs="Arial" w:eastAsia="Arial" w:hAnsi="Arial"/>
          <w:sz w:val="14"/>
          <w:szCs w:val="14"/>
          <w:b w:val="1"/>
          <w:bCs w:val="1"/>
          <w:color w:val="auto"/>
        </w:rPr>
        <w:t xml:space="preserve">1.2 Execution And Delivery Of Warrant Certificates. </w:t>
      </w:r>
      <w:r>
        <w:rPr>
          <w:rFonts w:ascii="Arial" w:cs="Arial" w:eastAsia="Arial" w:hAnsi="Arial"/>
          <w:sz w:val="14"/>
          <w:szCs w:val="14"/>
          <w:color w:val="auto"/>
        </w:rPr>
        <w:t>Each Warrant Certificate, whenever issued, shall be in registered form substantially in the form set forth in</w:t>
      </w:r>
      <w:r>
        <w:rPr>
          <w:rFonts w:ascii="Arial" w:cs="Arial" w:eastAsia="Arial" w:hAnsi="Arial"/>
          <w:sz w:val="14"/>
          <w:szCs w:val="14"/>
          <w:b w:val="1"/>
          <w:bCs w:val="1"/>
          <w:color w:val="auto"/>
        </w:rPr>
        <w:t xml:space="preserve"> Exhibit A </w:t>
      </w:r>
      <w:r>
        <w:rPr>
          <w:rFonts w:ascii="Arial" w:cs="Arial" w:eastAsia="Arial" w:hAnsi="Arial"/>
          <w:sz w:val="14"/>
          <w:szCs w:val="14"/>
          <w:color w:val="auto"/>
        </w:rPr>
        <w:t>hereto, shall be dated the date of its countersignature by the Warrant Agent and may have such letters, numbers, or other marks of identification or designation and</w:t>
      </w:r>
      <w:r>
        <w:rPr>
          <w:rFonts w:ascii="Arial" w:cs="Arial" w:eastAsia="Arial" w:hAnsi="Arial"/>
          <w:sz w:val="14"/>
          <w:szCs w:val="14"/>
          <w:b w:val="1"/>
          <w:bCs w:val="1"/>
          <w:color w:val="auto"/>
        </w:rPr>
        <w:t xml:space="preserve"> </w:t>
      </w:r>
      <w:r>
        <w:rPr>
          <w:rFonts w:ascii="Arial" w:cs="Arial" w:eastAsia="Arial" w:hAnsi="Arial"/>
          <w:sz w:val="14"/>
          <w:szCs w:val="14"/>
          <w:color w:val="auto"/>
        </w:rPr>
        <w:t>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47"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61"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38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41" w:right="239" w:bottom="1440" w:gutter="0" w:footer="0" w:header="0"/>
        </w:sectPr>
      </w:pPr>
    </w:p>
    <w:bookmarkStart w:id="70" w:name="page71"/>
    <w:bookmarkEnd w:id="70"/>
    <w:p>
      <w:pPr>
        <w:jc w:val="both"/>
        <w:ind w:left="2" w:firstLine="590"/>
        <w:spacing w:after="0" w:line="287"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holder of a Warrant Certificate</w:t>
      </w:r>
      <w:r>
        <w:rPr>
          <w:rFonts w:ascii="Arial" w:cs="Arial" w:eastAsia="Arial" w:hAnsi="Arial"/>
          <w:sz w:val="16"/>
          <w:szCs w:val="16"/>
          <w:color w:val="auto"/>
        </w:rPr>
        <w:t>” as used herein shall mean any person in whose name at the time any Warrant Certificate shall be registered upon the books to be maintained by the Warrant Agent for that purpose.</w:t>
      </w:r>
    </w:p>
    <w:p>
      <w:pPr>
        <w:spacing w:after="0" w:line="146" w:lineRule="exact"/>
        <w:rPr>
          <w:sz w:val="20"/>
          <w:szCs w:val="20"/>
          <w:color w:val="auto"/>
        </w:rPr>
      </w:pPr>
    </w:p>
    <w:p>
      <w:pPr>
        <w:jc w:val="both"/>
        <w:ind w:left="2" w:firstLine="590"/>
        <w:spacing w:after="0" w:line="301" w:lineRule="auto"/>
        <w:rPr>
          <w:sz w:val="20"/>
          <w:szCs w:val="20"/>
          <w:color w:val="auto"/>
        </w:rPr>
      </w:pPr>
      <w:r>
        <w:rPr>
          <w:rFonts w:ascii="Arial" w:cs="Arial" w:eastAsia="Arial" w:hAnsi="Arial"/>
          <w:sz w:val="15"/>
          <w:szCs w:val="15"/>
          <w:b w:val="1"/>
          <w:bCs w:val="1"/>
          <w:color w:val="auto"/>
        </w:rPr>
        <w:t xml:space="preserve">1.3 Issuance Of Warrant Certificates. </w:t>
      </w:r>
      <w:r>
        <w:rPr>
          <w:rFonts w:ascii="Arial" w:cs="Arial" w:eastAsia="Arial" w:hAnsi="Arial"/>
          <w:sz w:val="15"/>
          <w:szCs w:val="15"/>
          <w:color w:val="auto"/>
        </w:rPr>
        <w:t>Warrant Certificates evidencing the right to purchase Warrant Securities may be executed by the Company and delivered</w:t>
      </w:r>
      <w:r>
        <w:rPr>
          <w:rFonts w:ascii="Arial" w:cs="Arial" w:eastAsia="Arial" w:hAnsi="Arial"/>
          <w:sz w:val="15"/>
          <w:szCs w:val="15"/>
          <w:b w:val="1"/>
          <w:bCs w:val="1"/>
          <w:color w:val="auto"/>
        </w:rPr>
        <w:t xml:space="preserve"> </w:t>
      </w:r>
      <w:r>
        <w:rPr>
          <w:rFonts w:ascii="Arial" w:cs="Arial" w:eastAsia="Arial" w:hAnsi="Arial"/>
          <w:sz w:val="15"/>
          <w:szCs w:val="15"/>
          <w:color w:val="auto"/>
        </w:rPr>
        <w:t>to the Warrant Agent upon the execution of this Warrant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38" w:lineRule="exact"/>
        <w:rPr>
          <w:sz w:val="20"/>
          <w:szCs w:val="20"/>
          <w:color w:val="auto"/>
        </w:rPr>
      </w:pPr>
    </w:p>
    <w:p>
      <w:pPr>
        <w:ind w:left="7102"/>
        <w:spacing w:after="0"/>
        <w:rPr>
          <w:sz w:val="20"/>
          <w:szCs w:val="20"/>
          <w:color w:val="auto"/>
        </w:rPr>
      </w:pPr>
      <w:r>
        <w:rPr>
          <w:rFonts w:ascii="Arial" w:cs="Arial" w:eastAsia="Arial" w:hAnsi="Arial"/>
          <w:sz w:val="16"/>
          <w:szCs w:val="16"/>
          <w:b w:val="1"/>
          <w:bCs w:val="1"/>
          <w:color w:val="auto"/>
        </w:rPr>
        <w:t>ARTICLE 2</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WARRANT PRICE, DURATION AND EXERCISE OF WARRANTS</w:t>
      </w:r>
    </w:p>
    <w:p>
      <w:pPr>
        <w:spacing w:after="0" w:line="209" w:lineRule="exact"/>
        <w:rPr>
          <w:sz w:val="20"/>
          <w:szCs w:val="20"/>
          <w:color w:val="auto"/>
        </w:rPr>
      </w:pPr>
    </w:p>
    <w:p>
      <w:pPr>
        <w:jc w:val="both"/>
        <w:ind w:left="2" w:firstLine="590"/>
        <w:spacing w:after="0" w:line="268" w:lineRule="auto"/>
        <w:rPr>
          <w:sz w:val="20"/>
          <w:szCs w:val="20"/>
          <w:color w:val="auto"/>
        </w:rPr>
      </w:pPr>
      <w:r>
        <w:rPr>
          <w:rFonts w:ascii="Arial" w:cs="Arial" w:eastAsia="Arial" w:hAnsi="Arial"/>
          <w:sz w:val="16"/>
          <w:szCs w:val="16"/>
          <w:b w:val="1"/>
          <w:bCs w:val="1"/>
          <w:color w:val="auto"/>
        </w:rPr>
        <w:t xml:space="preserve">2.1 Warrant Price. </w:t>
      </w:r>
      <w:r>
        <w:rPr>
          <w:rFonts w:ascii="Arial" w:cs="Arial" w:eastAsia="Arial" w:hAnsi="Arial"/>
          <w:sz w:val="16"/>
          <w:szCs w:val="16"/>
          <w:color w:val="auto"/>
        </w:rPr>
        <w:t>During the period specified in Section 2.2, each Warrant shall, subject to the terms of this Warrant Agreement and the applicable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6"/>
          <w:szCs w:val="16"/>
          <w:b w:val="1"/>
          <w:bCs w:val="1"/>
          <w:i w:val="1"/>
          <w:iCs w:val="1"/>
          <w:color w:val="auto"/>
        </w:rPr>
        <w:t>Warrant Price.</w:t>
      </w:r>
      <w:r>
        <w:rPr>
          <w:rFonts w:ascii="Arial" w:cs="Arial" w:eastAsia="Arial" w:hAnsi="Arial"/>
          <w:sz w:val="16"/>
          <w:szCs w:val="16"/>
          <w:color w:val="auto"/>
        </w:rPr>
        <w:t>”</w:t>
      </w:r>
    </w:p>
    <w:p>
      <w:pPr>
        <w:spacing w:after="0" w:line="162" w:lineRule="exact"/>
        <w:rPr>
          <w:sz w:val="20"/>
          <w:szCs w:val="20"/>
          <w:color w:val="auto"/>
        </w:rPr>
      </w:pPr>
    </w:p>
    <w:p>
      <w:pPr>
        <w:ind w:left="582"/>
        <w:spacing w:after="0"/>
        <w:tabs>
          <w:tab w:leader="none" w:pos="941"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5"/>
          <w:szCs w:val="15"/>
          <w:b w:val="1"/>
          <w:bCs w:val="1"/>
          <w:color w:val="auto"/>
        </w:rPr>
        <w:t xml:space="preserve">Duration Of Warrants. </w:t>
      </w:r>
      <w:r>
        <w:rPr>
          <w:rFonts w:ascii="Arial" w:cs="Arial" w:eastAsia="Arial" w:hAnsi="Arial"/>
          <w:sz w:val="15"/>
          <w:szCs w:val="15"/>
          <w:color w:val="auto"/>
        </w:rPr>
        <w:t>Each Warrant may be exercised in whole or in part at any time, as specified herein, on or after [the date thereof] [●] and at or before</w:t>
      </w:r>
    </w:p>
    <w:p>
      <w:pPr>
        <w:spacing w:after="0" w:line="28" w:lineRule="exact"/>
        <w:rPr>
          <w:sz w:val="20"/>
          <w:szCs w:val="20"/>
          <w:color w:val="auto"/>
        </w:rPr>
      </w:pPr>
    </w:p>
    <w:p>
      <w:pPr>
        <w:jc w:val="both"/>
        <w:ind w:left="2" w:hanging="2"/>
        <w:spacing w:after="0" w:line="264" w:lineRule="auto"/>
        <w:tabs>
          <w:tab w:leader="none" w:pos="254" w:val="left"/>
        </w:tabs>
        <w:numPr>
          <w:ilvl w:val="0"/>
          <w:numId w:val="81"/>
        </w:numPr>
        <w:rPr>
          <w:rFonts w:ascii="Arial" w:cs="Arial" w:eastAsia="Arial" w:hAnsi="Arial"/>
          <w:sz w:val="16"/>
          <w:szCs w:val="16"/>
          <w:color w:val="auto"/>
        </w:rPr>
      </w:pPr>
      <w:r>
        <w:rPr>
          <w:rFonts w:ascii="Arial" w:cs="Arial" w:eastAsia="Arial" w:hAnsi="Arial"/>
          <w:sz w:val="16"/>
          <w:szCs w:val="16"/>
          <w:color w:val="auto"/>
        </w:rPr>
        <w:t>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Each Warrant not exercised at or before [●] p.m., [City] time, on the Expiration Date shall become void, and all rights of the holder of the Warrant Certificate evidencing such Warrant under this Agreement shall cease.</w:t>
      </w:r>
    </w:p>
    <w:p>
      <w:pPr>
        <w:spacing w:after="0" w:line="164" w:lineRule="exact"/>
        <w:rPr>
          <w:sz w:val="20"/>
          <w:szCs w:val="20"/>
          <w:color w:val="auto"/>
        </w:rPr>
      </w:pPr>
    </w:p>
    <w:p>
      <w:pPr>
        <w:ind w:left="582"/>
        <w:spacing w:after="0"/>
        <w:tabs>
          <w:tab w:leader="none" w:pos="941"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5"/>
          <w:szCs w:val="15"/>
          <w:b w:val="1"/>
          <w:bCs w:val="1"/>
          <w:color w:val="auto"/>
        </w:rPr>
        <w:t>Exercise Of Warrants.</w:t>
      </w:r>
    </w:p>
    <w:p>
      <w:pPr>
        <w:spacing w:after="0" w:line="213" w:lineRule="exact"/>
        <w:rPr>
          <w:sz w:val="20"/>
          <w:szCs w:val="20"/>
          <w:color w:val="auto"/>
        </w:rPr>
      </w:pPr>
    </w:p>
    <w:p>
      <w:pPr>
        <w:jc w:val="both"/>
        <w:ind w:left="2" w:firstLine="1178"/>
        <w:spacing w:after="0" w:line="298" w:lineRule="auto"/>
        <w:tabs>
          <w:tab w:leader="none" w:pos="1584" w:val="left"/>
        </w:tabs>
        <w:numPr>
          <w:ilvl w:val="0"/>
          <w:numId w:val="82"/>
        </w:numPr>
        <w:rPr>
          <w:rFonts w:ascii="Arial" w:cs="Arial" w:eastAsia="Arial" w:hAnsi="Arial"/>
          <w:sz w:val="14"/>
          <w:szCs w:val="14"/>
          <w:b w:val="1"/>
          <w:bCs w:val="1"/>
          <w:color w:val="auto"/>
        </w:rPr>
      </w:pPr>
      <w:r>
        <w:rPr>
          <w:rFonts w:ascii="Arial" w:cs="Arial" w:eastAsia="Arial" w:hAnsi="Arial"/>
          <w:sz w:val="14"/>
          <w:szCs w:val="14"/>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48" w:lineRule="exact"/>
        <w:rPr>
          <w:rFonts w:ascii="Arial" w:cs="Arial" w:eastAsia="Arial" w:hAnsi="Arial"/>
          <w:sz w:val="14"/>
          <w:szCs w:val="14"/>
          <w:b w:val="1"/>
          <w:bCs w:val="1"/>
          <w:color w:val="auto"/>
        </w:rPr>
      </w:pPr>
    </w:p>
    <w:p>
      <w:pPr>
        <w:jc w:val="both"/>
        <w:ind w:left="2" w:firstLine="1178"/>
        <w:spacing w:after="0" w:line="266" w:lineRule="auto"/>
        <w:tabs>
          <w:tab w:leader="none" w:pos="1576" w:val="left"/>
        </w:tabs>
        <w:numPr>
          <w:ilvl w:val="0"/>
          <w:numId w:val="82"/>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67" w:lineRule="exact"/>
        <w:rPr>
          <w:rFonts w:ascii="Arial" w:cs="Arial" w:eastAsia="Arial" w:hAnsi="Arial"/>
          <w:sz w:val="16"/>
          <w:szCs w:val="16"/>
          <w:b w:val="1"/>
          <w:bCs w:val="1"/>
          <w:color w:val="auto"/>
        </w:rPr>
      </w:pPr>
    </w:p>
    <w:p>
      <w:pPr>
        <w:jc w:val="both"/>
        <w:ind w:left="2" w:firstLine="1178"/>
        <w:spacing w:after="0" w:line="290" w:lineRule="auto"/>
        <w:tabs>
          <w:tab w:leader="none" w:pos="1608" w:val="left"/>
        </w:tabs>
        <w:numPr>
          <w:ilvl w:val="0"/>
          <w:numId w:val="82"/>
        </w:numPr>
        <w:rPr>
          <w:rFonts w:ascii="Arial" w:cs="Arial" w:eastAsia="Arial" w:hAnsi="Arial"/>
          <w:sz w:val="15"/>
          <w:szCs w:val="15"/>
          <w:b w:val="1"/>
          <w:bCs w:val="1"/>
          <w:color w:val="auto"/>
        </w:rPr>
      </w:pPr>
      <w:r>
        <w:rPr>
          <w:rFonts w:ascii="Arial" w:cs="Arial" w:eastAsia="Arial" w:hAnsi="Arial"/>
          <w:sz w:val="15"/>
          <w:szCs w:val="15"/>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371" w:lineRule="exact"/>
        <w:rPr>
          <w:sz w:val="20"/>
          <w:szCs w:val="20"/>
          <w:color w:val="auto"/>
        </w:rPr>
      </w:pPr>
    </w:p>
    <w:p>
      <w:pPr>
        <w:ind w:left="384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2"/>
          </w:cols>
          <w:pgMar w:left="238" w:top="348" w:right="239" w:bottom="1440" w:gutter="0" w:footer="0" w:header="0"/>
        </w:sectPr>
      </w:pPr>
    </w:p>
    <w:bookmarkStart w:id="71" w:name="page72"/>
    <w:bookmarkEnd w:id="71"/>
    <w:p>
      <w:pPr>
        <w:jc w:val="both"/>
        <w:ind w:firstLine="1178"/>
        <w:spacing w:after="0" w:line="298" w:lineRule="auto"/>
        <w:tabs>
          <w:tab w:leader="none" w:pos="1582" w:val="left"/>
        </w:tabs>
        <w:numPr>
          <w:ilvl w:val="0"/>
          <w:numId w:val="83"/>
        </w:numPr>
        <w:rPr>
          <w:rFonts w:ascii="Arial" w:cs="Arial" w:eastAsia="Arial" w:hAnsi="Arial"/>
          <w:sz w:val="15"/>
          <w:szCs w:val="15"/>
          <w:b w:val="1"/>
          <w:bCs w:val="1"/>
          <w:color w:val="auto"/>
        </w:rPr>
      </w:pPr>
      <w:r>
        <w:rPr>
          <w:rFonts w:ascii="Arial" w:cs="Arial" w:eastAsia="Arial" w:hAnsi="Arial"/>
          <w:sz w:val="15"/>
          <w:szCs w:val="15"/>
          <w:color w:val="auto"/>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spacing w:after="0" w:line="144" w:lineRule="exact"/>
        <w:rPr>
          <w:rFonts w:ascii="Arial" w:cs="Arial" w:eastAsia="Arial" w:hAnsi="Arial"/>
          <w:sz w:val="15"/>
          <w:szCs w:val="15"/>
          <w:b w:val="1"/>
          <w:bCs w:val="1"/>
          <w:color w:val="auto"/>
        </w:rPr>
      </w:pPr>
    </w:p>
    <w:p>
      <w:pPr>
        <w:ind w:firstLine="1178"/>
        <w:spacing w:after="0" w:line="287" w:lineRule="auto"/>
        <w:tabs>
          <w:tab w:leader="none" w:pos="1527"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146" w:lineRule="exact"/>
        <w:rPr>
          <w:sz w:val="20"/>
          <w:szCs w:val="20"/>
          <w:color w:val="auto"/>
        </w:rPr>
      </w:pPr>
    </w:p>
    <w:p>
      <w:pPr>
        <w:ind w:left="7100"/>
        <w:spacing w:after="0"/>
        <w:rPr>
          <w:sz w:val="20"/>
          <w:szCs w:val="20"/>
          <w:color w:val="auto"/>
        </w:rPr>
      </w:pPr>
      <w:r>
        <w:rPr>
          <w:rFonts w:ascii="Arial" w:cs="Arial" w:eastAsia="Arial" w:hAnsi="Arial"/>
          <w:sz w:val="16"/>
          <w:szCs w:val="16"/>
          <w:b w:val="1"/>
          <w:bCs w:val="1"/>
          <w:color w:val="auto"/>
        </w:rPr>
        <w:t>ARTICLE 3</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OTHER PROVISIONS RELATING TO RIGHTS OF HOLDERS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CERTIFICATES</w:t>
      </w:r>
    </w:p>
    <w:p>
      <w:pPr>
        <w:spacing w:after="0" w:line="194" w:lineRule="exact"/>
        <w:rPr>
          <w:sz w:val="20"/>
          <w:szCs w:val="20"/>
          <w:color w:val="auto"/>
        </w:rPr>
      </w:pPr>
    </w:p>
    <w:p>
      <w:pPr>
        <w:jc w:val="both"/>
        <w:ind w:firstLine="590"/>
        <w:spacing w:after="0" w:line="301" w:lineRule="auto"/>
        <w:rPr>
          <w:sz w:val="20"/>
          <w:szCs w:val="20"/>
          <w:color w:val="auto"/>
        </w:rPr>
      </w:pPr>
      <w:r>
        <w:rPr>
          <w:rFonts w:ascii="Arial" w:cs="Arial" w:eastAsia="Arial" w:hAnsi="Arial"/>
          <w:sz w:val="15"/>
          <w:szCs w:val="15"/>
          <w:b w:val="1"/>
          <w:bCs w:val="1"/>
          <w:color w:val="auto"/>
        </w:rPr>
        <w:t xml:space="preserve">3.1 No Rights As Warrant Securityholder Conferred By Warrants Or Warrant Certificates. </w:t>
      </w:r>
      <w:r>
        <w:rPr>
          <w:rFonts w:ascii="Arial" w:cs="Arial" w:eastAsia="Arial" w:hAnsi="Arial"/>
          <w:sz w:val="15"/>
          <w:szCs w:val="15"/>
          <w:color w:val="auto"/>
        </w:rPr>
        <w:t>No Warrant Certificate or Warrant evidenced thereby shall entitle</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38" w:lineRule="exact"/>
        <w:rPr>
          <w:sz w:val="20"/>
          <w:szCs w:val="20"/>
          <w:color w:val="auto"/>
        </w:rPr>
      </w:pPr>
    </w:p>
    <w:p>
      <w:pPr>
        <w:jc w:val="both"/>
        <w:ind w:firstLine="590"/>
        <w:spacing w:after="0" w:line="278" w:lineRule="auto"/>
        <w:rPr>
          <w:sz w:val="20"/>
          <w:szCs w:val="20"/>
          <w:color w:val="auto"/>
        </w:rPr>
      </w:pPr>
      <w:r>
        <w:rPr>
          <w:rFonts w:ascii="Arial" w:cs="Arial" w:eastAsia="Arial" w:hAnsi="Arial"/>
          <w:sz w:val="15"/>
          <w:szCs w:val="15"/>
          <w:b w:val="1"/>
          <w:bCs w:val="1"/>
          <w:color w:val="auto"/>
        </w:rPr>
        <w:t xml:space="preserve">3.2 Lost, Stolen, Mutilated Or Destroyed Warrant Certificates. </w:t>
      </w:r>
      <w:r>
        <w:rPr>
          <w:rFonts w:ascii="Arial" w:cs="Arial" w:eastAsia="Arial" w:hAnsi="Arial"/>
          <w:sz w:val="15"/>
          <w:szCs w:val="15"/>
          <w:color w:val="auto"/>
        </w:rPr>
        <w:t>Upon receipt by the Warrant Agent of evidence reasonably satisfactory to it and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59" w:lineRule="exact"/>
        <w:rPr>
          <w:sz w:val="20"/>
          <w:szCs w:val="20"/>
          <w:color w:val="auto"/>
        </w:rPr>
      </w:pPr>
    </w:p>
    <w:p>
      <w:pPr>
        <w:jc w:val="both"/>
        <w:ind w:firstLine="590"/>
        <w:spacing w:after="0" w:line="291" w:lineRule="auto"/>
        <w:rPr>
          <w:sz w:val="20"/>
          <w:szCs w:val="20"/>
          <w:color w:val="auto"/>
        </w:rPr>
      </w:pPr>
      <w:r>
        <w:rPr>
          <w:rFonts w:ascii="Arial" w:cs="Arial" w:eastAsia="Arial" w:hAnsi="Arial"/>
          <w:sz w:val="15"/>
          <w:szCs w:val="15"/>
          <w:b w:val="1"/>
          <w:bCs w:val="1"/>
          <w:color w:val="auto"/>
        </w:rPr>
        <w:t xml:space="preserve">3.3 Holder Of Warrant Certificate May Enforce Rights. </w:t>
      </w:r>
      <w:r>
        <w:rPr>
          <w:rFonts w:ascii="Arial" w:cs="Arial" w:eastAsia="Arial" w:hAnsi="Arial"/>
          <w:sz w:val="15"/>
          <w:szCs w:val="15"/>
          <w:color w:val="auto"/>
        </w:rPr>
        <w:t>Notwithstanding any of the provisions of this Agreement, any holder of a Warrant Certificate,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47"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4"/>
          <w:szCs w:val="14"/>
          <w:b w:val="1"/>
          <w:bCs w:val="1"/>
          <w:color w:val="auto"/>
        </w:rPr>
        <w:t>Adjustments.</w:t>
      </w:r>
    </w:p>
    <w:p>
      <w:pPr>
        <w:spacing w:after="0" w:line="213" w:lineRule="exact"/>
        <w:rPr>
          <w:sz w:val="20"/>
          <w:szCs w:val="20"/>
          <w:color w:val="auto"/>
        </w:rPr>
      </w:pPr>
    </w:p>
    <w:p>
      <w:pPr>
        <w:jc w:val="both"/>
        <w:ind w:firstLine="1178"/>
        <w:spacing w:after="0" w:line="264" w:lineRule="auto"/>
        <w:tabs>
          <w:tab w:leader="none" w:pos="1555"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t>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68" w:lineRule="exact"/>
        <w:rPr>
          <w:rFonts w:ascii="Arial" w:cs="Arial" w:eastAsia="Arial" w:hAnsi="Arial"/>
          <w:sz w:val="16"/>
          <w:szCs w:val="16"/>
          <w:b w:val="1"/>
          <w:bCs w:val="1"/>
          <w:color w:val="auto"/>
        </w:rPr>
      </w:pPr>
    </w:p>
    <w:p>
      <w:pPr>
        <w:ind w:firstLine="1178"/>
        <w:spacing w:after="0" w:line="287" w:lineRule="auto"/>
        <w:tabs>
          <w:tab w:leader="none" w:pos="1553" w:val="left"/>
        </w:tabs>
        <w:numPr>
          <w:ilvl w:val="0"/>
          <w:numId w:val="84"/>
        </w:numPr>
        <w:rPr>
          <w:rFonts w:ascii="Arial" w:cs="Arial" w:eastAsia="Arial" w:hAnsi="Arial"/>
          <w:sz w:val="16"/>
          <w:szCs w:val="16"/>
          <w:b w:val="1"/>
          <w:bCs w:val="1"/>
          <w:color w:val="auto"/>
        </w:rPr>
      </w:pPr>
      <w:r>
        <w:rPr>
          <w:rFonts w:ascii="Arial" w:cs="Arial" w:eastAsia="Arial" w:hAnsi="Arial"/>
          <w:sz w:val="16"/>
          <w:szCs w:val="16"/>
          <w:color w:val="auto"/>
        </w:rPr>
        <w:t>If at any time or from time to time the holders of Common Stock (or any shares of stock or other securities at the time receivable upon the exercise of the Warrants) shall have received or become entitled to receive, without payment therefor,</w:t>
      </w:r>
    </w:p>
    <w:p>
      <w:pPr>
        <w:spacing w:after="0" w:line="149" w:lineRule="exact"/>
        <w:rPr>
          <w:rFonts w:ascii="Arial" w:cs="Arial" w:eastAsia="Arial" w:hAnsi="Arial"/>
          <w:sz w:val="16"/>
          <w:szCs w:val="16"/>
          <w:b w:val="1"/>
          <w:bCs w:val="1"/>
          <w:color w:val="auto"/>
        </w:rPr>
      </w:pPr>
    </w:p>
    <w:p>
      <w:pPr>
        <w:ind w:firstLine="1768"/>
        <w:spacing w:after="0" w:line="323" w:lineRule="auto"/>
        <w:tabs>
          <w:tab w:leader="none" w:pos="2145" w:val="left"/>
        </w:tabs>
        <w:numPr>
          <w:ilvl w:val="1"/>
          <w:numId w:val="84"/>
        </w:numPr>
        <w:rPr>
          <w:rFonts w:ascii="Arial" w:cs="Arial" w:eastAsia="Arial" w:hAnsi="Arial"/>
          <w:sz w:val="15"/>
          <w:szCs w:val="15"/>
          <w:b w:val="1"/>
          <w:bCs w:val="1"/>
          <w:color w:val="auto"/>
        </w:rPr>
      </w:pPr>
      <w:r>
        <w:rPr>
          <w:rFonts w:ascii="Arial" w:cs="Arial" w:eastAsia="Arial" w:hAnsi="Arial"/>
          <w:sz w:val="15"/>
          <w:szCs w:val="15"/>
          <w:color w:val="auto"/>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spacing w:after="0" w:line="125" w:lineRule="exact"/>
        <w:rPr>
          <w:rFonts w:ascii="Arial" w:cs="Arial" w:eastAsia="Arial" w:hAnsi="Arial"/>
          <w:sz w:val="15"/>
          <w:szCs w:val="15"/>
          <w:b w:val="1"/>
          <w:bCs w:val="1"/>
          <w:color w:val="auto"/>
        </w:rPr>
      </w:pPr>
    </w:p>
    <w:p>
      <w:pPr>
        <w:ind w:left="2140" w:hanging="372"/>
        <w:spacing w:after="0"/>
        <w:tabs>
          <w:tab w:leader="none" w:pos="2140" w:val="left"/>
        </w:tabs>
        <w:numPr>
          <w:ilvl w:val="1"/>
          <w:numId w:val="84"/>
        </w:numPr>
        <w:rPr>
          <w:rFonts w:ascii="Arial" w:cs="Arial" w:eastAsia="Arial" w:hAnsi="Arial"/>
          <w:sz w:val="16"/>
          <w:szCs w:val="16"/>
          <w:b w:val="1"/>
          <w:bCs w:val="1"/>
          <w:color w:val="auto"/>
        </w:rPr>
      </w:pPr>
      <w:r>
        <w:rPr>
          <w:rFonts w:ascii="Arial" w:cs="Arial" w:eastAsia="Arial" w:hAnsi="Arial"/>
          <w:sz w:val="16"/>
          <w:szCs w:val="16"/>
          <w:color w:val="auto"/>
        </w:rPr>
        <w:t>any cash paid or payable otherwise than as a cash dividend paid or payable out of the Company’s current or retained earnings;</w:t>
      </w:r>
    </w:p>
    <w:p>
      <w:pPr>
        <w:spacing w:after="0" w:line="200" w:lineRule="exact"/>
        <w:rPr>
          <w:sz w:val="20"/>
          <w:szCs w:val="20"/>
          <w:color w:val="auto"/>
        </w:rPr>
      </w:pPr>
    </w:p>
    <w:p>
      <w:pPr>
        <w:spacing w:after="0" w:line="23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48" w:right="239" w:bottom="1440" w:gutter="0" w:footer="0" w:header="0"/>
        </w:sectPr>
      </w:pPr>
    </w:p>
    <w:bookmarkStart w:id="72" w:name="page73"/>
    <w:bookmarkEnd w:id="72"/>
    <w:p>
      <w:pPr>
        <w:ind w:left="1002" w:hanging="412"/>
        <w:spacing w:after="0"/>
        <w:tabs>
          <w:tab w:leader="none" w:pos="1002" w:val="left"/>
        </w:tabs>
        <w:numPr>
          <w:ilvl w:val="1"/>
          <w:numId w:val="85"/>
        </w:numPr>
        <w:rPr>
          <w:rFonts w:ascii="Arial" w:cs="Arial" w:eastAsia="Arial" w:hAnsi="Arial"/>
          <w:sz w:val="16"/>
          <w:szCs w:val="16"/>
          <w:b w:val="1"/>
          <w:bCs w:val="1"/>
          <w:color w:val="auto"/>
        </w:rPr>
      </w:pPr>
      <w:r>
        <w:rPr>
          <w:rFonts w:ascii="Arial" w:cs="Arial" w:eastAsia="Arial" w:hAnsi="Arial"/>
          <w:sz w:val="16"/>
          <w:szCs w:val="16"/>
          <w:color w:val="auto"/>
        </w:rPr>
        <w:t>any evidence of the Company’s indebtedness or rights to subscribe for or purchase the Company’s indebtedness; or</w:t>
      </w:r>
    </w:p>
    <w:p>
      <w:pPr>
        <w:spacing w:after="0" w:line="209" w:lineRule="exact"/>
        <w:rPr>
          <w:rFonts w:ascii="Arial" w:cs="Arial" w:eastAsia="Arial" w:hAnsi="Arial"/>
          <w:sz w:val="16"/>
          <w:szCs w:val="16"/>
          <w:b w:val="1"/>
          <w:bCs w:val="1"/>
          <w:color w:val="auto"/>
        </w:rPr>
      </w:pPr>
    </w:p>
    <w:p>
      <w:pPr>
        <w:jc w:val="both"/>
        <w:ind w:left="-1178" w:firstLine="1768"/>
        <w:spacing w:after="0" w:line="261" w:lineRule="auto"/>
        <w:tabs>
          <w:tab w:leader="none" w:pos="1014" w:val="left"/>
        </w:tabs>
        <w:numPr>
          <w:ilvl w:val="1"/>
          <w:numId w:val="85"/>
        </w:numPr>
        <w:rPr>
          <w:rFonts w:ascii="Arial" w:cs="Arial" w:eastAsia="Arial" w:hAnsi="Arial"/>
          <w:sz w:val="16"/>
          <w:szCs w:val="16"/>
          <w:b w:val="1"/>
          <w:bCs w:val="1"/>
          <w:color w:val="auto"/>
        </w:rPr>
      </w:pPr>
      <w:r>
        <w:rPr>
          <w:rFonts w:ascii="Arial" w:cs="Arial" w:eastAsia="Arial" w:hAnsi="Arial"/>
          <w:sz w:val="16"/>
          <w:szCs w:val="16"/>
          <w:color w:val="auto"/>
        </w:rPr>
        <w:t>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 the amount of stock and other securities and property (including cash and indebtedness or rights to subscribe for or purchase indebtedness) which such holder would hold on the date of such exercise had he been the holder of record of such Warrant Securities as of the date on which holders of Common Stock received or became entitled to receive such shares or all other additional stock and other securities and property.</w:t>
      </w:r>
    </w:p>
    <w:p>
      <w:pPr>
        <w:spacing w:after="0" w:line="172" w:lineRule="exact"/>
        <w:rPr>
          <w:rFonts w:ascii="Arial" w:cs="Arial" w:eastAsia="Arial" w:hAnsi="Arial"/>
          <w:sz w:val="16"/>
          <w:szCs w:val="16"/>
          <w:b w:val="1"/>
          <w:bCs w:val="1"/>
          <w:color w:val="auto"/>
        </w:rPr>
      </w:pPr>
    </w:p>
    <w:p>
      <w:pPr>
        <w:jc w:val="both"/>
        <w:ind w:left="-1178" w:firstLine="1178"/>
        <w:spacing w:after="0" w:line="276" w:lineRule="auto"/>
        <w:tabs>
          <w:tab w:leader="none" w:pos="401" w:val="left"/>
        </w:tabs>
        <w:numPr>
          <w:ilvl w:val="0"/>
          <w:numId w:val="86"/>
        </w:numPr>
        <w:rPr>
          <w:rFonts w:ascii="Arial" w:cs="Arial" w:eastAsia="Arial" w:hAnsi="Arial"/>
          <w:sz w:val="15"/>
          <w:szCs w:val="15"/>
          <w:b w:val="1"/>
          <w:bCs w:val="1"/>
          <w:color w:val="auto"/>
        </w:rPr>
      </w:pPr>
      <w:r>
        <w:rPr>
          <w:rFonts w:ascii="Arial" w:cs="Arial" w:eastAsia="Arial" w:hAnsi="Arial"/>
          <w:sz w:val="15"/>
          <w:szCs w:val="15"/>
          <w:color w:val="auto"/>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Arial" w:cs="Arial" w:eastAsia="Arial" w:hAnsi="Arial"/>
          <w:sz w:val="15"/>
          <w:szCs w:val="15"/>
          <w:b w:val="1"/>
          <w:bCs w:val="1"/>
          <w:i w:val="1"/>
          <w:iCs w:val="1"/>
          <w:color w:val="auto"/>
        </w:rPr>
        <w:t>Reorganization Event</w:t>
      </w:r>
      <w:r>
        <w:rPr>
          <w:rFonts w:ascii="Arial" w:cs="Arial" w:eastAsia="Arial" w:hAnsi="Arial"/>
          <w:sz w:val="15"/>
          <w:szCs w:val="15"/>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62" w:lineRule="exact"/>
        <w:rPr>
          <w:rFonts w:ascii="Arial" w:cs="Arial" w:eastAsia="Arial" w:hAnsi="Arial"/>
          <w:sz w:val="15"/>
          <w:szCs w:val="15"/>
          <w:b w:val="1"/>
          <w:bCs w:val="1"/>
          <w:color w:val="auto"/>
        </w:rPr>
      </w:pPr>
    </w:p>
    <w:p>
      <w:pPr>
        <w:jc w:val="both"/>
        <w:ind w:left="-1178" w:firstLine="1178"/>
        <w:spacing w:after="0" w:line="272" w:lineRule="auto"/>
        <w:tabs>
          <w:tab w:leader="none" w:pos="364"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61" w:lineRule="exact"/>
        <w:rPr>
          <w:rFonts w:ascii="Arial" w:cs="Arial" w:eastAsia="Arial" w:hAnsi="Arial"/>
          <w:sz w:val="16"/>
          <w:szCs w:val="16"/>
          <w:b w:val="1"/>
          <w:bCs w:val="1"/>
          <w:color w:val="auto"/>
        </w:rPr>
      </w:pPr>
    </w:p>
    <w:p>
      <w:pPr>
        <w:jc w:val="both"/>
        <w:ind w:left="-1178" w:firstLine="1178"/>
        <w:spacing w:after="0" w:line="272" w:lineRule="auto"/>
        <w:tabs>
          <w:tab w:leader="none" w:pos="409"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spacing w:after="0" w:line="382" w:lineRule="exact"/>
        <w:rPr>
          <w:sz w:val="20"/>
          <w:szCs w:val="20"/>
          <w:color w:val="auto"/>
        </w:rPr>
      </w:pPr>
    </w:p>
    <w:p>
      <w:pPr>
        <w:ind w:left="266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242"/>
          </w:cols>
          <w:pgMar w:left="1418" w:top="348" w:right="239" w:bottom="1440" w:gutter="0" w:footer="0" w:header="0"/>
        </w:sectPr>
      </w:pPr>
    </w:p>
    <w:bookmarkStart w:id="73" w:name="page74"/>
    <w:bookmarkEnd w:id="73"/>
    <w:p>
      <w:pPr>
        <w:jc w:val="both"/>
        <w:ind w:left="2" w:firstLine="1178"/>
        <w:spacing w:after="0" w:line="278" w:lineRule="auto"/>
        <w:tabs>
          <w:tab w:leader="none" w:pos="1546" w:val="left"/>
        </w:tabs>
        <w:numPr>
          <w:ilvl w:val="0"/>
          <w:numId w:val="87"/>
        </w:numPr>
        <w:rPr>
          <w:rFonts w:ascii="Arial" w:cs="Arial" w:eastAsia="Arial" w:hAnsi="Arial"/>
          <w:sz w:val="15"/>
          <w:szCs w:val="15"/>
          <w:b w:val="1"/>
          <w:bCs w:val="1"/>
          <w:color w:val="auto"/>
        </w:rPr>
      </w:pPr>
      <w:r>
        <w:rPr>
          <w:rFonts w:ascii="Arial" w:cs="Arial" w:eastAsia="Arial" w:hAnsi="Arial"/>
          <w:sz w:val="15"/>
          <w:szCs w:val="15"/>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Arial" w:cs="Arial" w:eastAsia="Arial" w:hAnsi="Arial"/>
          <w:sz w:val="15"/>
          <w:szCs w:val="15"/>
          <w:b w:val="1"/>
          <w:bCs w:val="1"/>
          <w:i w:val="1"/>
          <w:iCs w:val="1"/>
          <w:color w:val="auto"/>
        </w:rPr>
        <w:t>OTC Bulletin Board</w:t>
      </w:r>
      <w:r>
        <w:rPr>
          <w:rFonts w:ascii="Arial" w:cs="Arial" w:eastAsia="Arial" w:hAnsi="Arial"/>
          <w:sz w:val="15"/>
          <w:szCs w:val="15"/>
          <w:color w:val="auto"/>
        </w:rPr>
        <w:t>”) operated by the Financial Industry Regulatory Authority, Inc. (“</w:t>
      </w:r>
      <w:r>
        <w:rPr>
          <w:rFonts w:ascii="Arial" w:cs="Arial" w:eastAsia="Arial" w:hAnsi="Arial"/>
          <w:sz w:val="15"/>
          <w:szCs w:val="15"/>
          <w:b w:val="1"/>
          <w:bCs w:val="1"/>
          <w:i w:val="1"/>
          <w:iCs w:val="1"/>
          <w:color w:val="auto"/>
        </w:rPr>
        <w:t>FINRA</w:t>
      </w:r>
      <w:r>
        <w:rPr>
          <w:rFonts w:ascii="Arial" w:cs="Arial" w:eastAsia="Arial" w:hAnsi="Arial"/>
          <w:sz w:val="15"/>
          <w:szCs w:val="15"/>
          <w:color w:val="auto"/>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spacing w:after="0" w:line="159" w:lineRule="exact"/>
        <w:rPr>
          <w:rFonts w:ascii="Arial" w:cs="Arial" w:eastAsia="Arial" w:hAnsi="Arial"/>
          <w:sz w:val="15"/>
          <w:szCs w:val="15"/>
          <w:b w:val="1"/>
          <w:bCs w:val="1"/>
          <w:color w:val="auto"/>
        </w:rPr>
      </w:pPr>
    </w:p>
    <w:p>
      <w:pPr>
        <w:jc w:val="both"/>
        <w:ind w:left="2" w:firstLine="1178"/>
        <w:spacing w:after="0" w:line="272" w:lineRule="auto"/>
        <w:tabs>
          <w:tab w:leader="none" w:pos="1593"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57" w:lineRule="exact"/>
        <w:rPr>
          <w:sz w:val="20"/>
          <w:szCs w:val="20"/>
          <w:color w:val="auto"/>
        </w:rPr>
      </w:pPr>
    </w:p>
    <w:p>
      <w:pPr>
        <w:ind w:left="582"/>
        <w:spacing w:after="0"/>
        <w:tabs>
          <w:tab w:leader="none" w:pos="941" w:val="left"/>
        </w:tabs>
        <w:rPr>
          <w:sz w:val="20"/>
          <w:szCs w:val="20"/>
          <w:color w:val="auto"/>
        </w:rPr>
      </w:pPr>
      <w:r>
        <w:rPr>
          <w:rFonts w:ascii="Arial" w:cs="Arial" w:eastAsia="Arial" w:hAnsi="Arial"/>
          <w:sz w:val="16"/>
          <w:szCs w:val="16"/>
          <w:b w:val="1"/>
          <w:bCs w:val="1"/>
          <w:color w:val="auto"/>
        </w:rPr>
        <w:t>3.5</w:t>
      </w:r>
      <w:r>
        <w:rPr>
          <w:sz w:val="20"/>
          <w:szCs w:val="20"/>
          <w:color w:val="auto"/>
        </w:rPr>
        <w:tab/>
      </w:r>
      <w:r>
        <w:rPr>
          <w:rFonts w:ascii="Arial" w:cs="Arial" w:eastAsia="Arial" w:hAnsi="Arial"/>
          <w:sz w:val="15"/>
          <w:szCs w:val="15"/>
          <w:b w:val="1"/>
          <w:bCs w:val="1"/>
          <w:color w:val="auto"/>
        </w:rPr>
        <w:t xml:space="preserve">Notice To Warrantholders. </w:t>
      </w:r>
      <w:r>
        <w:rPr>
          <w:rFonts w:ascii="Arial" w:cs="Arial" w:eastAsia="Arial" w:hAnsi="Arial"/>
          <w:sz w:val="15"/>
          <w:szCs w:val="15"/>
          <w:color w:val="auto"/>
        </w:rPr>
        <w:t>In case the Company shall (a) effect any dividend or distribution described in Section 3.4(b), (b) effect any Reorganization Event,</w:t>
      </w:r>
    </w:p>
    <w:p>
      <w:pPr>
        <w:spacing w:after="0" w:line="28" w:lineRule="exact"/>
        <w:rPr>
          <w:sz w:val="20"/>
          <w:szCs w:val="20"/>
          <w:color w:val="auto"/>
        </w:rPr>
      </w:pPr>
    </w:p>
    <w:p>
      <w:pPr>
        <w:jc w:val="both"/>
        <w:ind w:left="2" w:hanging="2"/>
        <w:spacing w:after="0" w:line="278" w:lineRule="auto"/>
        <w:tabs>
          <w:tab w:leader="none" w:pos="229" w:val="left"/>
        </w:tabs>
        <w:numPr>
          <w:ilvl w:val="0"/>
          <w:numId w:val="88"/>
        </w:numPr>
        <w:rPr>
          <w:rFonts w:ascii="Arial" w:cs="Arial" w:eastAsia="Arial" w:hAnsi="Arial"/>
          <w:sz w:val="15"/>
          <w:szCs w:val="15"/>
          <w:color w:val="auto"/>
        </w:rPr>
      </w:pPr>
      <w:r>
        <w:rPr>
          <w:rFonts w:ascii="Arial" w:cs="Arial" w:eastAsia="Arial" w:hAnsi="Arial"/>
          <w:sz w:val="15"/>
          <w:szCs w:val="15"/>
          <w:color w:val="auto"/>
        </w:rPr>
        <w:t>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56" w:lineRule="exact"/>
        <w:rPr>
          <w:sz w:val="20"/>
          <w:szCs w:val="20"/>
          <w:color w:val="auto"/>
        </w:rPr>
      </w:pPr>
    </w:p>
    <w:p>
      <w:pPr>
        <w:ind w:left="582"/>
        <w:spacing w:after="0"/>
        <w:tabs>
          <w:tab w:leader="none" w:pos="941"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If The Warrants Are Subject To Acceleration By The Company, Insert</w:t>
      </w:r>
      <w:r>
        <w:rPr>
          <w:rFonts w:ascii="Arial" w:cs="Arial" w:eastAsia="Arial" w:hAnsi="Arial"/>
          <w:sz w:val="14"/>
          <w:szCs w:val="14"/>
          <w:b w:val="1"/>
          <w:bCs w:val="1"/>
          <w:color w:val="auto"/>
        </w:rPr>
        <w:t xml:space="preserve"> — Acceleration Of Warrants By The Company.</w:t>
      </w:r>
    </w:p>
    <w:p>
      <w:pPr>
        <w:spacing w:after="0" w:line="213" w:lineRule="exact"/>
        <w:rPr>
          <w:sz w:val="20"/>
          <w:szCs w:val="20"/>
          <w:color w:val="auto"/>
        </w:rPr>
      </w:pPr>
    </w:p>
    <w:p>
      <w:pPr>
        <w:jc w:val="both"/>
        <w:ind w:left="2" w:firstLine="1178"/>
        <w:spacing w:after="0" w:line="266" w:lineRule="auto"/>
        <w:tabs>
          <w:tab w:leader="none" w:pos="1560"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6"/>
          <w:szCs w:val="16"/>
          <w:b w:val="1"/>
          <w:bCs w:val="1"/>
          <w:i w:val="1"/>
          <w:iCs w:val="1"/>
          <w:color w:val="auto"/>
        </w:rPr>
        <w:t>Acceleration Date</w:t>
      </w:r>
      <w:r>
        <w:rPr>
          <w:rFonts w:ascii="Arial" w:cs="Arial" w:eastAsia="Arial" w:hAnsi="Arial"/>
          <w:sz w:val="16"/>
          <w:szCs w:val="16"/>
          <w:color w:val="auto"/>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67" w:lineRule="exact"/>
        <w:rPr>
          <w:rFonts w:ascii="Arial" w:cs="Arial" w:eastAsia="Arial" w:hAnsi="Arial"/>
          <w:sz w:val="16"/>
          <w:szCs w:val="16"/>
          <w:b w:val="1"/>
          <w:bCs w:val="1"/>
          <w:color w:val="auto"/>
        </w:rPr>
      </w:pPr>
    </w:p>
    <w:p>
      <w:pPr>
        <w:jc w:val="both"/>
        <w:ind w:left="2" w:firstLine="1178"/>
        <w:spacing w:after="0" w:line="279" w:lineRule="auto"/>
        <w:tabs>
          <w:tab w:leader="none" w:pos="1545" w:val="left"/>
        </w:tabs>
        <w:numPr>
          <w:ilvl w:val="0"/>
          <w:numId w:val="89"/>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Market Price</w:t>
      </w:r>
      <w:r>
        <w:rPr>
          <w:rFonts w:ascii="Arial" w:cs="Arial" w:eastAsia="Arial" w:hAnsi="Arial"/>
          <w:sz w:val="15"/>
          <w:szCs w:val="15"/>
          <w:color w:val="auto"/>
        </w:rPr>
        <w:t>” for each Trading Day shall be, if the Common Stock is listed or admitted to trading on any registered national 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w:t>
      </w:r>
      <w:r>
        <w:rPr>
          <w:rFonts w:ascii="Arial" w:cs="Arial" w:eastAsia="Arial" w:hAnsi="Arial"/>
          <w:sz w:val="15"/>
          <w:szCs w:val="15"/>
          <w:b w:val="1"/>
          <w:bCs w:val="1"/>
          <w:i w:val="1"/>
          <w:iCs w:val="1"/>
          <w:color w:val="auto"/>
        </w:rPr>
        <w:t>Trading Day</w:t>
      </w:r>
      <w:r>
        <w:rPr>
          <w:rFonts w:ascii="Arial" w:cs="Arial" w:eastAsia="Arial" w:hAnsi="Arial"/>
          <w:sz w:val="15"/>
          <w:szCs w:val="15"/>
          <w:color w:val="auto"/>
        </w:rPr>
        <w:t>” shall be each Monday through Friday, other than any day on which securities are not traded in the system or on the exchange that is the principal market for the Common Stock, as determined by the Board of Directors of the Company.</w:t>
      </w:r>
    </w:p>
    <w:p>
      <w:pPr>
        <w:spacing w:after="0" w:line="162" w:lineRule="exact"/>
        <w:rPr>
          <w:rFonts w:ascii="Arial" w:cs="Arial" w:eastAsia="Arial" w:hAnsi="Arial"/>
          <w:sz w:val="15"/>
          <w:szCs w:val="15"/>
          <w:b w:val="1"/>
          <w:bCs w:val="1"/>
          <w:color w:val="auto"/>
        </w:rPr>
      </w:pPr>
    </w:p>
    <w:p>
      <w:pPr>
        <w:ind w:left="2" w:firstLine="1178"/>
        <w:spacing w:after="0" w:line="287" w:lineRule="auto"/>
        <w:tabs>
          <w:tab w:leader="none" w:pos="1542"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In the event of an acceleration of less than all of the Warrants, the Warrant Agent shall select the Warrants to be accelerated by lot, pro rata or in such other manner as it deems, in its discretion, to be fair and appropriate.</w:t>
      </w:r>
    </w:p>
    <w:p>
      <w:pPr>
        <w:spacing w:after="0" w:line="371" w:lineRule="exact"/>
        <w:rPr>
          <w:sz w:val="20"/>
          <w:szCs w:val="20"/>
          <w:color w:val="auto"/>
        </w:rPr>
      </w:pPr>
    </w:p>
    <w:p>
      <w:pPr>
        <w:ind w:left="3842"/>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2"/>
          </w:cols>
          <w:pgMar w:left="238" w:top="348" w:right="239" w:bottom="1440" w:gutter="0" w:footer="0" w:header="0"/>
        </w:sectPr>
      </w:pPr>
    </w:p>
    <w:bookmarkStart w:id="74" w:name="page75"/>
    <w:bookmarkEnd w:id="74"/>
    <w:p>
      <w:pPr>
        <w:jc w:val="both"/>
        <w:ind w:firstLine="1178"/>
        <w:spacing w:after="0" w:line="290" w:lineRule="auto"/>
        <w:tabs>
          <w:tab w:leader="none" w:pos="1593" w:val="left"/>
        </w:tabs>
        <w:numPr>
          <w:ilvl w:val="0"/>
          <w:numId w:val="90"/>
        </w:numPr>
        <w:rPr>
          <w:rFonts w:ascii="Arial" w:cs="Arial" w:eastAsia="Arial" w:hAnsi="Arial"/>
          <w:sz w:val="15"/>
          <w:szCs w:val="15"/>
          <w:b w:val="1"/>
          <w:bCs w:val="1"/>
          <w:color w:val="auto"/>
        </w:rPr>
      </w:pPr>
      <w:r>
        <w:rPr>
          <w:rFonts w:ascii="Arial" w:cs="Arial" w:eastAsia="Arial" w:hAnsi="Arial"/>
          <w:sz w:val="15"/>
          <w:szCs w:val="15"/>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49" w:lineRule="exact"/>
        <w:rPr>
          <w:rFonts w:ascii="Arial" w:cs="Arial" w:eastAsia="Arial" w:hAnsi="Arial"/>
          <w:sz w:val="15"/>
          <w:szCs w:val="15"/>
          <w:b w:val="1"/>
          <w:bCs w:val="1"/>
          <w:color w:val="auto"/>
        </w:rPr>
      </w:pPr>
    </w:p>
    <w:p>
      <w:pPr>
        <w:ind w:firstLine="1178"/>
        <w:spacing w:after="0" w:line="287" w:lineRule="auto"/>
        <w:tabs>
          <w:tab w:leader="none" w:pos="1554"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Any Warrant accelerated may be exercised until [●] p.m., [City] time, on the business day next preceding the Acceleration Date. The Warrant Price shall be payable as provided in Section 2.]</w:t>
      </w:r>
    </w:p>
    <w:p>
      <w:pPr>
        <w:spacing w:after="0" w:line="146"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ARTICLE 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AND TRANSFER OF WARRANT CERTIFICATES</w:t>
      </w:r>
    </w:p>
    <w:p>
      <w:pPr>
        <w:spacing w:after="0" w:line="209" w:lineRule="exact"/>
        <w:rPr>
          <w:sz w:val="20"/>
          <w:szCs w:val="20"/>
          <w:color w:val="auto"/>
        </w:rPr>
      </w:pPr>
    </w:p>
    <w:p>
      <w:pPr>
        <w:jc w:val="both"/>
        <w:ind w:firstLine="590"/>
        <w:spacing w:after="0" w:line="277" w:lineRule="auto"/>
        <w:rPr>
          <w:sz w:val="20"/>
          <w:szCs w:val="20"/>
          <w:color w:val="auto"/>
        </w:rPr>
      </w:pPr>
      <w:r>
        <w:rPr>
          <w:rFonts w:ascii="Arial" w:cs="Arial" w:eastAsia="Arial" w:hAnsi="Arial"/>
          <w:sz w:val="15"/>
          <w:szCs w:val="15"/>
          <w:b w:val="1"/>
          <w:bCs w:val="1"/>
          <w:color w:val="auto"/>
        </w:rPr>
        <w:t xml:space="preserve">4.1 Exchange And Transfer Of Warrant Certificates. </w:t>
      </w:r>
      <w:r>
        <w:rPr>
          <w:rFonts w:ascii="Arial" w:cs="Arial" w:eastAsia="Arial" w:hAnsi="Arial"/>
          <w:sz w:val="15"/>
          <w:szCs w:val="15"/>
          <w:color w:val="auto"/>
        </w:rPr>
        <w:t>Upon surrender at the corporate trust office of the Warrant Agent, Warrant Certificates evidencing</w:t>
      </w:r>
      <w:r>
        <w:rPr>
          <w:rFonts w:ascii="Arial" w:cs="Arial" w:eastAsia="Arial" w:hAnsi="Arial"/>
          <w:sz w:val="15"/>
          <w:szCs w:val="15"/>
          <w:b w:val="1"/>
          <w:bCs w:val="1"/>
          <w:color w:val="auto"/>
        </w:rPr>
        <w:t xml:space="preserve"> </w:t>
      </w:r>
      <w:r>
        <w:rPr>
          <w:rFonts w:ascii="Arial" w:cs="Arial" w:eastAsia="Arial" w:hAnsi="Arial"/>
          <w:sz w:val="15"/>
          <w:szCs w:val="15"/>
          <w:color w:val="auto"/>
        </w:rPr>
        <w:t>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3" w:lineRule="exact"/>
        <w:rPr>
          <w:sz w:val="20"/>
          <w:szCs w:val="20"/>
          <w:color w:val="auto"/>
        </w:rPr>
      </w:pPr>
    </w:p>
    <w:p>
      <w:pPr>
        <w:jc w:val="both"/>
        <w:ind w:firstLine="590"/>
        <w:spacing w:after="0" w:line="274" w:lineRule="auto"/>
        <w:rPr>
          <w:sz w:val="20"/>
          <w:szCs w:val="20"/>
          <w:color w:val="auto"/>
        </w:rPr>
      </w:pPr>
      <w:r>
        <w:rPr>
          <w:rFonts w:ascii="Arial" w:cs="Arial" w:eastAsia="Arial" w:hAnsi="Arial"/>
          <w:sz w:val="16"/>
          <w:szCs w:val="16"/>
          <w:b w:val="1"/>
          <w:bCs w:val="1"/>
          <w:color w:val="auto"/>
        </w:rPr>
        <w:t xml:space="preserve">4.2 Treatment Of Holders Of Warrant Certificates. </w:t>
      </w:r>
      <w:r>
        <w:rPr>
          <w:rFonts w:ascii="Arial" w:cs="Arial" w:eastAsia="Arial" w:hAnsi="Arial"/>
          <w:sz w:val="16"/>
          <w:szCs w:val="16"/>
          <w:color w:val="auto"/>
        </w:rPr>
        <w:t>The Company, the Warrant Agent and all other persons may treat the registered holder of a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as the absolute owner thereof for any purpose and as the person entitled to exercise the rights represented by the Warrants evidenced thereby, any notice to the contrary notwithstanding.</w:t>
      </w:r>
    </w:p>
    <w:p>
      <w:pPr>
        <w:spacing w:after="0" w:line="157" w:lineRule="exact"/>
        <w:rPr>
          <w:sz w:val="20"/>
          <w:szCs w:val="20"/>
          <w:color w:val="auto"/>
        </w:rPr>
      </w:pPr>
    </w:p>
    <w:p>
      <w:pPr>
        <w:jc w:val="both"/>
        <w:ind w:firstLine="590"/>
        <w:spacing w:after="0" w:line="265" w:lineRule="auto"/>
        <w:rPr>
          <w:sz w:val="20"/>
          <w:szCs w:val="20"/>
          <w:color w:val="auto"/>
        </w:rPr>
      </w:pPr>
      <w:r>
        <w:rPr>
          <w:rFonts w:ascii="Arial" w:cs="Arial" w:eastAsia="Arial" w:hAnsi="Arial"/>
          <w:sz w:val="16"/>
          <w:szCs w:val="16"/>
          <w:b w:val="1"/>
          <w:bCs w:val="1"/>
          <w:color w:val="auto"/>
        </w:rPr>
        <w:t xml:space="preserve">4.3 Cancellation Of Warrant Certificates. </w:t>
      </w:r>
      <w:r>
        <w:rPr>
          <w:rFonts w:ascii="Arial" w:cs="Arial" w:eastAsia="Arial" w:hAnsi="Arial"/>
          <w:sz w:val="16"/>
          <w:szCs w:val="16"/>
          <w:color w:val="auto"/>
        </w:rPr>
        <w:t>Any Warrant Certificate surrendered for exchange, registration of transfer or exercise of the Warrants evidenced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164"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ARTICLE 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CONCERNING THE WARRANT AGENT</w:t>
      </w:r>
    </w:p>
    <w:p>
      <w:pPr>
        <w:spacing w:after="0" w:line="209" w:lineRule="exact"/>
        <w:rPr>
          <w:sz w:val="20"/>
          <w:szCs w:val="20"/>
          <w:color w:val="auto"/>
        </w:rPr>
      </w:pPr>
    </w:p>
    <w:p>
      <w:pPr>
        <w:jc w:val="both"/>
        <w:ind w:firstLine="590"/>
        <w:spacing w:after="0" w:line="318" w:lineRule="auto"/>
        <w:rPr>
          <w:sz w:val="20"/>
          <w:szCs w:val="20"/>
          <w:color w:val="auto"/>
        </w:rPr>
      </w:pPr>
      <w:r>
        <w:rPr>
          <w:rFonts w:ascii="Arial" w:cs="Arial" w:eastAsia="Arial" w:hAnsi="Arial"/>
          <w:sz w:val="14"/>
          <w:szCs w:val="14"/>
          <w:b w:val="1"/>
          <w:bCs w:val="1"/>
          <w:color w:val="auto"/>
        </w:rPr>
        <w:t xml:space="preserve">5.1 Warrant Agent. </w:t>
      </w:r>
      <w:r>
        <w:rPr>
          <w:rFonts w:ascii="Arial" w:cs="Arial" w:eastAsia="Arial" w:hAnsi="Arial"/>
          <w:sz w:val="14"/>
          <w:szCs w:val="14"/>
          <w:color w:val="auto"/>
        </w:rPr>
        <w:t>The Company hereby appoints [●] as Warrant Agent of the Company in respect of the Warrants and the Warrant Certificates upon the terms</w:t>
      </w:r>
      <w:r>
        <w:rPr>
          <w:rFonts w:ascii="Arial" w:cs="Arial" w:eastAsia="Arial" w:hAnsi="Arial"/>
          <w:sz w:val="14"/>
          <w:szCs w:val="14"/>
          <w:b w:val="1"/>
          <w:bCs w:val="1"/>
          <w:color w:val="auto"/>
        </w:rPr>
        <w:t xml:space="preserve"> </w:t>
      </w:r>
      <w:r>
        <w:rPr>
          <w:rFonts w:ascii="Arial" w:cs="Arial" w:eastAsia="Arial" w:hAnsi="Arial"/>
          <w:sz w:val="14"/>
          <w:szCs w:val="14"/>
          <w:color w:val="auto"/>
        </w:rPr>
        <w:t>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35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48" w:right="239" w:bottom="1440" w:gutter="0" w:footer="0" w:header="0"/>
        </w:sectPr>
      </w:pPr>
    </w:p>
    <w:bookmarkStart w:id="75" w:name="page76"/>
    <w:bookmarkEnd w:id="75"/>
    <w:p>
      <w:pPr>
        <w:ind w:firstLine="590"/>
        <w:spacing w:after="0" w:line="328" w:lineRule="auto"/>
        <w:rPr>
          <w:sz w:val="20"/>
          <w:szCs w:val="20"/>
          <w:color w:val="auto"/>
        </w:rPr>
      </w:pPr>
      <w:r>
        <w:rPr>
          <w:rFonts w:ascii="Arial" w:cs="Arial" w:eastAsia="Arial" w:hAnsi="Arial"/>
          <w:sz w:val="15"/>
          <w:szCs w:val="15"/>
          <w:b w:val="1"/>
          <w:bCs w:val="1"/>
          <w:color w:val="auto"/>
        </w:rPr>
        <w:t xml:space="preserve">5.2 Conditions Of Warrant Agent’s Obligations. </w:t>
      </w:r>
      <w:r>
        <w:rPr>
          <w:rFonts w:ascii="Arial" w:cs="Arial" w:eastAsia="Arial" w:hAnsi="Arial"/>
          <w:sz w:val="15"/>
          <w:szCs w:val="15"/>
          <w:color w:val="auto"/>
        </w:rPr>
        <w:t>The Warrant Agent accepts its obligations herein set forth upon the terms and conditions hereof, including the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to all of which the Company agrees and to all of which the rights hereunder of the holders from time to time of the Warrant Certificates shall be subject:</w:t>
      </w:r>
    </w:p>
    <w:p>
      <w:pPr>
        <w:spacing w:after="0" w:line="119" w:lineRule="exact"/>
        <w:rPr>
          <w:sz w:val="20"/>
          <w:szCs w:val="20"/>
          <w:color w:val="auto"/>
        </w:rPr>
      </w:pPr>
    </w:p>
    <w:p>
      <w:pPr>
        <w:jc w:val="both"/>
        <w:ind w:firstLine="1178"/>
        <w:spacing w:after="0" w:line="263" w:lineRule="auto"/>
        <w:tabs>
          <w:tab w:leader="none" w:pos="1633"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Compensation And Indemnification. </w:t>
      </w:r>
      <w:r>
        <w:rPr>
          <w:rFonts w:ascii="Arial" w:cs="Arial" w:eastAsia="Arial" w:hAnsi="Arial"/>
          <w:sz w:val="16"/>
          <w:szCs w:val="16"/>
          <w:color w:val="auto"/>
        </w:rPr>
        <w:t>The Company agrees promptly to pay the Warrant Agent the compensation to be agreed upon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66" w:lineRule="exact"/>
        <w:rPr>
          <w:rFonts w:ascii="Arial" w:cs="Arial" w:eastAsia="Arial" w:hAnsi="Arial"/>
          <w:sz w:val="16"/>
          <w:szCs w:val="16"/>
          <w:b w:val="1"/>
          <w:bCs w:val="1"/>
          <w:color w:val="auto"/>
        </w:rPr>
      </w:pPr>
    </w:p>
    <w:p>
      <w:pPr>
        <w:jc w:val="both"/>
        <w:ind w:firstLine="1178"/>
        <w:spacing w:after="0" w:line="274" w:lineRule="auto"/>
        <w:tabs>
          <w:tab w:leader="none" w:pos="1544"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Agent For The Company. </w:t>
      </w:r>
      <w:r>
        <w:rPr>
          <w:rFonts w:ascii="Arial" w:cs="Arial" w:eastAsia="Arial" w:hAnsi="Arial"/>
          <w:sz w:val="16"/>
          <w:szCs w:val="16"/>
          <w:color w:val="auto"/>
        </w:rPr>
        <w:t>In acting under this Warrant Agreement and in connection with the Warrant Certificates, the Warrant Agent is acting solely</w:t>
      </w:r>
      <w:r>
        <w:rPr>
          <w:rFonts w:ascii="Arial" w:cs="Arial" w:eastAsia="Arial" w:hAnsi="Arial"/>
          <w:sz w:val="16"/>
          <w:szCs w:val="16"/>
          <w:b w:val="1"/>
          <w:bCs w:val="1"/>
          <w:color w:val="auto"/>
        </w:rPr>
        <w:t xml:space="preserve"> </w:t>
      </w:r>
      <w:r>
        <w:rPr>
          <w:rFonts w:ascii="Arial" w:cs="Arial" w:eastAsia="Arial" w:hAnsi="Arial"/>
          <w:sz w:val="16"/>
          <w:szCs w:val="16"/>
          <w:color w:val="auto"/>
        </w:rPr>
        <w:t>as agent of the Company and does not assume any obligations or relationship of agency or trust for or with any of the holders of Warrant Certificates or beneficial owners of Warrants.</w:t>
      </w:r>
    </w:p>
    <w:p>
      <w:pPr>
        <w:spacing w:after="0" w:line="156" w:lineRule="exact"/>
        <w:rPr>
          <w:rFonts w:ascii="Arial" w:cs="Arial" w:eastAsia="Arial" w:hAnsi="Arial"/>
          <w:sz w:val="16"/>
          <w:szCs w:val="16"/>
          <w:b w:val="1"/>
          <w:bCs w:val="1"/>
          <w:color w:val="auto"/>
        </w:rPr>
      </w:pPr>
    </w:p>
    <w:p>
      <w:pPr>
        <w:jc w:val="both"/>
        <w:ind w:firstLine="1178"/>
        <w:spacing w:after="0" w:line="274" w:lineRule="auto"/>
        <w:tabs>
          <w:tab w:leader="none" w:pos="1538"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Counsel. </w:t>
      </w:r>
      <w:r>
        <w:rPr>
          <w:rFonts w:ascii="Arial" w:cs="Arial" w:eastAsia="Arial" w:hAnsi="Arial"/>
          <w:sz w:val="16"/>
          <w:szCs w:val="16"/>
          <w:color w:val="auto"/>
        </w:rPr>
        <w:t>The Warrant Agent may consult with counsel satisfactory to it, which may include counsel for the Company, and the written advice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shall be full and complete authorization and protection in respect of any action taken, suffered or omitted by it hereunder in good faith and in accordance with the advice of such counsel.</w:t>
      </w:r>
    </w:p>
    <w:p>
      <w:pPr>
        <w:spacing w:after="0" w:line="156" w:lineRule="exact"/>
        <w:rPr>
          <w:rFonts w:ascii="Arial" w:cs="Arial" w:eastAsia="Arial" w:hAnsi="Arial"/>
          <w:sz w:val="16"/>
          <w:szCs w:val="16"/>
          <w:b w:val="1"/>
          <w:bCs w:val="1"/>
          <w:color w:val="auto"/>
        </w:rPr>
      </w:pPr>
    </w:p>
    <w:p>
      <w:pPr>
        <w:jc w:val="both"/>
        <w:ind w:firstLine="1178"/>
        <w:spacing w:after="0" w:line="274" w:lineRule="auto"/>
        <w:tabs>
          <w:tab w:leader="none" w:pos="1544"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Documents. </w:t>
      </w:r>
      <w:r>
        <w:rPr>
          <w:rFonts w:ascii="Arial" w:cs="Arial" w:eastAsia="Arial" w:hAnsi="Arial"/>
          <w:sz w:val="16"/>
          <w:szCs w:val="16"/>
          <w:color w:val="auto"/>
        </w:rPr>
        <w:t>The Warrant Agent shall be protected and shall incur no liability for or in respect of any action taken or omitted by it in reliance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Certificate, notice, direction, consent, certificate, affidavit, statement or other paper or document reasonably believed by it to be genuine and to have been presented or signed by the proper parties.</w:t>
      </w:r>
    </w:p>
    <w:p>
      <w:pPr>
        <w:spacing w:after="0" w:line="156" w:lineRule="exact"/>
        <w:rPr>
          <w:rFonts w:ascii="Arial" w:cs="Arial" w:eastAsia="Arial" w:hAnsi="Arial"/>
          <w:sz w:val="16"/>
          <w:szCs w:val="16"/>
          <w:b w:val="1"/>
          <w:bCs w:val="1"/>
          <w:color w:val="auto"/>
        </w:rPr>
      </w:pPr>
    </w:p>
    <w:p>
      <w:pPr>
        <w:jc w:val="both"/>
        <w:ind w:firstLine="1178"/>
        <w:spacing w:after="0" w:line="265" w:lineRule="auto"/>
        <w:tabs>
          <w:tab w:leader="none" w:pos="155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Certain Transactions. </w:t>
      </w:r>
      <w:r>
        <w:rPr>
          <w:rFonts w:ascii="Arial" w:cs="Arial" w:eastAsia="Arial" w:hAnsi="Arial"/>
          <w:sz w:val="16"/>
          <w:szCs w:val="16"/>
          <w:color w:val="auto"/>
        </w:rPr>
        <w:t>The Warrant Agent, and its officers, directors and employees, may become the owner of, or acquire any interest in,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Warrant Agreement shall be deemed to prevent the Warrant Agent from acting as trustee under any indenture to which the Company is a party.</w:t>
      </w:r>
    </w:p>
    <w:p>
      <w:pPr>
        <w:spacing w:after="0" w:line="164" w:lineRule="exact"/>
        <w:rPr>
          <w:rFonts w:ascii="Arial" w:cs="Arial" w:eastAsia="Arial" w:hAnsi="Arial"/>
          <w:sz w:val="16"/>
          <w:szCs w:val="16"/>
          <w:b w:val="1"/>
          <w:bCs w:val="1"/>
          <w:color w:val="auto"/>
        </w:rPr>
      </w:pPr>
    </w:p>
    <w:p>
      <w:pPr>
        <w:ind w:firstLine="1178"/>
        <w:spacing w:after="0" w:line="293" w:lineRule="auto"/>
        <w:tabs>
          <w:tab w:leader="none" w:pos="1507"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Liability For Interest. </w:t>
      </w:r>
      <w:r>
        <w:rPr>
          <w:rFonts w:ascii="Arial" w:cs="Arial" w:eastAsia="Arial" w:hAnsi="Arial"/>
          <w:sz w:val="16"/>
          <w:szCs w:val="16"/>
          <w:color w:val="auto"/>
        </w:rPr>
        <w:t>Unless otherwise agreed with the Company, the Warrant Agent shall have no liability for interest on any monies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by it pursuant to any of the provisions of this Agreement or of the Warrant Certificates.</w:t>
      </w:r>
    </w:p>
    <w:p>
      <w:pPr>
        <w:spacing w:after="0" w:line="140" w:lineRule="exact"/>
        <w:rPr>
          <w:rFonts w:ascii="Arial" w:cs="Arial" w:eastAsia="Arial" w:hAnsi="Arial"/>
          <w:sz w:val="16"/>
          <w:szCs w:val="16"/>
          <w:b w:val="1"/>
          <w:bCs w:val="1"/>
          <w:color w:val="auto"/>
        </w:rPr>
      </w:pPr>
    </w:p>
    <w:p>
      <w:pPr>
        <w:ind w:firstLine="1178"/>
        <w:spacing w:after="0" w:line="293" w:lineRule="auto"/>
        <w:tabs>
          <w:tab w:leader="none" w:pos="1621"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Liability For Invalidity. </w:t>
      </w:r>
      <w:r>
        <w:rPr>
          <w:rFonts w:ascii="Arial" w:cs="Arial" w:eastAsia="Arial" w:hAnsi="Arial"/>
          <w:sz w:val="16"/>
          <w:szCs w:val="16"/>
          <w:color w:val="auto"/>
        </w:rPr>
        <w:t>The Warrant Agent shall have no liability with respect to any invalidity of this Agreement or any of the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(except as to the Warrant Agent’s countersignature thereon).</w:t>
      </w:r>
    </w:p>
    <w:p>
      <w:pPr>
        <w:spacing w:after="0" w:line="140" w:lineRule="exact"/>
        <w:rPr>
          <w:rFonts w:ascii="Arial" w:cs="Arial" w:eastAsia="Arial" w:hAnsi="Arial"/>
          <w:sz w:val="16"/>
          <w:szCs w:val="16"/>
          <w:b w:val="1"/>
          <w:bCs w:val="1"/>
          <w:color w:val="auto"/>
        </w:rPr>
      </w:pPr>
    </w:p>
    <w:p>
      <w:pPr>
        <w:ind w:firstLine="1178"/>
        <w:spacing w:after="0" w:line="293" w:lineRule="auto"/>
        <w:tabs>
          <w:tab w:leader="none" w:pos="1544"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Responsibility For Representations. </w:t>
      </w:r>
      <w:r>
        <w:rPr>
          <w:rFonts w:ascii="Arial" w:cs="Arial" w:eastAsia="Arial" w:hAnsi="Arial"/>
          <w:sz w:val="16"/>
          <w:szCs w:val="16"/>
          <w:color w:val="auto"/>
        </w:rPr>
        <w:t>The Warrant Agent shall not be responsible for any of the recitals or representations herein or in the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(except as to the Warrant Agent’s countersignature thereon), all of which are made solely by the Company.</w:t>
      </w:r>
    </w:p>
    <w:p>
      <w:pPr>
        <w:spacing w:after="0" w:line="140" w:lineRule="exact"/>
        <w:rPr>
          <w:rFonts w:ascii="Arial" w:cs="Arial" w:eastAsia="Arial" w:hAnsi="Arial"/>
          <w:sz w:val="16"/>
          <w:szCs w:val="16"/>
          <w:b w:val="1"/>
          <w:bCs w:val="1"/>
          <w:color w:val="auto"/>
        </w:rPr>
      </w:pPr>
    </w:p>
    <w:p>
      <w:pPr>
        <w:jc w:val="both"/>
        <w:ind w:firstLine="1178"/>
        <w:spacing w:after="0" w:line="261" w:lineRule="auto"/>
        <w:tabs>
          <w:tab w:leader="none" w:pos="1523"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Implied Obligations. </w:t>
      </w:r>
      <w:r>
        <w:rPr>
          <w:rFonts w:ascii="Arial" w:cs="Arial" w:eastAsia="Arial" w:hAnsi="Arial"/>
          <w:sz w:val="16"/>
          <w:szCs w:val="16"/>
          <w:color w:val="auto"/>
        </w:rPr>
        <w:t>The Warrant Agent shall be obligated to perform only such duties as are herein and in the Warrant Certificates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66"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4"/>
          <w:szCs w:val="14"/>
          <w:b w:val="1"/>
          <w:bCs w:val="1"/>
          <w:color w:val="auto"/>
        </w:rPr>
        <w:t>Resignation, Removal And Appointment Of Successors.</w:t>
      </w:r>
    </w:p>
    <w:p>
      <w:pPr>
        <w:spacing w:after="0" w:line="213" w:lineRule="exact"/>
        <w:rPr>
          <w:sz w:val="20"/>
          <w:szCs w:val="20"/>
          <w:color w:val="auto"/>
        </w:rPr>
      </w:pPr>
    </w:p>
    <w:p>
      <w:pPr>
        <w:ind w:firstLine="1178"/>
        <w:spacing w:after="0" w:line="287" w:lineRule="auto"/>
        <w:tabs>
          <w:tab w:leader="none" w:pos="1592" w:val="left"/>
        </w:tabs>
        <w:numPr>
          <w:ilvl w:val="0"/>
          <w:numId w:val="92"/>
        </w:numPr>
        <w:rPr>
          <w:rFonts w:ascii="Arial" w:cs="Arial" w:eastAsia="Arial" w:hAnsi="Arial"/>
          <w:sz w:val="16"/>
          <w:szCs w:val="16"/>
          <w:b w:val="1"/>
          <w:bCs w:val="1"/>
          <w:color w:val="auto"/>
        </w:rPr>
      </w:pPr>
      <w:r>
        <w:rPr>
          <w:rFonts w:ascii="Arial" w:cs="Arial" w:eastAsia="Arial" w:hAnsi="Arial"/>
          <w:sz w:val="16"/>
          <w:szCs w:val="16"/>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37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44" w:right="239" w:bottom="1440" w:gutter="0" w:footer="0" w:header="0"/>
        </w:sectPr>
      </w:pPr>
    </w:p>
    <w:bookmarkStart w:id="76" w:name="page77"/>
    <w:bookmarkEnd w:id="76"/>
    <w:p>
      <w:pPr>
        <w:jc w:val="both"/>
        <w:ind w:firstLine="1178"/>
        <w:spacing w:after="0" w:line="261" w:lineRule="auto"/>
        <w:tabs>
          <w:tab w:leader="none" w:pos="1543"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2" w:lineRule="exact"/>
        <w:rPr>
          <w:rFonts w:ascii="Arial" w:cs="Arial" w:eastAsia="Arial" w:hAnsi="Arial"/>
          <w:sz w:val="16"/>
          <w:szCs w:val="16"/>
          <w:b w:val="1"/>
          <w:bCs w:val="1"/>
          <w:color w:val="auto"/>
        </w:rPr>
      </w:pPr>
    </w:p>
    <w:p>
      <w:pPr>
        <w:jc w:val="both"/>
        <w:ind w:firstLine="1178"/>
        <w:spacing w:after="0" w:line="278" w:lineRule="auto"/>
        <w:tabs>
          <w:tab w:leader="none" w:pos="1596" w:val="left"/>
        </w:tabs>
        <w:numPr>
          <w:ilvl w:val="0"/>
          <w:numId w:val="93"/>
        </w:numPr>
        <w:rPr>
          <w:rFonts w:ascii="Arial" w:cs="Arial" w:eastAsia="Arial" w:hAnsi="Arial"/>
          <w:sz w:val="15"/>
          <w:szCs w:val="15"/>
          <w:b w:val="1"/>
          <w:bCs w:val="1"/>
          <w:color w:val="auto"/>
        </w:rPr>
      </w:pPr>
      <w:r>
        <w:rPr>
          <w:rFonts w:ascii="Arial" w:cs="Arial" w:eastAsia="Arial" w:hAnsi="Arial"/>
          <w:sz w:val="15"/>
          <w:szCs w:val="15"/>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62" w:lineRule="exact"/>
        <w:rPr>
          <w:rFonts w:ascii="Arial" w:cs="Arial" w:eastAsia="Arial" w:hAnsi="Arial"/>
          <w:sz w:val="15"/>
          <w:szCs w:val="15"/>
          <w:b w:val="1"/>
          <w:bCs w:val="1"/>
          <w:color w:val="auto"/>
        </w:rPr>
      </w:pPr>
    </w:p>
    <w:p>
      <w:pPr>
        <w:jc w:val="both"/>
        <w:ind w:firstLine="1178"/>
        <w:spacing w:after="0" w:line="286" w:lineRule="auto"/>
        <w:tabs>
          <w:tab w:leader="none" w:pos="1614" w:val="left"/>
        </w:tabs>
        <w:numPr>
          <w:ilvl w:val="0"/>
          <w:numId w:val="93"/>
        </w:numPr>
        <w:rPr>
          <w:rFonts w:ascii="Arial" w:cs="Arial" w:eastAsia="Arial" w:hAnsi="Arial"/>
          <w:sz w:val="15"/>
          <w:szCs w:val="15"/>
          <w:b w:val="1"/>
          <w:bCs w:val="1"/>
          <w:color w:val="auto"/>
        </w:rPr>
      </w:pPr>
      <w:r>
        <w:rPr>
          <w:rFonts w:ascii="Arial" w:cs="Arial" w:eastAsia="Arial" w:hAnsi="Arial"/>
          <w:sz w:val="15"/>
          <w:szCs w:val="15"/>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52" w:lineRule="exact"/>
        <w:rPr>
          <w:rFonts w:ascii="Arial" w:cs="Arial" w:eastAsia="Arial" w:hAnsi="Arial"/>
          <w:sz w:val="15"/>
          <w:szCs w:val="15"/>
          <w:b w:val="1"/>
          <w:bCs w:val="1"/>
          <w:color w:val="auto"/>
        </w:rPr>
      </w:pPr>
    </w:p>
    <w:p>
      <w:pPr>
        <w:jc w:val="both"/>
        <w:ind w:firstLine="1178"/>
        <w:spacing w:after="0" w:line="290" w:lineRule="auto"/>
        <w:tabs>
          <w:tab w:leader="none" w:pos="1586" w:val="left"/>
        </w:tabs>
        <w:numPr>
          <w:ilvl w:val="0"/>
          <w:numId w:val="93"/>
        </w:numPr>
        <w:rPr>
          <w:rFonts w:ascii="Arial" w:cs="Arial" w:eastAsia="Arial" w:hAnsi="Arial"/>
          <w:sz w:val="15"/>
          <w:szCs w:val="15"/>
          <w:b w:val="1"/>
          <w:bCs w:val="1"/>
          <w:color w:val="auto"/>
        </w:rPr>
      </w:pPr>
      <w:r>
        <w:rPr>
          <w:rFonts w:ascii="Arial" w:cs="Arial" w:eastAsia="Arial" w:hAnsi="Arial"/>
          <w:sz w:val="15"/>
          <w:szCs w:val="15"/>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146"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ARTICLE 6</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20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6"/>
          <w:szCs w:val="16"/>
          <w:b w:val="1"/>
          <w:bCs w:val="1"/>
          <w:color w:val="auto"/>
        </w:rPr>
        <w:t xml:space="preserve">6.1 Amendment. </w:t>
      </w:r>
      <w:r>
        <w:rPr>
          <w:rFonts w:ascii="Arial" w:cs="Arial" w:eastAsia="Arial" w:hAnsi="Arial"/>
          <w:sz w:val="16"/>
          <w:szCs w:val="16"/>
          <w:color w:val="auto"/>
        </w:rPr>
        <w:t>This Agreement may be amended by the parties hereto, without the consent of the holder of any Warrant Certificate, for the purpose of curing</w:t>
      </w:r>
      <w:r>
        <w:rPr>
          <w:rFonts w:ascii="Arial" w:cs="Arial" w:eastAsia="Arial" w:hAnsi="Arial"/>
          <w:sz w:val="16"/>
          <w:szCs w:val="16"/>
          <w:b w:val="1"/>
          <w:bCs w:val="1"/>
          <w:color w:val="auto"/>
        </w:rPr>
        <w:t xml:space="preserve"> </w:t>
      </w:r>
      <w:r>
        <w:rPr>
          <w:rFonts w:ascii="Arial" w:cs="Arial" w:eastAsia="Arial" w:hAnsi="Arial"/>
          <w:sz w:val="16"/>
          <w:szCs w:val="16"/>
          <w:color w:val="auto"/>
        </w:rPr>
        <w:t>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2" w:lineRule="exact"/>
        <w:rPr>
          <w:sz w:val="20"/>
          <w:szCs w:val="20"/>
          <w:color w:val="auto"/>
        </w:rPr>
      </w:pPr>
    </w:p>
    <w:p>
      <w:pPr>
        <w:jc w:val="both"/>
        <w:ind w:firstLine="590"/>
        <w:spacing w:after="0" w:line="328" w:lineRule="auto"/>
        <w:rPr>
          <w:sz w:val="20"/>
          <w:szCs w:val="20"/>
          <w:color w:val="auto"/>
        </w:rPr>
      </w:pPr>
      <w:r>
        <w:rPr>
          <w:rFonts w:ascii="Arial" w:cs="Arial" w:eastAsia="Arial" w:hAnsi="Arial"/>
          <w:sz w:val="15"/>
          <w:szCs w:val="15"/>
          <w:b w:val="1"/>
          <w:bCs w:val="1"/>
          <w:color w:val="auto"/>
        </w:rPr>
        <w:t xml:space="preserve">6.2 Notices And Demands To The Company And Warrant Agent. </w:t>
      </w:r>
      <w:r>
        <w:rPr>
          <w:rFonts w:ascii="Arial" w:cs="Arial" w:eastAsia="Arial" w:hAnsi="Arial"/>
          <w:sz w:val="15"/>
          <w:szCs w:val="15"/>
          <w:color w:val="auto"/>
        </w:rPr>
        <w:t>If the Warrant Agent shall receive any notice or demand addressed to the Company by the</w:t>
      </w:r>
      <w:r>
        <w:rPr>
          <w:rFonts w:ascii="Arial" w:cs="Arial" w:eastAsia="Arial" w:hAnsi="Arial"/>
          <w:sz w:val="15"/>
          <w:szCs w:val="15"/>
          <w:b w:val="1"/>
          <w:bCs w:val="1"/>
          <w:color w:val="auto"/>
        </w:rPr>
        <w:t xml:space="preserve"> </w:t>
      </w:r>
      <w:r>
        <w:rPr>
          <w:rFonts w:ascii="Arial" w:cs="Arial" w:eastAsia="Arial" w:hAnsi="Arial"/>
          <w:sz w:val="15"/>
          <w:szCs w:val="15"/>
          <w:color w:val="auto"/>
        </w:rPr>
        <w:t>holder of a Warrant Certificate pursuant to the provisions of the Warrant Certificates, the Warrant Agent shall promptly forward such notice or demand to the Company.</w:t>
      </w:r>
    </w:p>
    <w:p>
      <w:pPr>
        <w:spacing w:after="0" w:line="119"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b w:val="1"/>
          <w:bCs w:val="1"/>
          <w:color w:val="auto"/>
        </w:rPr>
        <w:t xml:space="preserve">Addresses. </w:t>
      </w:r>
      <w:r>
        <w:rPr>
          <w:rFonts w:ascii="Arial" w:cs="Arial" w:eastAsia="Arial" w:hAnsi="Arial"/>
          <w:sz w:val="16"/>
          <w:szCs w:val="16"/>
          <w:color w:val="auto"/>
        </w:rPr>
        <w:t>Any communication from the Company to the Warrant Agent with respect to this Agreement shall be addressed to [●], Attention: [●] and any communication</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Warrant Agent to the Company with respect to this Agreement shall be addressed to SI-BONE, Inc., 471 El Camino Real, Santa Clara, CA 95050, Attention: [●] (or such other address as shall be specified in writing by the Warrant Agent or by the Company).</w:t>
      </w:r>
    </w:p>
    <w:p>
      <w:pPr>
        <w:spacing w:after="0" w:line="157" w:lineRule="exact"/>
        <w:rPr>
          <w:sz w:val="20"/>
          <w:szCs w:val="20"/>
          <w:color w:val="auto"/>
        </w:rPr>
      </w:pPr>
    </w:p>
    <w:p>
      <w:pPr>
        <w:ind w:firstLine="590"/>
        <w:spacing w:after="0" w:line="293" w:lineRule="auto"/>
        <w:rPr>
          <w:sz w:val="20"/>
          <w:szCs w:val="20"/>
          <w:color w:val="auto"/>
        </w:rPr>
      </w:pPr>
      <w:r>
        <w:rPr>
          <w:rFonts w:ascii="Arial" w:cs="Arial" w:eastAsia="Arial" w:hAnsi="Arial"/>
          <w:sz w:val="16"/>
          <w:szCs w:val="16"/>
          <w:b w:val="1"/>
          <w:bCs w:val="1"/>
          <w:color w:val="auto"/>
        </w:rPr>
        <w:t xml:space="preserve">6.3 Governing Law. </w:t>
      </w:r>
      <w:r>
        <w:rPr>
          <w:rFonts w:ascii="Arial" w:cs="Arial" w:eastAsia="Arial" w:hAnsi="Arial"/>
          <w:sz w:val="16"/>
          <w:szCs w:val="16"/>
          <w:color w:val="auto"/>
        </w:rPr>
        <w:t>This Agreement and each Warrant Certificate issued hereunder shall be governed by and construed in accordance with the laws of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New York.</w:t>
      </w:r>
    </w:p>
    <w:p>
      <w:pPr>
        <w:spacing w:after="0" w:line="36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48" w:right="239" w:bottom="1440" w:gutter="0" w:footer="0" w:header="0"/>
        </w:sectPr>
      </w:pPr>
    </w:p>
    <w:bookmarkStart w:id="77" w:name="page78"/>
    <w:bookmarkEnd w:id="77"/>
    <w:p>
      <w:pPr>
        <w:jc w:val="both"/>
        <w:ind w:firstLine="590"/>
        <w:spacing w:after="0" w:line="265" w:lineRule="auto"/>
        <w:rPr>
          <w:sz w:val="20"/>
          <w:szCs w:val="20"/>
          <w:color w:val="auto"/>
        </w:rPr>
      </w:pPr>
      <w:r>
        <w:rPr>
          <w:rFonts w:ascii="Arial" w:cs="Arial" w:eastAsia="Arial" w:hAnsi="Arial"/>
          <w:sz w:val="16"/>
          <w:szCs w:val="16"/>
          <w:b w:val="1"/>
          <w:bCs w:val="1"/>
          <w:color w:val="auto"/>
        </w:rPr>
        <w:t xml:space="preserve">6.4 Delivery Of Prospectus. </w:t>
      </w:r>
      <w:r>
        <w:rPr>
          <w:rFonts w:ascii="Arial" w:cs="Arial" w:eastAsia="Arial" w:hAnsi="Arial"/>
          <w:sz w:val="16"/>
          <w:szCs w:val="16"/>
          <w:color w:val="auto"/>
        </w:rPr>
        <w:t>The Company shall furnish to the Warrant Agent sufficient copies of a prospectus meeting the requirements of the Securities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1933, as amended, relating to the Warrant Securities deliverable upon exercise of the Warrants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64" w:lineRule="exact"/>
        <w:rPr>
          <w:sz w:val="20"/>
          <w:szCs w:val="20"/>
          <w:color w:val="auto"/>
        </w:rPr>
      </w:pPr>
    </w:p>
    <w:p>
      <w:pPr>
        <w:jc w:val="both"/>
        <w:ind w:firstLine="590"/>
        <w:spacing w:after="0" w:line="265" w:lineRule="auto"/>
        <w:rPr>
          <w:sz w:val="20"/>
          <w:szCs w:val="20"/>
          <w:color w:val="auto"/>
        </w:rPr>
      </w:pPr>
      <w:r>
        <w:rPr>
          <w:rFonts w:ascii="Arial" w:cs="Arial" w:eastAsia="Arial" w:hAnsi="Arial"/>
          <w:sz w:val="16"/>
          <w:szCs w:val="16"/>
          <w:b w:val="1"/>
          <w:bCs w:val="1"/>
          <w:color w:val="auto"/>
        </w:rPr>
        <w:t xml:space="preserve">6.5 Obtaining Of Governmental Approvals. </w:t>
      </w:r>
      <w:r>
        <w:rPr>
          <w:rFonts w:ascii="Arial" w:cs="Arial" w:eastAsia="Arial" w:hAnsi="Arial"/>
          <w:sz w:val="16"/>
          <w:szCs w:val="16"/>
          <w:color w:val="auto"/>
        </w:rPr>
        <w:t>The Company will from time to time take all action which may be necessary to obtain and keep effective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spacing w:after="0" w:line="164"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 xml:space="preserve">6.6 Persons Having Rights Under Warrant Agreement. </w:t>
      </w:r>
      <w:r>
        <w:rPr>
          <w:rFonts w:ascii="Arial" w:cs="Arial" w:eastAsia="Arial" w:hAnsi="Arial"/>
          <w:sz w:val="16"/>
          <w:szCs w:val="16"/>
          <w:color w:val="auto"/>
        </w:rPr>
        <w:t>Nothing in this Agreement shall give to any person other than the Company, the Warrant Agent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the Warrant Certificates any right, remedy or claim under or by reason of this Agreement.</w:t>
      </w:r>
    </w:p>
    <w:p>
      <w:pPr>
        <w:spacing w:after="0" w:line="141"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 xml:space="preserve">6.7 Headings. </w:t>
      </w:r>
      <w:r>
        <w:rPr>
          <w:rFonts w:ascii="Arial" w:cs="Arial" w:eastAsia="Arial" w:hAnsi="Arial"/>
          <w:sz w:val="16"/>
          <w:szCs w:val="16"/>
          <w:color w:val="auto"/>
        </w:rPr>
        <w:t>The descriptive headings of the several Articles and Sections of this Agreement are inserted for convenience only and shall not control or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meaning or construction of any of the provisions hereof.</w:t>
      </w:r>
    </w:p>
    <w:p>
      <w:pPr>
        <w:spacing w:after="0" w:line="141"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 xml:space="preserve">6.8 Counterparts. </w:t>
      </w:r>
      <w:r>
        <w:rPr>
          <w:rFonts w:ascii="Arial" w:cs="Arial" w:eastAsia="Arial" w:hAnsi="Arial"/>
          <w:sz w:val="16"/>
          <w:szCs w:val="16"/>
          <w:color w:val="auto"/>
        </w:rPr>
        <w:t>This Agreement may be executed in any number of counterparts, each of which as so executed shall be deemed to be an original, but such</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shall together constitute but one and the same instrument.</w:t>
      </w:r>
    </w:p>
    <w:p>
      <w:pPr>
        <w:spacing w:after="0" w:line="141"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 xml:space="preserve">6.9 Inspection Of Agreement. </w:t>
      </w:r>
      <w:r>
        <w:rPr>
          <w:rFonts w:ascii="Arial" w:cs="Arial" w:eastAsia="Arial" w:hAnsi="Arial"/>
          <w:sz w:val="16"/>
          <w:szCs w:val="16"/>
          <w:color w:val="auto"/>
        </w:rPr>
        <w:t>A copy of this Agreement shall be available at all reasonable times at the principal corporate trust office of the Warrant Agent for</w:t>
      </w:r>
      <w:r>
        <w:rPr>
          <w:rFonts w:ascii="Arial" w:cs="Arial" w:eastAsia="Arial" w:hAnsi="Arial"/>
          <w:sz w:val="16"/>
          <w:szCs w:val="16"/>
          <w:b w:val="1"/>
          <w:bCs w:val="1"/>
          <w:color w:val="auto"/>
        </w:rPr>
        <w:t xml:space="preserve"> </w:t>
      </w:r>
      <w:r>
        <w:rPr>
          <w:rFonts w:ascii="Arial" w:cs="Arial" w:eastAsia="Arial" w:hAnsi="Arial"/>
          <w:sz w:val="16"/>
          <w:szCs w:val="16"/>
          <w:color w:val="auto"/>
        </w:rPr>
        <w:t>inspection by the holder of any Warrant Certificate. The Warrant Agent may require such holder to submit his Warrant Certificate for inspection by it.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44" w:right="239" w:bottom="1440" w:gutter="0" w:footer="0" w:header="0"/>
        </w:sectPr>
      </w:pPr>
    </w:p>
    <w:bookmarkStart w:id="78" w:name="page79"/>
    <w:bookmarkEnd w:id="78"/>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hereto have caused this Agreement to be duly executed all as of the day and year first above written.</w:t>
      </w:r>
    </w:p>
    <w:p>
      <w:pPr>
        <w:spacing w:after="0" w:line="22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SI-BONE, INC., </w:t>
      </w:r>
      <w:r>
        <w:rPr>
          <w:rFonts w:ascii="Arial" w:cs="Arial" w:eastAsia="Arial" w:hAnsi="Arial"/>
          <w:sz w:val="16"/>
          <w:szCs w:val="16"/>
          <w:color w:val="auto"/>
        </w:rPr>
        <w:t>as Company</w:t>
      </w:r>
    </w:p>
    <w:p>
      <w:pPr>
        <w:spacing w:after="0" w:line="213"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-6985</wp:posOffset>
            </wp:positionV>
            <wp:extent cx="1041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-13970</wp:posOffset>
            </wp:positionV>
            <wp:extent cx="1041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-13970</wp:posOffset>
            </wp:positionV>
            <wp:extent cx="1041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37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-4445</wp:posOffset>
            </wp:positionV>
            <wp:extent cx="1041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6759575</wp:posOffset>
            </wp:positionH>
            <wp:positionV relativeFrom="paragraph">
              <wp:posOffset>120015</wp:posOffset>
            </wp:positionV>
            <wp:extent cx="10414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COUNTERSIGNED</w:t>
      </w:r>
    </w:p>
    <w:p>
      <w:pPr>
        <w:spacing w:after="0" w:line="20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 as Warrant Agent</w:t>
      </w:r>
    </w:p>
    <w:p>
      <w:pPr>
        <w:spacing w:after="0" w:line="213"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-6985</wp:posOffset>
            </wp:positionV>
            <wp:extent cx="10414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-13970</wp:posOffset>
            </wp:positionV>
            <wp:extent cx="1041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-13970</wp:posOffset>
            </wp:positionV>
            <wp:extent cx="1041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37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-4445</wp:posOffset>
            </wp:positionV>
            <wp:extent cx="1041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6759575</wp:posOffset>
            </wp:positionH>
            <wp:positionV relativeFrom="paragraph">
              <wp:posOffset>120015</wp:posOffset>
            </wp:positionV>
            <wp:extent cx="1041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60"/>
        <w:spacing w:after="0"/>
        <w:rPr>
          <w:sz w:val="20"/>
          <w:szCs w:val="20"/>
          <w:color w:val="auto"/>
        </w:rPr>
      </w:pPr>
      <w:r>
        <w:rPr>
          <w:rFonts w:ascii="Arial" w:cs="Arial" w:eastAsia="Arial" w:hAnsi="Arial"/>
          <w:sz w:val="13"/>
          <w:szCs w:val="13"/>
          <w:color w:val="auto"/>
        </w:rPr>
        <w:t>SIGNATURE PAGE TO</w:t>
      </w:r>
    </w:p>
    <w:p>
      <w:pPr>
        <w:spacing w:after="0" w:line="8" w:lineRule="exact"/>
        <w:rPr>
          <w:sz w:val="20"/>
          <w:szCs w:val="20"/>
          <w:color w:val="auto"/>
        </w:rPr>
      </w:pPr>
    </w:p>
    <w:p>
      <w:pPr>
        <w:ind w:left="3540"/>
        <w:spacing w:after="0"/>
        <w:rPr>
          <w:sz w:val="20"/>
          <w:szCs w:val="20"/>
          <w:color w:val="auto"/>
        </w:rPr>
      </w:pPr>
      <w:r>
        <w:rPr>
          <w:rFonts w:ascii="Arial" w:cs="Arial" w:eastAsia="Arial" w:hAnsi="Arial"/>
          <w:sz w:val="13"/>
          <w:szCs w:val="13"/>
          <w:color w:val="auto"/>
        </w:rPr>
        <w:t>FORM OF COMMON STOCK WARRANT AGREEMENT</w:t>
      </w:r>
    </w:p>
    <w:p>
      <w:pPr>
        <w:sectPr>
          <w:pgSz w:w="11900" w:h="16838" w:orient="portrait"/>
          <w:cols w:equalWidth="0" w:num="1">
            <w:col w:w="9639"/>
          </w:cols>
          <w:pgMar w:left="820" w:top="541" w:right="1440" w:bottom="1440" w:gutter="0" w:footer="0" w:header="0"/>
        </w:sectPr>
      </w:pPr>
    </w:p>
    <w:bookmarkStart w:id="79" w:name="page80"/>
    <w:bookmarkEnd w:id="79"/>
    <w:p>
      <w:pPr>
        <w:jc w:val="center"/>
        <w:ind w:right="-419"/>
        <w:spacing w:after="0"/>
        <w:rPr>
          <w:sz w:val="20"/>
          <w:szCs w:val="20"/>
          <w:color w:val="auto"/>
        </w:rPr>
      </w:pPr>
      <w:r>
        <w:rPr>
          <w:rFonts w:ascii="Arial" w:cs="Arial" w:eastAsia="Arial" w:hAnsi="Arial"/>
          <w:sz w:val="16"/>
          <w:szCs w:val="16"/>
          <w:b w:val="1"/>
          <w:bCs w:val="1"/>
          <w:color w:val="auto"/>
        </w:rPr>
        <w:t>EXHIBIT A</w:t>
      </w:r>
    </w:p>
    <w:p>
      <w:pPr>
        <w:spacing w:after="0" w:line="209"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FORM OF WARRANT CERTIFICATE</w:t>
      </w:r>
    </w:p>
    <w:p>
      <w:pPr>
        <w:spacing w:after="0" w:line="28"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[FACE OF WARRANT CERTIFICATE]</w:t>
      </w:r>
    </w:p>
    <w:p>
      <w:pPr>
        <w:sectPr>
          <w:pgSz w:w="11900" w:h="16838" w:orient="portrait"/>
          <w:cols w:equalWidth="0" w:num="1">
            <w:col w:w="9640"/>
          </w:cols>
          <w:pgMar w:left="920" w:top="54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[Form of Legend if Warrants are not immediately exercisable.]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[Prior to [●] Warrants evidenced by this Warrant Certificate cannot be exercised.]</w:t>
      </w:r>
    </w:p>
    <w:p>
      <w:pPr>
        <w:spacing w:after="0" w:line="175" w:lineRule="exact"/>
        <w:rPr>
          <w:sz w:val="20"/>
          <w:szCs w:val="20"/>
          <w:color w:val="auto"/>
        </w:rPr>
      </w:pPr>
    </w:p>
    <w:p>
      <w:pPr>
        <w:sectPr>
          <w:pgSz w:w="11900" w:h="16838" w:orient="portrait"/>
          <w:cols w:equalWidth="0" w:num="2">
            <w:col w:w="4340" w:space="720"/>
            <w:col w:w="4580"/>
          </w:cols>
          <w:pgMar w:left="920" w:top="541" w:right="1339" w:bottom="1440" w:gutter="0" w:footer="0" w:header="0"/>
          <w:type w:val="continuous"/>
        </w:sectPr>
      </w:pPr>
    </w:p>
    <w:p>
      <w:pPr>
        <w:jc w:val="center"/>
        <w:ind w:right="-419"/>
        <w:spacing w:after="0"/>
        <w:rPr>
          <w:sz w:val="20"/>
          <w:szCs w:val="20"/>
          <w:color w:val="auto"/>
        </w:rPr>
      </w:pPr>
      <w:r>
        <w:rPr>
          <w:rFonts w:ascii="Arial" w:cs="Arial" w:eastAsia="Arial" w:hAnsi="Arial"/>
          <w:sz w:val="15"/>
          <w:szCs w:val="15"/>
          <w:color w:val="auto"/>
        </w:rPr>
        <w:t>EXERCISABLE ONLY IF COUNTERSIGNED BY THE WARRANT AGENT AS PROVIDED HEREIN</w:t>
      </w:r>
    </w:p>
    <w:p>
      <w:pPr>
        <w:spacing w:after="0" w:line="221"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VOID AFTER [●] P.M., [City] time, ON [●].</w:t>
      </w:r>
    </w:p>
    <w:p>
      <w:pPr>
        <w:sectPr>
          <w:pgSz w:w="11900" w:h="16838" w:orient="portrait"/>
          <w:cols w:equalWidth="0" w:num="1">
            <w:col w:w="9640"/>
          </w:cols>
          <w:pgMar w:left="920" w:top="541" w:right="1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auto"/>
        </w:rPr>
        <w:t>SI-BONE,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CERTIFICATE REPRESENTING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 TO PURCHASE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 PAR VALUE $0.0001 PER SHARE</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No. [●]</w:t>
      </w:r>
      <w:r>
        <w:rPr>
          <w:sz w:val="20"/>
          <w:szCs w:val="20"/>
          <w:color w:val="auto"/>
        </w:rPr>
        <w:tab/>
      </w:r>
      <w:r>
        <w:rPr>
          <w:rFonts w:ascii="Arial" w:cs="Arial" w:eastAsia="Arial" w:hAnsi="Arial"/>
          <w:sz w:val="14"/>
          <w:szCs w:val="14"/>
          <w:color w:val="auto"/>
        </w:rPr>
        <w:t>[●] Warrants</w:t>
      </w:r>
    </w:p>
    <w:p>
      <w:pPr>
        <w:spacing w:after="0" w:line="209" w:lineRule="exact"/>
        <w:rPr>
          <w:sz w:val="20"/>
          <w:szCs w:val="20"/>
          <w:color w:val="auto"/>
        </w:rPr>
      </w:pPr>
    </w:p>
    <w:p>
      <w:pPr>
        <w:jc w:val="both"/>
        <w:ind w:firstLine="590"/>
        <w:spacing w:after="0" w:line="279" w:lineRule="auto"/>
        <w:rPr>
          <w:sz w:val="20"/>
          <w:szCs w:val="20"/>
          <w:color w:val="auto"/>
        </w:rPr>
      </w:pPr>
      <w:r>
        <w:rPr>
          <w:rFonts w:ascii="Arial" w:cs="Arial" w:eastAsia="Arial" w:hAnsi="Arial"/>
          <w:sz w:val="15"/>
          <w:szCs w:val="15"/>
          <w:color w:val="auto"/>
        </w:rPr>
        <w:t>This certifies that or registered assigns is the registered owner of the above indicated number of Warrants, each Warrant entitling such owner to purchase, at any time [after [●] p.m., [City] time, [on [●] and] on or before [●] p.m., [City] time, on [●] shares of Common Stock, par value $0.0001 per share (the “</w:t>
      </w:r>
      <w:r>
        <w:rPr>
          <w:rFonts w:ascii="Arial" w:cs="Arial" w:eastAsia="Arial" w:hAnsi="Arial"/>
          <w:sz w:val="15"/>
          <w:szCs w:val="15"/>
          <w:b w:val="1"/>
          <w:bCs w:val="1"/>
          <w:i w:val="1"/>
          <w:iCs w:val="1"/>
          <w:color w:val="auto"/>
        </w:rPr>
        <w:t>Warrant Securities</w:t>
      </w:r>
      <w:r>
        <w:rPr>
          <w:rFonts w:ascii="Arial" w:cs="Arial" w:eastAsia="Arial" w:hAnsi="Arial"/>
          <w:sz w:val="15"/>
          <w:szCs w:val="15"/>
          <w:color w:val="auto"/>
        </w:rPr>
        <w:t>”), of SI-BONE,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on the following basis: during the period from [●], through and including [●], the exercise price per Warrant Security will be $[●], subject to adjustment as provided in the Warrant Agreement (as hereinafter defined) (the “</w:t>
      </w:r>
      <w:r>
        <w:rPr>
          <w:rFonts w:ascii="Arial" w:cs="Arial" w:eastAsia="Arial" w:hAnsi="Arial"/>
          <w:sz w:val="15"/>
          <w:szCs w:val="15"/>
          <w:b w:val="1"/>
          <w:bCs w:val="1"/>
          <w:i w:val="1"/>
          <w:iCs w:val="1"/>
          <w:color w:val="auto"/>
        </w:rPr>
        <w:t>Warrant Price</w:t>
      </w:r>
      <w:r>
        <w:rPr>
          <w:rFonts w:ascii="Arial" w:cs="Arial" w:eastAsia="Arial" w:hAnsi="Arial"/>
          <w:sz w:val="15"/>
          <w:szCs w:val="15"/>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5"/>
          <w:szCs w:val="15"/>
          <w:b w:val="1"/>
          <w:bCs w:val="1"/>
          <w:i w:val="1"/>
          <w:iCs w:val="1"/>
          <w:color w:val="auto"/>
        </w:rPr>
        <w:t>Warrant Agent</w:t>
      </w:r>
      <w:r>
        <w:rPr>
          <w:rFonts w:ascii="Arial" w:cs="Arial" w:eastAsia="Arial" w:hAnsi="Arial"/>
          <w:sz w:val="15"/>
          <w:szCs w:val="15"/>
          <w:color w:val="auto"/>
        </w:rPr>
        <w:t>”), which is, on the date hereof, at the address specified on the reverse hereof, and upon compliance with and subject to the conditions set forth herein and in the Warrant Agreement (as hereinafter defined).</w:t>
      </w:r>
    </w:p>
    <w:p>
      <w:pPr>
        <w:spacing w:after="0" w:line="162"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50"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61"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This Warrant Certificate is issued under and in accordance with the Warrant Agreement dated as of [●]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61"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50"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50" w:lineRule="exact"/>
        <w:rPr>
          <w:sz w:val="20"/>
          <w:szCs w:val="20"/>
          <w:color w:val="auto"/>
        </w:rPr>
      </w:pPr>
    </w:p>
    <w:p>
      <w:pPr>
        <w:jc w:val="both"/>
        <w:ind w:firstLine="590"/>
        <w:spacing w:after="0" w:line="323" w:lineRule="auto"/>
        <w:rPr>
          <w:sz w:val="20"/>
          <w:szCs w:val="20"/>
          <w:color w:val="auto"/>
        </w:rPr>
      </w:pPr>
      <w:r>
        <w:rPr>
          <w:rFonts w:ascii="Arial" w:cs="Arial" w:eastAsia="Arial" w:hAnsi="Arial"/>
          <w:sz w:val="15"/>
          <w:szCs w:val="15"/>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126"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Reference is hereby made to the further provisions of this Warrant Certificate set forth on the reverse hereof, which further provisions shall for all purposes have the same effect as if set forth at this place.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Warrant Certificate shall not be valid or obligatory for any purpose until countersigned by the Warrant Agent.</w:t>
      </w:r>
    </w:p>
    <w:p>
      <w:pPr>
        <w:sectPr>
          <w:pgSz w:w="11900" w:h="16838" w:orient="portrait"/>
          <w:cols w:equalWidth="0" w:num="1">
            <w:col w:w="11420"/>
          </w:cols>
          <w:pgMar w:left="240" w:top="541" w:right="239" w:bottom="1440" w:gutter="0" w:footer="0" w:header="0"/>
        </w:sectPr>
      </w:pPr>
    </w:p>
    <w:bookmarkStart w:id="81" w:name="page82"/>
    <w:bookmarkEnd w:id="81"/>
    <w:p>
      <w:pPr>
        <w:ind w:left="58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be executed in its name and on its behalf by the facsimile signatures of its duly authorized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officers.</w:t>
      </w:r>
    </w:p>
    <w:p>
      <w:pPr>
        <w:spacing w:after="0" w:line="34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31750</wp:posOffset>
            </wp:positionV>
            <wp:extent cx="554926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5549265" cy="76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SI-BONE, INC.</w:t>
      </w:r>
      <w:r>
        <w:rPr>
          <w:rFonts w:ascii="Arial" w:cs="Arial" w:eastAsia="Arial" w:hAnsi="Arial"/>
          <w:sz w:val="16"/>
          <w:szCs w:val="16"/>
          <w:color w:val="auto"/>
        </w:rPr>
        <w:t>, as Company</w:t>
      </w:r>
    </w:p>
    <w:p>
      <w:pPr>
        <w:spacing w:after="0" w:line="33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31750</wp:posOffset>
            </wp:positionV>
            <wp:extent cx="224028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39370</wp:posOffset>
            </wp:positionV>
            <wp:extent cx="224028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54"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39370</wp:posOffset>
            </wp:positionV>
            <wp:extent cx="224028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213360</wp:posOffset>
            </wp:positionV>
            <wp:extent cx="224028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2240280" cy="7620"/>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34290</wp:posOffset>
            </wp:positionV>
            <wp:extent cx="224028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COUNTERSIGNED</w:t>
      </w:r>
    </w:p>
    <w:p>
      <w:pPr>
        <w:spacing w:after="0" w:line="209" w:lineRule="exact"/>
        <w:rPr>
          <w:sz w:val="20"/>
          <w:szCs w:val="20"/>
          <w:color w:val="auto"/>
        </w:rPr>
      </w:pPr>
    </w:p>
    <w:p>
      <w:pPr>
        <w:jc w:val="center"/>
        <w:ind w:left="5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 as Warrant Agent</w:t>
      </w:r>
    </w:p>
    <w:p>
      <w:pPr>
        <w:spacing w:after="0" w:line="33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31750</wp:posOffset>
            </wp:positionV>
            <wp:extent cx="224028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39370</wp:posOffset>
            </wp:positionV>
            <wp:extent cx="224028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54"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39370</wp:posOffset>
            </wp:positionV>
            <wp:extent cx="22402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213360</wp:posOffset>
            </wp:positionV>
            <wp:extent cx="224028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2240280" cy="7620"/>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34290</wp:posOffset>
            </wp:positionV>
            <wp:extent cx="224028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b w:val="1"/>
          <w:bCs w:val="1"/>
          <w:color w:val="auto"/>
        </w:rPr>
        <w:t>[REVERSE OF WARRANT CERTIFICATE]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(Instructions for Exercise of Warrant)</w:t>
      </w:r>
    </w:p>
    <w:p>
      <w:pPr>
        <w:spacing w:after="0" w:line="21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6"/>
          <w:szCs w:val="16"/>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be executed upon exercise of Warrants)</w:t>
      </w:r>
    </w:p>
    <w:p>
      <w:pPr>
        <w:spacing w:after="0" w:line="20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6"/>
          <w:szCs w:val="16"/>
          <w:color w:val="auto"/>
        </w:rPr>
        <w:t>The undersigned hereby irrevocably elects to exercise [●] Warrants, evidenced by this Warrant Certificate, to purchase [●] shares of the Common Stock, par value $0.0001 per share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of SI-BONE, Inc. and represents that he has tendered payment for such Warrant Securities, in lawful money of the United States of America, [in cash or by certified check or official bank check in New York Clearing House funds] [by bank wire transfer in immediately available funds], to the order of SI-BONE,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72" w:lineRule="exact"/>
        <w:rPr>
          <w:sz w:val="20"/>
          <w:szCs w:val="20"/>
          <w:color w:val="auto"/>
        </w:rPr>
      </w:pPr>
    </w:p>
    <w:p>
      <w:pPr>
        <w:jc w:val="both"/>
        <w:ind w:firstLine="590"/>
        <w:spacing w:after="0" w:line="323" w:lineRule="auto"/>
        <w:rPr>
          <w:sz w:val="20"/>
          <w:szCs w:val="20"/>
          <w:color w:val="auto"/>
        </w:rPr>
      </w:pPr>
      <w:r>
        <w:rPr>
          <w:rFonts w:ascii="Arial" w:cs="Arial" w:eastAsia="Arial" w:hAnsi="Arial"/>
          <w:sz w:val="15"/>
          <w:szCs w:val="15"/>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22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-6985</wp:posOffset>
            </wp:positionV>
            <wp:extent cx="10414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-6985</wp:posOffset>
            </wp:positionV>
            <wp:extent cx="10414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Please Print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242570</wp:posOffset>
            </wp:positionV>
            <wp:extent cx="10414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(Insert Social Security or Other Identifying Number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of Holder)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-6985</wp:posOffset>
            </wp:positionV>
            <wp:extent cx="10414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(Signature must conform in all respects to name of holder as specified on the face of this Warrant Certificate and must bear a signature guarantee by a FINRA member firm).</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This Warrant may be exercised at the following addresses: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By hand at: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By mail at:</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11420"/>
          </w:cols>
          <w:pgMar w:left="240" w:top="34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auto"/>
        </w:rPr>
        <w:t>ASSIGNMENT</w:t>
      </w:r>
    </w:p>
    <w:p>
      <w:pPr>
        <w:spacing w:after="0" w:line="213"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[Form of assignment to be executed if Warrant Holder desires to transfer Warrant]</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245110</wp:posOffset>
            </wp:positionV>
            <wp:extent cx="10414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245110</wp:posOffset>
            </wp:positionV>
            <wp:extent cx="10414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(Please print name and address including zip code)Please print Social Security or other identifying number</w:t>
      </w:r>
    </w:p>
    <w:p>
      <w:pPr>
        <w:spacing w:after="0" w:line="200" w:lineRule="exact"/>
        <w:rPr>
          <w:sz w:val="20"/>
          <w:szCs w:val="20"/>
          <w:color w:val="auto"/>
        </w:rPr>
      </w:pP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right represented by the within Warrant to purchase shares of [Title of Warrant Securities] of SI-BONE, Inc. to which the within Warrant relates and appoints attorney [●] to transfer such right on the books of the Warrant Agent with full power of substitution in the premises.</w:t>
      </w:r>
    </w:p>
    <w:p>
      <w:pPr>
        <w:spacing w:after="0" w:line="150"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-6985</wp:posOffset>
            </wp:positionV>
            <wp:extent cx="10414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-6985</wp:posOffset>
            </wp:positionV>
            <wp:extent cx="10414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(Signature must conform in all respects to name of holder as specified on the face of the Warrant)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242570</wp:posOffset>
            </wp:positionV>
            <wp:extent cx="10414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SI-BONE, INC.</w:t>
      </w:r>
    </w:p>
    <w:p>
      <w:pPr>
        <w:spacing w:after="0" w:line="209"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AND</w:t>
      </w:r>
    </w:p>
    <w:p>
      <w:pPr>
        <w:spacing w:after="0" w:line="209"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_____________, AS WARRANT AGENT</w:t>
      </w:r>
    </w:p>
    <w:p>
      <w:pPr>
        <w:spacing w:after="0" w:line="209"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FORM OF PREFERRED STOCK</w:t>
      </w:r>
    </w:p>
    <w:p>
      <w:pPr>
        <w:spacing w:after="0" w:line="2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WARRANT AGREEMENT</w:t>
      </w:r>
    </w:p>
    <w:p>
      <w:pPr>
        <w:spacing w:after="0" w:line="19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DATED AS OF __________</w:t>
      </w:r>
    </w:p>
    <w:p>
      <w:pPr>
        <w:sectPr>
          <w:pgSz w:w="11900" w:h="16838" w:orient="portrait"/>
          <w:cols w:equalWidth="0" w:num="1">
            <w:col w:w="10220"/>
          </w:cols>
          <w:pgMar w:left="1440" w:top="344" w:right="239" w:bottom="1440" w:gutter="0" w:footer="0" w:header="0"/>
        </w:sectPr>
      </w:pPr>
    </w:p>
    <w:bookmarkStart w:id="85" w:name="page86"/>
    <w:bookmarkEnd w:id="85"/>
    <w:p>
      <w:pPr>
        <w:jc w:val="center"/>
        <w:ind w:right="40"/>
        <w:spacing w:after="0"/>
        <w:rPr>
          <w:sz w:val="20"/>
          <w:szCs w:val="20"/>
          <w:color w:val="auto"/>
        </w:rPr>
      </w:pPr>
      <w:r>
        <w:rPr>
          <w:rFonts w:ascii="Arial" w:cs="Arial" w:eastAsia="Arial" w:hAnsi="Arial"/>
          <w:sz w:val="16"/>
          <w:szCs w:val="16"/>
          <w:b w:val="1"/>
          <w:bCs w:val="1"/>
          <w:color w:val="auto"/>
        </w:rPr>
        <w:t>SI-BONE,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PREFERRED STOCK WARRANT AGREEMENT</w:t>
      </w:r>
    </w:p>
    <w:p>
      <w:pPr>
        <w:spacing w:after="0" w:line="200" w:lineRule="exact"/>
        <w:rPr>
          <w:sz w:val="20"/>
          <w:szCs w:val="20"/>
          <w:color w:val="auto"/>
        </w:rPr>
      </w:pPr>
    </w:p>
    <w:p>
      <w:pPr>
        <w:spacing w:after="0" w:line="206" w:lineRule="exact"/>
        <w:rPr>
          <w:sz w:val="20"/>
          <w:szCs w:val="20"/>
          <w:color w:val="auto"/>
        </w:rPr>
      </w:pPr>
    </w:p>
    <w:p>
      <w:pPr>
        <w:jc w:val="both"/>
        <w:ind w:firstLine="590"/>
        <w:spacing w:after="0" w:line="274" w:lineRule="auto"/>
        <w:rPr>
          <w:sz w:val="20"/>
          <w:szCs w:val="20"/>
          <w:color w:val="auto"/>
        </w:rPr>
      </w:pPr>
      <w:r>
        <w:rPr>
          <w:rFonts w:ascii="Arial" w:cs="Arial" w:eastAsia="Arial" w:hAnsi="Arial"/>
          <w:sz w:val="16"/>
          <w:szCs w:val="16"/>
          <w:b w:val="1"/>
          <w:bCs w:val="1"/>
          <w:color w:val="auto"/>
        </w:rPr>
        <w:t xml:space="preserve">THIS PREFERRED STOCK WARRANT AGREEMENT </w:t>
      </w:r>
      <w:r>
        <w:rPr>
          <w:rFonts w:ascii="Arial" w:cs="Arial" w:eastAsia="Arial" w:hAnsi="Arial"/>
          <w:sz w:val="16"/>
          <w:szCs w:val="16"/>
          <w:color w:val="auto"/>
        </w:rPr>
        <w:t>(this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 ● ], between</w:t>
      </w:r>
      <w:r>
        <w:rPr>
          <w:rFonts w:ascii="Arial" w:cs="Arial" w:eastAsia="Arial" w:hAnsi="Arial"/>
          <w:sz w:val="16"/>
          <w:szCs w:val="16"/>
          <w:b w:val="1"/>
          <w:bCs w:val="1"/>
          <w:color w:val="auto"/>
        </w:rPr>
        <w:t xml:space="preserve"> SI-BONE, INC.</w:t>
      </w:r>
      <w:r>
        <w:rPr>
          <w:rFonts w:ascii="Arial" w:cs="Arial" w:eastAsia="Arial" w:hAnsi="Arial"/>
          <w:sz w:val="16"/>
          <w:szCs w:val="16"/>
          <w:color w:val="auto"/>
        </w:rPr>
        <w:t>, a Delaware corporation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 a [corporation] [national banking association] organized and existing under the laws of [●] and having a corporate trust office in [●], as warrant agent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w:t>
      </w:r>
    </w:p>
    <w:p>
      <w:pPr>
        <w:spacing w:after="0" w:line="157"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proposes to sell [</w:t>
      </w:r>
      <w:r>
        <w:rPr>
          <w:rFonts w:ascii="Arial" w:cs="Arial" w:eastAsia="Arial" w:hAnsi="Arial"/>
          <w:sz w:val="16"/>
          <w:szCs w:val="16"/>
          <w:b w:val="1"/>
          <w:bCs w:val="1"/>
          <w:i w:val="1"/>
          <w:iCs w:val="1"/>
          <w:color w:val="auto"/>
        </w:rPr>
        <w:t>If Warrants are sold with other securities —</w:t>
      </w:r>
      <w:r>
        <w:rPr>
          <w:rFonts w:ascii="Arial" w:cs="Arial" w:eastAsia="Arial" w:hAnsi="Arial"/>
          <w:sz w:val="16"/>
          <w:szCs w:val="16"/>
          <w:b w:val="1"/>
          <w:bCs w:val="1"/>
          <w:color w:val="auto"/>
        </w:rPr>
        <w:t xml:space="preserve"> </w:t>
      </w:r>
      <w:r>
        <w:rPr>
          <w:rFonts w:ascii="Arial" w:cs="Arial" w:eastAsia="Arial" w:hAnsi="Arial"/>
          <w:sz w:val="16"/>
          <w:szCs w:val="16"/>
          <w:color w:val="auto"/>
        </w:rPr>
        <w:t>[title of such other securities being offered] (the “</w:t>
      </w:r>
      <w:r>
        <w:rPr>
          <w:rFonts w:ascii="Arial" w:cs="Arial" w:eastAsia="Arial" w:hAnsi="Arial"/>
          <w:sz w:val="16"/>
          <w:szCs w:val="16"/>
          <w:b w:val="1"/>
          <w:bCs w:val="1"/>
          <w:i w:val="1"/>
          <w:iCs w:val="1"/>
          <w:color w:val="auto"/>
        </w:rPr>
        <w:t>Other Securities</w:t>
      </w:r>
      <w:r>
        <w:rPr>
          <w:rFonts w:ascii="Arial" w:cs="Arial" w:eastAsia="Arial" w:hAnsi="Arial"/>
          <w:sz w:val="16"/>
          <w:szCs w:val="16"/>
          <w:color w:val="auto"/>
        </w:rPr>
        <w:t>”) with]</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certificates evidencing one or more 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or, individually,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representing the right to purchase [title of Preferred Stock purchasable through exercise of Warrants] (the “</w:t>
      </w:r>
      <w:r>
        <w:rPr>
          <w:rFonts w:ascii="Arial" w:cs="Arial" w:eastAsia="Arial" w:hAnsi="Arial"/>
          <w:sz w:val="16"/>
          <w:szCs w:val="16"/>
          <w:b w:val="1"/>
          <w:bCs w:val="1"/>
          <w:i w:val="1"/>
          <w:iCs w:val="1"/>
          <w:color w:val="auto"/>
        </w:rPr>
        <w:t>Warrant Securities</w:t>
      </w:r>
      <w:r>
        <w:rPr>
          <w:rFonts w:ascii="Arial" w:cs="Arial" w:eastAsia="Arial" w:hAnsi="Arial"/>
          <w:sz w:val="16"/>
          <w:szCs w:val="16"/>
          <w:color w:val="auto"/>
        </w:rPr>
        <w:t>”), such warrant certificates and other warrant certificates issued pursuant to this Agreement being herein called the “</w:t>
      </w:r>
      <w:r>
        <w:rPr>
          <w:rFonts w:ascii="Arial" w:cs="Arial" w:eastAsia="Arial" w:hAnsi="Arial"/>
          <w:sz w:val="16"/>
          <w:szCs w:val="16"/>
          <w:b w:val="1"/>
          <w:bCs w:val="1"/>
          <w:i w:val="1"/>
          <w:iCs w:val="1"/>
          <w:color w:val="auto"/>
        </w:rPr>
        <w:t>Warrant Certificates</w:t>
      </w:r>
      <w:r>
        <w:rPr>
          <w:rFonts w:ascii="Arial" w:cs="Arial" w:eastAsia="Arial" w:hAnsi="Arial"/>
          <w:sz w:val="16"/>
          <w:szCs w:val="16"/>
          <w:color w:val="auto"/>
        </w:rPr>
        <w:t>”; and</w:t>
      </w:r>
    </w:p>
    <w:p>
      <w:pPr>
        <w:spacing w:after="0" w:line="162" w:lineRule="exact"/>
        <w:rPr>
          <w:sz w:val="20"/>
          <w:szCs w:val="20"/>
          <w:color w:val="auto"/>
        </w:rPr>
      </w:pPr>
    </w:p>
    <w:p>
      <w:pPr>
        <w:jc w:val="both"/>
        <w:ind w:firstLine="590"/>
        <w:spacing w:after="0" w:line="301"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desires the Warrant Agent to act on behalf of the Company, and the Warrant Agent is willing so to act, in connection with the issuance,</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of the mutual agreements herein contained, the parties hereto agree as follows:</w:t>
      </w:r>
    </w:p>
    <w:p>
      <w:pPr>
        <w:spacing w:after="0" w:line="381"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ARTICLE1</w:t>
      </w:r>
    </w:p>
    <w:p>
      <w:pPr>
        <w:spacing w:after="0" w:line="283"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ISSUANCE OF WARRANTS AND EXECUTION AND</w:t>
      </w:r>
    </w:p>
    <w:p>
      <w:pPr>
        <w:spacing w:after="0" w:line="50"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DELIVERY OF WARRANT CERTIFICATES</w:t>
      </w:r>
    </w:p>
    <w:p>
      <w:pPr>
        <w:spacing w:after="0" w:line="222" w:lineRule="exact"/>
        <w:rPr>
          <w:sz w:val="20"/>
          <w:szCs w:val="20"/>
          <w:color w:val="auto"/>
        </w:rPr>
      </w:pPr>
    </w:p>
    <w:p>
      <w:pPr>
        <w:jc w:val="both"/>
        <w:ind w:firstLine="590"/>
        <w:spacing w:after="0" w:line="265" w:lineRule="auto"/>
        <w:rPr>
          <w:sz w:val="20"/>
          <w:szCs w:val="20"/>
          <w:color w:val="auto"/>
        </w:rPr>
      </w:pPr>
      <w:r>
        <w:rPr>
          <w:rFonts w:ascii="Arial" w:cs="Arial" w:eastAsia="Arial" w:hAnsi="Arial"/>
          <w:sz w:val="16"/>
          <w:szCs w:val="16"/>
          <w:b w:val="1"/>
          <w:bCs w:val="1"/>
          <w:color w:val="auto"/>
        </w:rPr>
        <w:t>1.1 Issuance Of Warrants</w:t>
      </w:r>
      <w:r>
        <w:rPr>
          <w:rFonts w:ascii="Arial" w:cs="Arial" w:eastAsia="Arial" w:hAnsi="Arial"/>
          <w:sz w:val="16"/>
          <w:szCs w:val="16"/>
          <w:color w:val="auto"/>
        </w:rPr>
        <w:t>. [</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—Upon issuance, each Warrant Certificate shall evidence one or more Warrants.] [</w:t>
      </w:r>
      <w:r>
        <w:rPr>
          <w:rFonts w:ascii="Arial" w:cs="Arial" w:eastAsia="Arial" w:hAnsi="Arial"/>
          <w:sz w:val="16"/>
          <w:szCs w:val="16"/>
          <w:b w:val="1"/>
          <w:bCs w:val="1"/>
          <w:i w:val="1"/>
          <w:iCs w:val="1"/>
          <w:color w:val="auto"/>
        </w:rPr>
        <w:t>If Other Securities and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—Warrant Certificates will be issued in connection with the issuance of the Other Securities but shall be separately transferable and each Warrant Certificate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evidence one or more Warrants.] Each Warrant evidenced thereby shall represent the right, subject to the provisions contained herein and therein, to purchase one Warrant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—Warrant Certificates will be issued with the Other Securities and each Warrant Certificate will evidence [●] Warrants for each [$[●] principal amount] [[●] shares] of Other Securities issued.]</w:t>
      </w:r>
    </w:p>
    <w:p>
      <w:pPr>
        <w:spacing w:after="0" w:line="164" w:lineRule="exact"/>
        <w:rPr>
          <w:sz w:val="20"/>
          <w:szCs w:val="20"/>
          <w:color w:val="auto"/>
        </w:rPr>
      </w:pPr>
    </w:p>
    <w:p>
      <w:pPr>
        <w:jc w:val="both"/>
        <w:ind w:firstLine="590"/>
        <w:spacing w:after="0" w:line="302" w:lineRule="auto"/>
        <w:rPr>
          <w:sz w:val="20"/>
          <w:szCs w:val="20"/>
          <w:color w:val="auto"/>
        </w:rPr>
      </w:pPr>
      <w:r>
        <w:rPr>
          <w:rFonts w:ascii="Arial" w:cs="Arial" w:eastAsia="Arial" w:hAnsi="Arial"/>
          <w:sz w:val="14"/>
          <w:szCs w:val="14"/>
          <w:b w:val="1"/>
          <w:bCs w:val="1"/>
          <w:color w:val="auto"/>
        </w:rPr>
        <w:t>1.2 Execution And Delivery Of Warrant Certificates</w:t>
      </w:r>
      <w:r>
        <w:rPr>
          <w:rFonts w:ascii="Arial" w:cs="Arial" w:eastAsia="Arial" w:hAnsi="Arial"/>
          <w:sz w:val="14"/>
          <w:szCs w:val="14"/>
          <w:color w:val="auto"/>
        </w:rPr>
        <w:t>. Each Warrant Certificate, whenever issued, shall be in registered form substantially in the form set forth in</w:t>
      </w:r>
      <w:r>
        <w:rPr>
          <w:rFonts w:ascii="Arial" w:cs="Arial" w:eastAsia="Arial" w:hAnsi="Arial"/>
          <w:sz w:val="14"/>
          <w:szCs w:val="14"/>
          <w:b w:val="1"/>
          <w:bCs w:val="1"/>
          <w:color w:val="auto"/>
        </w:rPr>
        <w:t xml:space="preserve"> Exhibit A </w:t>
      </w:r>
      <w:r>
        <w:rPr>
          <w:rFonts w:ascii="Arial" w:cs="Arial" w:eastAsia="Arial" w:hAnsi="Arial"/>
          <w:sz w:val="14"/>
          <w:szCs w:val="14"/>
          <w:color w:val="auto"/>
        </w:rPr>
        <w:t>hereto, shall be dated the date of its countersignature by the Warrant Agent and may have such letters, numbers, or other marks of identification or designation and</w:t>
      </w:r>
      <w:r>
        <w:rPr>
          <w:rFonts w:ascii="Arial" w:cs="Arial" w:eastAsia="Arial" w:hAnsi="Arial"/>
          <w:sz w:val="14"/>
          <w:szCs w:val="14"/>
          <w:b w:val="1"/>
          <w:bCs w:val="1"/>
          <w:color w:val="auto"/>
        </w:rPr>
        <w:t xml:space="preserve"> </w:t>
      </w:r>
      <w:r>
        <w:rPr>
          <w:rFonts w:ascii="Arial" w:cs="Arial" w:eastAsia="Arial" w:hAnsi="Arial"/>
          <w:sz w:val="14"/>
          <w:szCs w:val="14"/>
          <w:color w:val="auto"/>
        </w:rPr>
        <w:t>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47"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161" w:lineRule="exact"/>
        <w:rPr>
          <w:sz w:val="20"/>
          <w:szCs w:val="20"/>
          <w:color w:val="auto"/>
        </w:rPr>
      </w:pPr>
    </w:p>
    <w:p>
      <w:pPr>
        <w:jc w:val="both"/>
        <w:ind w:firstLine="590"/>
        <w:spacing w:after="0" w:line="264"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389" w:lineRule="exact"/>
        <w:rPr>
          <w:sz w:val="20"/>
          <w:szCs w:val="20"/>
          <w:color w:val="auto"/>
        </w:rPr>
      </w:pPr>
    </w:p>
    <w:p>
      <w:pPr>
        <w:ind w:left="750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41" w:right="239" w:bottom="1440" w:gutter="0" w:footer="0" w:header="0"/>
        </w:sectPr>
      </w:pPr>
    </w:p>
    <w:bookmarkStart w:id="86" w:name="page87"/>
    <w:bookmarkEnd w:id="86"/>
    <w:p>
      <w:pPr>
        <w:jc w:val="both"/>
        <w:ind w:left="2" w:firstLine="590"/>
        <w:spacing w:after="0" w:line="287"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holder of a Warrant Certificate</w:t>
      </w:r>
      <w:r>
        <w:rPr>
          <w:rFonts w:ascii="Arial" w:cs="Arial" w:eastAsia="Arial" w:hAnsi="Arial"/>
          <w:sz w:val="16"/>
          <w:szCs w:val="16"/>
          <w:color w:val="auto"/>
        </w:rPr>
        <w:t>” as used herein shall mean any person in whose name at the time any Warrant Certificate shall be registered upon the books to be maintained by the Warrant Agent for that purpose.</w:t>
      </w:r>
    </w:p>
    <w:p>
      <w:pPr>
        <w:spacing w:after="0" w:line="146" w:lineRule="exact"/>
        <w:rPr>
          <w:sz w:val="20"/>
          <w:szCs w:val="20"/>
          <w:color w:val="auto"/>
        </w:rPr>
      </w:pPr>
    </w:p>
    <w:p>
      <w:pPr>
        <w:jc w:val="both"/>
        <w:ind w:left="2" w:firstLine="590"/>
        <w:spacing w:after="0" w:line="301" w:lineRule="auto"/>
        <w:rPr>
          <w:sz w:val="20"/>
          <w:szCs w:val="20"/>
          <w:color w:val="auto"/>
        </w:rPr>
      </w:pPr>
      <w:r>
        <w:rPr>
          <w:rFonts w:ascii="Arial" w:cs="Arial" w:eastAsia="Arial" w:hAnsi="Arial"/>
          <w:sz w:val="15"/>
          <w:szCs w:val="15"/>
          <w:b w:val="1"/>
          <w:bCs w:val="1"/>
          <w:color w:val="auto"/>
        </w:rPr>
        <w:t>1.3 Issuance Of Warrant Certificates</w:t>
      </w:r>
      <w:r>
        <w:rPr>
          <w:rFonts w:ascii="Arial" w:cs="Arial" w:eastAsia="Arial" w:hAnsi="Arial"/>
          <w:sz w:val="15"/>
          <w:szCs w:val="15"/>
          <w:color w:val="auto"/>
        </w:rPr>
        <w:t>. Warrant Certificates evidencing the right to purchase Warrant Securities may be executed by the Company and delivered</w:t>
      </w:r>
      <w:r>
        <w:rPr>
          <w:rFonts w:ascii="Arial" w:cs="Arial" w:eastAsia="Arial" w:hAnsi="Arial"/>
          <w:sz w:val="15"/>
          <w:szCs w:val="15"/>
          <w:b w:val="1"/>
          <w:bCs w:val="1"/>
          <w:color w:val="auto"/>
        </w:rPr>
        <w:t xml:space="preserve"> </w:t>
      </w:r>
      <w:r>
        <w:rPr>
          <w:rFonts w:ascii="Arial" w:cs="Arial" w:eastAsia="Arial" w:hAnsi="Arial"/>
          <w:sz w:val="15"/>
          <w:szCs w:val="15"/>
          <w:color w:val="auto"/>
        </w:rPr>
        <w:t>to the Warrant Agent upon the execution of this Warrant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285" w:lineRule="exact"/>
        <w:rPr>
          <w:sz w:val="20"/>
          <w:szCs w:val="20"/>
          <w:color w:val="auto"/>
        </w:rPr>
      </w:pPr>
    </w:p>
    <w:p>
      <w:pPr>
        <w:ind w:left="7102"/>
        <w:spacing w:after="0"/>
        <w:rPr>
          <w:sz w:val="20"/>
          <w:szCs w:val="20"/>
          <w:color w:val="auto"/>
        </w:rPr>
      </w:pPr>
      <w:r>
        <w:rPr>
          <w:rFonts w:ascii="Arial" w:cs="Arial" w:eastAsia="Arial" w:hAnsi="Arial"/>
          <w:sz w:val="16"/>
          <w:szCs w:val="16"/>
          <w:b w:val="1"/>
          <w:bCs w:val="1"/>
          <w:color w:val="auto"/>
        </w:rPr>
        <w:t>ARTICLE 2</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WARRANT PRICE, DURATION AND EXERCISE OF WARRANTS</w:t>
      </w:r>
    </w:p>
    <w:p>
      <w:pPr>
        <w:spacing w:after="0" w:line="209" w:lineRule="exact"/>
        <w:rPr>
          <w:sz w:val="20"/>
          <w:szCs w:val="20"/>
          <w:color w:val="auto"/>
        </w:rPr>
      </w:pPr>
    </w:p>
    <w:p>
      <w:pPr>
        <w:jc w:val="both"/>
        <w:ind w:left="2" w:firstLine="590"/>
        <w:spacing w:after="0" w:line="268" w:lineRule="auto"/>
        <w:rPr>
          <w:sz w:val="20"/>
          <w:szCs w:val="20"/>
          <w:color w:val="auto"/>
        </w:rPr>
      </w:pPr>
      <w:r>
        <w:rPr>
          <w:rFonts w:ascii="Arial" w:cs="Arial" w:eastAsia="Arial" w:hAnsi="Arial"/>
          <w:sz w:val="16"/>
          <w:szCs w:val="16"/>
          <w:b w:val="1"/>
          <w:bCs w:val="1"/>
          <w:color w:val="auto"/>
        </w:rPr>
        <w:t>2.1 Warrant Price</w:t>
      </w:r>
      <w:r>
        <w:rPr>
          <w:rFonts w:ascii="Arial" w:cs="Arial" w:eastAsia="Arial" w:hAnsi="Arial"/>
          <w:sz w:val="16"/>
          <w:szCs w:val="16"/>
          <w:color w:val="auto"/>
        </w:rPr>
        <w:t>. During the period specified in Section 2.2, each Warrant shall, subject to the terms of this Warrant Agreement and the applicable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Arial" w:cs="Arial" w:eastAsia="Arial" w:hAnsi="Arial"/>
          <w:sz w:val="16"/>
          <w:szCs w:val="16"/>
          <w:b w:val="1"/>
          <w:bCs w:val="1"/>
          <w:i w:val="1"/>
          <w:iCs w:val="1"/>
          <w:color w:val="auto"/>
        </w:rPr>
        <w:t>Warrant Price</w:t>
      </w:r>
      <w:r>
        <w:rPr>
          <w:rFonts w:ascii="Arial" w:cs="Arial" w:eastAsia="Arial" w:hAnsi="Arial"/>
          <w:sz w:val="16"/>
          <w:szCs w:val="16"/>
          <w:color w:val="auto"/>
        </w:rPr>
        <w:t>.”</w:t>
      </w:r>
    </w:p>
    <w:p>
      <w:pPr>
        <w:spacing w:after="0" w:line="162" w:lineRule="exact"/>
        <w:rPr>
          <w:sz w:val="20"/>
          <w:szCs w:val="20"/>
          <w:color w:val="auto"/>
        </w:rPr>
      </w:pPr>
    </w:p>
    <w:p>
      <w:pPr>
        <w:ind w:left="582"/>
        <w:spacing w:after="0"/>
        <w:tabs>
          <w:tab w:leader="none" w:pos="941"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5"/>
          <w:szCs w:val="15"/>
          <w:b w:val="1"/>
          <w:bCs w:val="1"/>
          <w:color w:val="auto"/>
        </w:rPr>
        <w:t>Duration Of Warrants</w:t>
      </w:r>
      <w:r>
        <w:rPr>
          <w:rFonts w:ascii="Arial" w:cs="Arial" w:eastAsia="Arial" w:hAnsi="Arial"/>
          <w:sz w:val="15"/>
          <w:szCs w:val="15"/>
          <w:color w:val="auto"/>
        </w:rPr>
        <w:t>. Each Warrant may be exercised in whole or in part at any time, as specified herein, on or after [the date thereof] [●] and at or before</w:t>
      </w:r>
    </w:p>
    <w:p>
      <w:pPr>
        <w:spacing w:after="0" w:line="28" w:lineRule="exact"/>
        <w:rPr>
          <w:sz w:val="20"/>
          <w:szCs w:val="20"/>
          <w:color w:val="auto"/>
        </w:rPr>
      </w:pPr>
    </w:p>
    <w:p>
      <w:pPr>
        <w:jc w:val="both"/>
        <w:ind w:left="2" w:hanging="2"/>
        <w:spacing w:after="0" w:line="264" w:lineRule="auto"/>
        <w:tabs>
          <w:tab w:leader="none" w:pos="254" w:val="left"/>
        </w:tabs>
        <w:numPr>
          <w:ilvl w:val="0"/>
          <w:numId w:val="94"/>
        </w:numPr>
        <w:rPr>
          <w:rFonts w:ascii="Arial" w:cs="Arial" w:eastAsia="Arial" w:hAnsi="Arial"/>
          <w:sz w:val="16"/>
          <w:szCs w:val="16"/>
          <w:color w:val="auto"/>
        </w:rPr>
      </w:pPr>
      <w:r>
        <w:rPr>
          <w:rFonts w:ascii="Arial" w:cs="Arial" w:eastAsia="Arial" w:hAnsi="Arial"/>
          <w:sz w:val="16"/>
          <w:szCs w:val="16"/>
          <w:color w:val="auto"/>
        </w:rPr>
        <w:t>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Each Warrant not exercised at or before [●] p.m., [City] time, on the Expiration Date shall become void, and all rights of the holder of the Warrant Certificate evidencing such Warrant under this Agreement shall cease.</w:t>
      </w:r>
    </w:p>
    <w:p>
      <w:pPr>
        <w:spacing w:after="0" w:line="164" w:lineRule="exact"/>
        <w:rPr>
          <w:sz w:val="20"/>
          <w:szCs w:val="20"/>
          <w:color w:val="auto"/>
        </w:rPr>
      </w:pPr>
    </w:p>
    <w:p>
      <w:pPr>
        <w:ind w:left="582"/>
        <w:spacing w:after="0"/>
        <w:tabs>
          <w:tab w:leader="none" w:pos="941"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5"/>
          <w:szCs w:val="15"/>
          <w:b w:val="1"/>
          <w:bCs w:val="1"/>
          <w:color w:val="auto"/>
        </w:rPr>
        <w:t>Exercise Of Warrants.</w:t>
      </w:r>
    </w:p>
    <w:p>
      <w:pPr>
        <w:spacing w:after="0" w:line="213" w:lineRule="exact"/>
        <w:rPr>
          <w:sz w:val="20"/>
          <w:szCs w:val="20"/>
          <w:color w:val="auto"/>
        </w:rPr>
      </w:pPr>
    </w:p>
    <w:p>
      <w:pPr>
        <w:jc w:val="both"/>
        <w:ind w:left="2" w:firstLine="1178"/>
        <w:spacing w:after="0" w:line="298" w:lineRule="auto"/>
        <w:tabs>
          <w:tab w:leader="none" w:pos="1584" w:val="left"/>
        </w:tabs>
        <w:numPr>
          <w:ilvl w:val="0"/>
          <w:numId w:val="95"/>
        </w:numPr>
        <w:rPr>
          <w:rFonts w:ascii="Arial" w:cs="Arial" w:eastAsia="Arial" w:hAnsi="Arial"/>
          <w:sz w:val="14"/>
          <w:szCs w:val="14"/>
          <w:b w:val="1"/>
          <w:bCs w:val="1"/>
          <w:color w:val="auto"/>
        </w:rPr>
      </w:pPr>
      <w:r>
        <w:rPr>
          <w:rFonts w:ascii="Arial" w:cs="Arial" w:eastAsia="Arial" w:hAnsi="Arial"/>
          <w:sz w:val="14"/>
          <w:szCs w:val="14"/>
          <w:color w:val="auto"/>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148" w:lineRule="exact"/>
        <w:rPr>
          <w:rFonts w:ascii="Arial" w:cs="Arial" w:eastAsia="Arial" w:hAnsi="Arial"/>
          <w:sz w:val="14"/>
          <w:szCs w:val="14"/>
          <w:b w:val="1"/>
          <w:bCs w:val="1"/>
          <w:color w:val="auto"/>
        </w:rPr>
      </w:pPr>
    </w:p>
    <w:p>
      <w:pPr>
        <w:jc w:val="both"/>
        <w:ind w:left="2" w:firstLine="1178"/>
        <w:spacing w:after="0" w:line="266" w:lineRule="auto"/>
        <w:tabs>
          <w:tab w:leader="none" w:pos="1576"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spacing w:after="0" w:line="167" w:lineRule="exact"/>
        <w:rPr>
          <w:rFonts w:ascii="Arial" w:cs="Arial" w:eastAsia="Arial" w:hAnsi="Arial"/>
          <w:sz w:val="16"/>
          <w:szCs w:val="16"/>
          <w:b w:val="1"/>
          <w:bCs w:val="1"/>
          <w:color w:val="auto"/>
        </w:rPr>
      </w:pPr>
    </w:p>
    <w:p>
      <w:pPr>
        <w:jc w:val="both"/>
        <w:ind w:left="2" w:firstLine="1178"/>
        <w:spacing w:after="0" w:line="290" w:lineRule="auto"/>
        <w:tabs>
          <w:tab w:leader="none" w:pos="1608" w:val="left"/>
        </w:tabs>
        <w:numPr>
          <w:ilvl w:val="0"/>
          <w:numId w:val="95"/>
        </w:numPr>
        <w:rPr>
          <w:rFonts w:ascii="Arial" w:cs="Arial" w:eastAsia="Arial" w:hAnsi="Arial"/>
          <w:sz w:val="15"/>
          <w:szCs w:val="15"/>
          <w:b w:val="1"/>
          <w:bCs w:val="1"/>
          <w:color w:val="auto"/>
        </w:rPr>
      </w:pPr>
      <w:r>
        <w:rPr>
          <w:rFonts w:ascii="Arial" w:cs="Arial" w:eastAsia="Arial" w:hAnsi="Arial"/>
          <w:sz w:val="15"/>
          <w:szCs w:val="15"/>
          <w:color w:val="auto"/>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spacing w:after="0" w:line="149" w:lineRule="exact"/>
        <w:rPr>
          <w:rFonts w:ascii="Arial" w:cs="Arial" w:eastAsia="Arial" w:hAnsi="Arial"/>
          <w:sz w:val="15"/>
          <w:szCs w:val="15"/>
          <w:b w:val="1"/>
          <w:bCs w:val="1"/>
          <w:color w:val="auto"/>
        </w:rPr>
      </w:pPr>
    </w:p>
    <w:p>
      <w:pPr>
        <w:ind w:left="2" w:firstLine="1178"/>
        <w:spacing w:after="0" w:line="287" w:lineRule="auto"/>
        <w:tabs>
          <w:tab w:leader="none" w:pos="1583"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The Company shall not be required to pay any stamp or other tax or other governmental charge required to be paid in connection with any transfer involved in the issue of the Warrant Securities, and in the event that any such transfer is involved,</w:t>
      </w:r>
    </w:p>
    <w:p>
      <w:pPr>
        <w:spacing w:after="0" w:line="371" w:lineRule="exact"/>
        <w:rPr>
          <w:sz w:val="20"/>
          <w:szCs w:val="20"/>
          <w:color w:val="auto"/>
        </w:rPr>
      </w:pPr>
    </w:p>
    <w:p>
      <w:pPr>
        <w:ind w:left="384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2"/>
          </w:cols>
          <w:pgMar w:left="238" w:top="348" w:right="239" w:bottom="1440" w:gutter="0" w:footer="0" w:header="0"/>
        </w:sectPr>
      </w:pPr>
    </w:p>
    <w:bookmarkStart w:id="87" w:name="page88"/>
    <w:bookmarkEnd w:id="87"/>
    <w:p>
      <w:pPr>
        <w:spacing w:after="0" w:line="287" w:lineRule="auto"/>
        <w:rPr>
          <w:sz w:val="20"/>
          <w:szCs w:val="20"/>
          <w:color w:val="auto"/>
        </w:rPr>
      </w:pPr>
      <w:r>
        <w:rPr>
          <w:rFonts w:ascii="Arial" w:cs="Arial" w:eastAsia="Arial" w:hAnsi="Arial"/>
          <w:sz w:val="16"/>
          <w:szCs w:val="16"/>
          <w:color w:val="auto"/>
        </w:rPr>
        <w:t>the Company shall not be required to issue or deliver any Warrant Security until such tax or other charge shall have been paid or it has been established to the Company’s satisfaction that no such tax or other charge is due.</w:t>
      </w:r>
    </w:p>
    <w:p>
      <w:pPr>
        <w:spacing w:after="0" w:line="150" w:lineRule="exact"/>
        <w:rPr>
          <w:sz w:val="20"/>
          <w:szCs w:val="20"/>
          <w:color w:val="auto"/>
        </w:rPr>
      </w:pPr>
    </w:p>
    <w:p>
      <w:pPr>
        <w:ind w:firstLine="1178"/>
        <w:spacing w:after="0" w:line="287" w:lineRule="auto"/>
        <w:tabs>
          <w:tab w:leader="none" w:pos="1527" w:val="left"/>
        </w:tabs>
        <w:numPr>
          <w:ilvl w:val="0"/>
          <w:numId w:val="96"/>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spacing w:after="0" w:line="293" w:lineRule="exact"/>
        <w:rPr>
          <w:sz w:val="20"/>
          <w:szCs w:val="20"/>
          <w:color w:val="auto"/>
        </w:rPr>
      </w:pPr>
    </w:p>
    <w:p>
      <w:pPr>
        <w:ind w:left="7140"/>
        <w:spacing w:after="0"/>
        <w:rPr>
          <w:sz w:val="20"/>
          <w:szCs w:val="20"/>
          <w:color w:val="auto"/>
        </w:rPr>
      </w:pPr>
      <w:r>
        <w:rPr>
          <w:rFonts w:ascii="Arial" w:cs="Arial" w:eastAsia="Arial" w:hAnsi="Arial"/>
          <w:sz w:val="16"/>
          <w:szCs w:val="16"/>
          <w:b w:val="1"/>
          <w:bCs w:val="1"/>
          <w:color w:val="auto"/>
        </w:rPr>
        <w:t>ARTICLE 3</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OTHER PROVISIONS RELATING TO RIGHTS OF HOLDERS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CERTIFICATES</w:t>
      </w:r>
    </w:p>
    <w:p>
      <w:pPr>
        <w:spacing w:after="0" w:line="194" w:lineRule="exact"/>
        <w:rPr>
          <w:sz w:val="20"/>
          <w:szCs w:val="20"/>
          <w:color w:val="auto"/>
        </w:rPr>
      </w:pPr>
    </w:p>
    <w:p>
      <w:pPr>
        <w:jc w:val="both"/>
        <w:ind w:firstLine="590"/>
        <w:spacing w:after="0" w:line="301" w:lineRule="auto"/>
        <w:rPr>
          <w:sz w:val="20"/>
          <w:szCs w:val="20"/>
          <w:color w:val="auto"/>
        </w:rPr>
      </w:pPr>
      <w:r>
        <w:rPr>
          <w:rFonts w:ascii="Arial" w:cs="Arial" w:eastAsia="Arial" w:hAnsi="Arial"/>
          <w:sz w:val="15"/>
          <w:szCs w:val="15"/>
          <w:b w:val="1"/>
          <w:bCs w:val="1"/>
          <w:color w:val="auto"/>
        </w:rPr>
        <w:t>3.1 No Rights As Warrant Securityholder Conferred By Warrants Or Warrant Certificates</w:t>
      </w:r>
      <w:r>
        <w:rPr>
          <w:rFonts w:ascii="Arial" w:cs="Arial" w:eastAsia="Arial" w:hAnsi="Arial"/>
          <w:sz w:val="15"/>
          <w:szCs w:val="15"/>
          <w:color w:val="auto"/>
        </w:rPr>
        <w:t>. No Warrant Certificate or Warrant evidenced thereby shall entitle</w:t>
      </w:r>
      <w:r>
        <w:rPr>
          <w:rFonts w:ascii="Arial" w:cs="Arial" w:eastAsia="Arial" w:hAnsi="Arial"/>
          <w:sz w:val="15"/>
          <w:szCs w:val="15"/>
          <w:b w:val="1"/>
          <w:bCs w:val="1"/>
          <w:color w:val="auto"/>
        </w:rPr>
        <w:t xml:space="preserve"> </w:t>
      </w:r>
      <w:r>
        <w:rPr>
          <w:rFonts w:ascii="Arial" w:cs="Arial" w:eastAsia="Arial" w:hAnsi="Arial"/>
          <w:sz w:val="15"/>
          <w:szCs w:val="15"/>
          <w:color w:val="auto"/>
        </w:rPr>
        <w:t>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spacing w:after="0" w:line="138" w:lineRule="exact"/>
        <w:rPr>
          <w:sz w:val="20"/>
          <w:szCs w:val="20"/>
          <w:color w:val="auto"/>
        </w:rPr>
      </w:pPr>
    </w:p>
    <w:p>
      <w:pPr>
        <w:jc w:val="both"/>
        <w:ind w:firstLine="590"/>
        <w:spacing w:after="0" w:line="278" w:lineRule="auto"/>
        <w:rPr>
          <w:sz w:val="20"/>
          <w:szCs w:val="20"/>
          <w:color w:val="auto"/>
        </w:rPr>
      </w:pPr>
      <w:r>
        <w:rPr>
          <w:rFonts w:ascii="Arial" w:cs="Arial" w:eastAsia="Arial" w:hAnsi="Arial"/>
          <w:sz w:val="15"/>
          <w:szCs w:val="15"/>
          <w:b w:val="1"/>
          <w:bCs w:val="1"/>
          <w:color w:val="auto"/>
        </w:rPr>
        <w:t>3.2 Lost, Stolen, Mutilated Or Destroyed Warrant Certificates</w:t>
      </w:r>
      <w:r>
        <w:rPr>
          <w:rFonts w:ascii="Arial" w:cs="Arial" w:eastAsia="Arial" w:hAnsi="Arial"/>
          <w:sz w:val="15"/>
          <w:szCs w:val="15"/>
          <w:color w:val="auto"/>
        </w:rPr>
        <w:t>. Upon receipt by the Warrant Agent of evidence reasonably satisfactory to it and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59" w:lineRule="exact"/>
        <w:rPr>
          <w:sz w:val="20"/>
          <w:szCs w:val="20"/>
          <w:color w:val="auto"/>
        </w:rPr>
      </w:pPr>
    </w:p>
    <w:p>
      <w:pPr>
        <w:jc w:val="both"/>
        <w:ind w:firstLine="590"/>
        <w:spacing w:after="0" w:line="291" w:lineRule="auto"/>
        <w:rPr>
          <w:sz w:val="20"/>
          <w:szCs w:val="20"/>
          <w:color w:val="auto"/>
        </w:rPr>
      </w:pPr>
      <w:r>
        <w:rPr>
          <w:rFonts w:ascii="Arial" w:cs="Arial" w:eastAsia="Arial" w:hAnsi="Arial"/>
          <w:sz w:val="15"/>
          <w:szCs w:val="15"/>
          <w:b w:val="1"/>
          <w:bCs w:val="1"/>
          <w:color w:val="auto"/>
        </w:rPr>
        <w:t>3.3 Holder Of Warrant Certificate May Enforce Rights</w:t>
      </w:r>
      <w:r>
        <w:rPr>
          <w:rFonts w:ascii="Arial" w:cs="Arial" w:eastAsia="Arial" w:hAnsi="Arial"/>
          <w:sz w:val="15"/>
          <w:szCs w:val="15"/>
          <w:color w:val="auto"/>
        </w:rPr>
        <w:t>. Notwithstanding any of the provisions of this Agreement, any holder of a Warrant Certificate,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spacing w:after="0" w:line="147"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6"/>
          <w:szCs w:val="16"/>
          <w:b w:val="1"/>
          <w:bCs w:val="1"/>
          <w:color w:val="auto"/>
        </w:rPr>
        <w:t>3.4</w:t>
      </w:r>
      <w:r>
        <w:rPr>
          <w:sz w:val="20"/>
          <w:szCs w:val="20"/>
          <w:color w:val="auto"/>
        </w:rPr>
        <w:tab/>
      </w:r>
      <w:r>
        <w:rPr>
          <w:rFonts w:ascii="Arial" w:cs="Arial" w:eastAsia="Arial" w:hAnsi="Arial"/>
          <w:sz w:val="14"/>
          <w:szCs w:val="14"/>
          <w:b w:val="1"/>
          <w:bCs w:val="1"/>
          <w:color w:val="auto"/>
        </w:rPr>
        <w:t>Adjustments.</w:t>
      </w:r>
    </w:p>
    <w:p>
      <w:pPr>
        <w:spacing w:after="0" w:line="213" w:lineRule="exact"/>
        <w:rPr>
          <w:sz w:val="20"/>
          <w:szCs w:val="20"/>
          <w:color w:val="auto"/>
        </w:rPr>
      </w:pPr>
    </w:p>
    <w:p>
      <w:pPr>
        <w:jc w:val="both"/>
        <w:ind w:firstLine="1178"/>
        <w:spacing w:after="0" w:line="264" w:lineRule="auto"/>
        <w:tabs>
          <w:tab w:leader="none" w:pos="1575" w:val="left"/>
        </w:tabs>
        <w:numPr>
          <w:ilvl w:val="0"/>
          <w:numId w:val="97"/>
        </w:numPr>
        <w:rPr>
          <w:rFonts w:ascii="Arial" w:cs="Arial" w:eastAsia="Arial" w:hAnsi="Arial"/>
          <w:sz w:val="16"/>
          <w:szCs w:val="16"/>
          <w:b w:val="1"/>
          <w:bCs w:val="1"/>
          <w:color w:val="auto"/>
        </w:rPr>
      </w:pPr>
      <w:r>
        <w:rPr>
          <w:rFonts w:ascii="Arial" w:cs="Arial" w:eastAsia="Arial" w:hAnsi="Arial"/>
          <w:sz w:val="16"/>
          <w:szCs w:val="16"/>
          <w:color w:val="auto"/>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spacing w:after="0" w:line="168" w:lineRule="exact"/>
        <w:rPr>
          <w:rFonts w:ascii="Arial" w:cs="Arial" w:eastAsia="Arial" w:hAnsi="Arial"/>
          <w:sz w:val="16"/>
          <w:szCs w:val="16"/>
          <w:b w:val="1"/>
          <w:bCs w:val="1"/>
          <w:color w:val="auto"/>
        </w:rPr>
      </w:pPr>
    </w:p>
    <w:p>
      <w:pPr>
        <w:ind w:firstLine="1178"/>
        <w:spacing w:after="0" w:line="287" w:lineRule="auto"/>
        <w:tabs>
          <w:tab w:leader="none" w:pos="1571" w:val="left"/>
        </w:tabs>
        <w:numPr>
          <w:ilvl w:val="0"/>
          <w:numId w:val="97"/>
        </w:numPr>
        <w:rPr>
          <w:rFonts w:ascii="Arial" w:cs="Arial" w:eastAsia="Arial" w:hAnsi="Arial"/>
          <w:sz w:val="16"/>
          <w:szCs w:val="16"/>
          <w:b w:val="1"/>
          <w:bCs w:val="1"/>
          <w:color w:val="auto"/>
        </w:rPr>
      </w:pPr>
      <w:r>
        <w:rPr>
          <w:rFonts w:ascii="Arial" w:cs="Arial" w:eastAsia="Arial" w:hAnsi="Arial"/>
          <w:sz w:val="16"/>
          <w:szCs w:val="16"/>
          <w:color w:val="auto"/>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w:t>
      </w:r>
    </w:p>
    <w:p>
      <w:pPr>
        <w:spacing w:after="0" w:line="149" w:lineRule="exact"/>
        <w:rPr>
          <w:rFonts w:ascii="Arial" w:cs="Arial" w:eastAsia="Arial" w:hAnsi="Arial"/>
          <w:sz w:val="16"/>
          <w:szCs w:val="16"/>
          <w:b w:val="1"/>
          <w:bCs w:val="1"/>
          <w:color w:val="auto"/>
        </w:rPr>
      </w:pPr>
    </w:p>
    <w:p>
      <w:pPr>
        <w:jc w:val="both"/>
        <w:ind w:firstLine="1768"/>
        <w:spacing w:after="0" w:line="272" w:lineRule="auto"/>
        <w:tabs>
          <w:tab w:leader="none" w:pos="2107" w:val="left"/>
        </w:tabs>
        <w:numPr>
          <w:ilvl w:val="1"/>
          <w:numId w:val="97"/>
        </w:numPr>
        <w:rPr>
          <w:rFonts w:ascii="Arial" w:cs="Arial" w:eastAsia="Arial" w:hAnsi="Arial"/>
          <w:sz w:val="16"/>
          <w:szCs w:val="16"/>
          <w:b w:val="1"/>
          <w:bCs w:val="1"/>
          <w:color w:val="auto"/>
        </w:rPr>
      </w:pPr>
      <w:r>
        <w:rPr>
          <w:rFonts w:ascii="Arial" w:cs="Arial" w:eastAsia="Arial" w:hAnsi="Arial"/>
          <w:sz w:val="16"/>
          <w:szCs w:val="16"/>
          <w:color w:val="auto"/>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spacing w:after="0" w:line="161" w:lineRule="exact"/>
        <w:rPr>
          <w:rFonts w:ascii="Arial" w:cs="Arial" w:eastAsia="Arial" w:hAnsi="Arial"/>
          <w:sz w:val="16"/>
          <w:szCs w:val="16"/>
          <w:b w:val="1"/>
          <w:bCs w:val="1"/>
          <w:color w:val="auto"/>
        </w:rPr>
      </w:pPr>
    </w:p>
    <w:p>
      <w:pPr>
        <w:ind w:firstLine="1768"/>
        <w:spacing w:after="0" w:line="287" w:lineRule="auto"/>
        <w:tabs>
          <w:tab w:leader="none" w:pos="2159" w:val="left"/>
        </w:tabs>
        <w:numPr>
          <w:ilvl w:val="1"/>
          <w:numId w:val="97"/>
        </w:numPr>
        <w:rPr>
          <w:rFonts w:ascii="Arial" w:cs="Arial" w:eastAsia="Arial" w:hAnsi="Arial"/>
          <w:sz w:val="16"/>
          <w:szCs w:val="16"/>
          <w:b w:val="1"/>
          <w:bCs w:val="1"/>
          <w:color w:val="auto"/>
        </w:rPr>
      </w:pPr>
      <w:r>
        <w:rPr>
          <w:rFonts w:ascii="Arial" w:cs="Arial" w:eastAsia="Arial" w:hAnsi="Arial"/>
          <w:sz w:val="16"/>
          <w:szCs w:val="16"/>
          <w:color w:val="auto"/>
        </w:rPr>
        <w:t>any cash paid or payable otherwise than in accordance with the terms of [title of Preferred Stock purchasable through exercise of Warrants] or otherwise than as a cash dividend paid or payable out of the Company’s current or retained earnings;</w:t>
      </w:r>
    </w:p>
    <w:p>
      <w:pPr>
        <w:spacing w:after="0" w:line="37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48" w:right="239" w:bottom="1440" w:gutter="0" w:footer="0" w:header="0"/>
        </w:sectPr>
      </w:pPr>
    </w:p>
    <w:bookmarkStart w:id="88" w:name="page89"/>
    <w:bookmarkEnd w:id="88"/>
    <w:p>
      <w:pPr>
        <w:ind w:left="2182" w:hanging="412"/>
        <w:spacing w:after="0"/>
        <w:tabs>
          <w:tab w:leader="none" w:pos="2182" w:val="left"/>
        </w:tabs>
        <w:numPr>
          <w:ilvl w:val="2"/>
          <w:numId w:val="98"/>
        </w:numPr>
        <w:rPr>
          <w:rFonts w:ascii="Arial" w:cs="Arial" w:eastAsia="Arial" w:hAnsi="Arial"/>
          <w:sz w:val="16"/>
          <w:szCs w:val="16"/>
          <w:b w:val="1"/>
          <w:bCs w:val="1"/>
          <w:color w:val="auto"/>
        </w:rPr>
      </w:pPr>
      <w:r>
        <w:rPr>
          <w:rFonts w:ascii="Arial" w:cs="Arial" w:eastAsia="Arial" w:hAnsi="Arial"/>
          <w:sz w:val="16"/>
          <w:szCs w:val="16"/>
          <w:color w:val="auto"/>
        </w:rPr>
        <w:t>any evidence of the Company’s indebtedness or rights to subscribe for or purchase the Company’s indebtedness; or</w:t>
      </w:r>
    </w:p>
    <w:p>
      <w:pPr>
        <w:spacing w:after="0" w:line="209" w:lineRule="exact"/>
        <w:rPr>
          <w:rFonts w:ascii="Arial" w:cs="Arial" w:eastAsia="Arial" w:hAnsi="Arial"/>
          <w:sz w:val="16"/>
          <w:szCs w:val="16"/>
          <w:b w:val="1"/>
          <w:bCs w:val="1"/>
          <w:color w:val="auto"/>
        </w:rPr>
      </w:pPr>
    </w:p>
    <w:p>
      <w:pPr>
        <w:jc w:val="both"/>
        <w:ind w:left="2" w:firstLine="1768"/>
        <w:spacing w:after="0" w:line="304" w:lineRule="auto"/>
        <w:tabs>
          <w:tab w:leader="none" w:pos="2176" w:val="left"/>
        </w:tabs>
        <w:numPr>
          <w:ilvl w:val="2"/>
          <w:numId w:val="98"/>
        </w:numPr>
        <w:rPr>
          <w:rFonts w:ascii="Arial" w:cs="Arial" w:eastAsia="Arial" w:hAnsi="Arial"/>
          <w:sz w:val="14"/>
          <w:szCs w:val="14"/>
          <w:b w:val="1"/>
          <w:bCs w:val="1"/>
          <w:color w:val="auto"/>
        </w:rPr>
      </w:pPr>
      <w:r>
        <w:rPr>
          <w:rFonts w:ascii="Arial" w:cs="Arial" w:eastAsia="Arial" w:hAnsi="Arial"/>
          <w:sz w:val="14"/>
          <w:szCs w:val="14"/>
          <w:color w:val="auto"/>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 the amount of stock and other securities and property (including cash and indebtedness or rights to subscribe for or purchase indebtedness) which such holder would hold on the date of such exercise had he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spacing w:after="0" w:line="145" w:lineRule="exact"/>
        <w:rPr>
          <w:rFonts w:ascii="Arial" w:cs="Arial" w:eastAsia="Arial" w:hAnsi="Arial"/>
          <w:sz w:val="14"/>
          <w:szCs w:val="14"/>
          <w:b w:val="1"/>
          <w:bCs w:val="1"/>
          <w:color w:val="auto"/>
        </w:rPr>
      </w:pPr>
    </w:p>
    <w:p>
      <w:pPr>
        <w:jc w:val="both"/>
        <w:ind w:left="2" w:firstLine="1178"/>
        <w:spacing w:after="0" w:line="294" w:lineRule="auto"/>
        <w:tabs>
          <w:tab w:leader="none" w:pos="1536" w:val="left"/>
        </w:tabs>
        <w:numPr>
          <w:ilvl w:val="1"/>
          <w:numId w:val="99"/>
        </w:numPr>
        <w:rPr>
          <w:rFonts w:ascii="Arial" w:cs="Arial" w:eastAsia="Arial" w:hAnsi="Arial"/>
          <w:sz w:val="14"/>
          <w:szCs w:val="14"/>
          <w:b w:val="1"/>
          <w:bCs w:val="1"/>
          <w:color w:val="auto"/>
        </w:rPr>
      </w:pPr>
      <w:r>
        <w:rPr>
          <w:rFonts w:ascii="Arial" w:cs="Arial" w:eastAsia="Arial" w:hAnsi="Arial"/>
          <w:sz w:val="14"/>
          <w:szCs w:val="14"/>
          <w:color w:val="auto"/>
        </w:rPr>
        <w:t>In case of (i) any reclassification, capital reorganization, or change in the [title of Preferred Stock purchasable through the exercise of the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the exercise of the Warrants] other than the issuance of additional shares of [title of Preferred Stock purchasable through the exercise of the Warrants]) or (iii) the sale, exchange, lease, transfer or other disposition of all or substantially all of the properties and assets of the Company as an entirety (in any such case, a “</w:t>
      </w:r>
      <w:r>
        <w:rPr>
          <w:rFonts w:ascii="Arial" w:cs="Arial" w:eastAsia="Arial" w:hAnsi="Arial"/>
          <w:sz w:val="14"/>
          <w:szCs w:val="14"/>
          <w:b w:val="1"/>
          <w:bCs w:val="1"/>
          <w:i w:val="1"/>
          <w:iCs w:val="1"/>
          <w:color w:val="auto"/>
        </w:rPr>
        <w:t>Reorganization Event</w:t>
      </w:r>
      <w:r>
        <w:rPr>
          <w:rFonts w:ascii="Arial" w:cs="Arial" w:eastAsia="Arial" w:hAnsi="Arial"/>
          <w:sz w:val="14"/>
          <w:szCs w:val="14"/>
          <w:color w:val="auto"/>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the exercise of the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w:t>
      </w:r>
    </w:p>
    <w:p>
      <w:pPr>
        <w:spacing w:after="0" w:line="4" w:lineRule="exact"/>
        <w:rPr>
          <w:rFonts w:ascii="Arial" w:cs="Arial" w:eastAsia="Arial" w:hAnsi="Arial"/>
          <w:sz w:val="14"/>
          <w:szCs w:val="14"/>
          <w:b w:val="1"/>
          <w:bCs w:val="1"/>
          <w:color w:val="auto"/>
        </w:rPr>
      </w:pPr>
    </w:p>
    <w:p>
      <w:pPr>
        <w:jc w:val="both"/>
        <w:ind w:left="2" w:hanging="2"/>
        <w:spacing w:after="0" w:line="278" w:lineRule="auto"/>
        <w:tabs>
          <w:tab w:leader="none" w:pos="313"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60" w:lineRule="exact"/>
        <w:rPr>
          <w:rFonts w:ascii="Arial" w:cs="Arial" w:eastAsia="Arial" w:hAnsi="Arial"/>
          <w:sz w:val="15"/>
          <w:szCs w:val="15"/>
          <w:color w:val="auto"/>
        </w:rPr>
      </w:pPr>
    </w:p>
    <w:p>
      <w:pPr>
        <w:jc w:val="both"/>
        <w:ind w:left="2" w:firstLine="1178"/>
        <w:spacing w:after="0" w:line="272" w:lineRule="auto"/>
        <w:tabs>
          <w:tab w:leader="none" w:pos="1544" w:val="left"/>
        </w:tabs>
        <w:numPr>
          <w:ilvl w:val="1"/>
          <w:numId w:val="100"/>
        </w:numPr>
        <w:rPr>
          <w:rFonts w:ascii="Arial" w:cs="Arial" w:eastAsia="Arial" w:hAnsi="Arial"/>
          <w:sz w:val="16"/>
          <w:szCs w:val="16"/>
          <w:b w:val="1"/>
          <w:bCs w:val="1"/>
          <w:color w:val="auto"/>
        </w:rPr>
      </w:pPr>
      <w:r>
        <w:rPr>
          <w:rFonts w:ascii="Arial" w:cs="Arial" w:eastAsia="Arial" w:hAnsi="Arial"/>
          <w:sz w:val="16"/>
          <w:szCs w:val="16"/>
          <w:color w:val="auto"/>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spacing w:after="0" w:line="161" w:lineRule="exact"/>
        <w:rPr>
          <w:rFonts w:ascii="Arial" w:cs="Arial" w:eastAsia="Arial" w:hAnsi="Arial"/>
          <w:sz w:val="16"/>
          <w:szCs w:val="16"/>
          <w:b w:val="1"/>
          <w:bCs w:val="1"/>
          <w:color w:val="auto"/>
        </w:rPr>
      </w:pPr>
    </w:p>
    <w:p>
      <w:pPr>
        <w:ind w:left="2" w:firstLine="1178"/>
        <w:spacing w:after="0" w:line="287" w:lineRule="auto"/>
        <w:tabs>
          <w:tab w:leader="none" w:pos="1574" w:val="left"/>
        </w:tabs>
        <w:numPr>
          <w:ilvl w:val="1"/>
          <w:numId w:val="100"/>
        </w:numPr>
        <w:rPr>
          <w:rFonts w:ascii="Arial" w:cs="Arial" w:eastAsia="Arial" w:hAnsi="Arial"/>
          <w:sz w:val="16"/>
          <w:szCs w:val="16"/>
          <w:b w:val="1"/>
          <w:bCs w:val="1"/>
          <w:color w:val="auto"/>
        </w:rPr>
      </w:pPr>
      <w:r>
        <w:rPr>
          <w:rFonts w:ascii="Arial" w:cs="Arial" w:eastAsia="Arial" w:hAnsi="Arial"/>
          <w:sz w:val="16"/>
          <w:szCs w:val="16"/>
          <w:color w:val="auto"/>
        </w:rPr>
        <w:t>Except as herein otherwise expressly provided, no adjustment in the Warrant Price shall be made by reason of the issuance of any securities of the Company or for any other reason whatsoever.</w:t>
      </w:r>
    </w:p>
    <w:p>
      <w:pPr>
        <w:spacing w:after="0" w:line="149" w:lineRule="exact"/>
        <w:rPr>
          <w:rFonts w:ascii="Arial" w:cs="Arial" w:eastAsia="Arial" w:hAnsi="Arial"/>
          <w:sz w:val="16"/>
          <w:szCs w:val="16"/>
          <w:b w:val="1"/>
          <w:bCs w:val="1"/>
          <w:color w:val="auto"/>
        </w:rPr>
      </w:pPr>
    </w:p>
    <w:p>
      <w:pPr>
        <w:jc w:val="both"/>
        <w:ind w:left="2" w:firstLine="1178"/>
        <w:spacing w:after="0" w:line="279" w:lineRule="auto"/>
        <w:tabs>
          <w:tab w:leader="none" w:pos="1548" w:val="left"/>
        </w:tabs>
        <w:numPr>
          <w:ilvl w:val="1"/>
          <w:numId w:val="100"/>
        </w:numPr>
        <w:rPr>
          <w:rFonts w:ascii="Arial" w:cs="Arial" w:eastAsia="Arial" w:hAnsi="Arial"/>
          <w:sz w:val="15"/>
          <w:szCs w:val="15"/>
          <w:b w:val="1"/>
          <w:bCs w:val="1"/>
          <w:color w:val="auto"/>
        </w:rPr>
      </w:pPr>
      <w:r>
        <w:rPr>
          <w:rFonts w:ascii="Arial" w:cs="Arial" w:eastAsia="Arial" w:hAnsi="Arial"/>
          <w:sz w:val="15"/>
          <w:szCs w:val="15"/>
          <w:color w:val="auto"/>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Arial" w:cs="Arial" w:eastAsia="Arial" w:hAnsi="Arial"/>
          <w:sz w:val="15"/>
          <w:szCs w:val="15"/>
          <w:b w:val="1"/>
          <w:bCs w:val="1"/>
          <w:i w:val="1"/>
          <w:iCs w:val="1"/>
          <w:color w:val="auto"/>
        </w:rPr>
        <w:t>OTC Bulletin Board</w:t>
      </w:r>
      <w:r>
        <w:rPr>
          <w:rFonts w:ascii="Arial" w:cs="Arial" w:eastAsia="Arial" w:hAnsi="Arial"/>
          <w:sz w:val="15"/>
          <w:szCs w:val="15"/>
          <w:color w:val="auto"/>
        </w:rPr>
        <w:t>”) operated by The Nasdaq Stock Market LLC (“</w:t>
      </w:r>
      <w:r>
        <w:rPr>
          <w:rFonts w:ascii="Arial" w:cs="Arial" w:eastAsia="Arial" w:hAnsi="Arial"/>
          <w:sz w:val="15"/>
          <w:szCs w:val="15"/>
          <w:b w:val="1"/>
          <w:bCs w:val="1"/>
          <w:i w:val="1"/>
          <w:iCs w:val="1"/>
          <w:color w:val="auto"/>
        </w:rPr>
        <w:t>Nasdaq</w:t>
      </w:r>
      <w:r>
        <w:rPr>
          <w:rFonts w:ascii="Arial" w:cs="Arial" w:eastAsia="Arial" w:hAnsi="Arial"/>
          <w:sz w:val="15"/>
          <w:szCs w:val="15"/>
          <w:color w:val="auto"/>
        </w:rPr>
        <w:t>”)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w:t>
      </w:r>
    </w:p>
    <w:p>
      <w:pPr>
        <w:spacing w:after="0" w:line="379" w:lineRule="exact"/>
        <w:rPr>
          <w:sz w:val="20"/>
          <w:szCs w:val="20"/>
          <w:color w:val="auto"/>
        </w:rPr>
      </w:pPr>
    </w:p>
    <w:p>
      <w:pPr>
        <w:ind w:left="384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2"/>
          </w:cols>
          <w:pgMar w:left="238" w:top="348" w:right="239" w:bottom="1440" w:gutter="0" w:footer="0" w:header="0"/>
        </w:sectPr>
      </w:pPr>
    </w:p>
    <w:bookmarkStart w:id="89" w:name="page90"/>
    <w:bookmarkEnd w:id="89"/>
    <w:p>
      <w:pPr>
        <w:jc w:val="both"/>
        <w:ind w:left="2"/>
        <w:spacing w:after="0" w:line="272" w:lineRule="auto"/>
        <w:rPr>
          <w:sz w:val="20"/>
          <w:szCs w:val="20"/>
          <w:color w:val="auto"/>
        </w:rPr>
      </w:pPr>
      <w:r>
        <w:rPr>
          <w:rFonts w:ascii="Arial" w:cs="Arial" w:eastAsia="Arial" w:hAnsi="Arial"/>
          <w:sz w:val="16"/>
          <w:szCs w:val="16"/>
          <w:color w:val="auto"/>
        </w:rPr>
        <w:t>medium or inter-dealer quotation system, an amount equal to the same fraction of the average of the closing bid and asked prices as furnished by any Financial Industry Regulatory Authority, Inc.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member firm selected from time to time by the Company for that purpose at the close of business on the business day that next precedes the day of exercise.</w:t>
      </w:r>
    </w:p>
    <w:p>
      <w:pPr>
        <w:spacing w:after="0" w:line="161" w:lineRule="exact"/>
        <w:rPr>
          <w:sz w:val="20"/>
          <w:szCs w:val="20"/>
          <w:color w:val="auto"/>
        </w:rPr>
      </w:pPr>
    </w:p>
    <w:p>
      <w:pPr>
        <w:jc w:val="both"/>
        <w:ind w:left="2" w:firstLine="1178"/>
        <w:spacing w:after="0" w:line="272" w:lineRule="auto"/>
        <w:tabs>
          <w:tab w:leader="none" w:pos="1593"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spacing w:after="0" w:line="157" w:lineRule="exact"/>
        <w:rPr>
          <w:sz w:val="20"/>
          <w:szCs w:val="20"/>
          <w:color w:val="auto"/>
        </w:rPr>
      </w:pPr>
    </w:p>
    <w:p>
      <w:pPr>
        <w:ind w:left="582"/>
        <w:spacing w:after="0"/>
        <w:tabs>
          <w:tab w:leader="none" w:pos="941" w:val="left"/>
        </w:tabs>
        <w:rPr>
          <w:sz w:val="20"/>
          <w:szCs w:val="20"/>
          <w:color w:val="auto"/>
        </w:rPr>
      </w:pPr>
      <w:r>
        <w:rPr>
          <w:rFonts w:ascii="Arial" w:cs="Arial" w:eastAsia="Arial" w:hAnsi="Arial"/>
          <w:sz w:val="16"/>
          <w:szCs w:val="16"/>
          <w:b w:val="1"/>
          <w:bCs w:val="1"/>
          <w:color w:val="auto"/>
        </w:rPr>
        <w:t>3.5</w:t>
      </w:r>
      <w:r>
        <w:rPr>
          <w:sz w:val="20"/>
          <w:szCs w:val="20"/>
          <w:color w:val="auto"/>
        </w:rPr>
        <w:tab/>
      </w:r>
      <w:r>
        <w:rPr>
          <w:rFonts w:ascii="Arial" w:cs="Arial" w:eastAsia="Arial" w:hAnsi="Arial"/>
          <w:sz w:val="15"/>
          <w:szCs w:val="15"/>
          <w:b w:val="1"/>
          <w:bCs w:val="1"/>
          <w:color w:val="auto"/>
        </w:rPr>
        <w:t>Notice To Warrantholders</w:t>
      </w:r>
      <w:r>
        <w:rPr>
          <w:rFonts w:ascii="Arial" w:cs="Arial" w:eastAsia="Arial" w:hAnsi="Arial"/>
          <w:sz w:val="15"/>
          <w:szCs w:val="15"/>
          <w:color w:val="auto"/>
        </w:rPr>
        <w:t>. In case the Company shall (a) effect any dividend or distribution described in Section 3.4(b), (b) effect any Reorganization Event,</w:t>
      </w:r>
    </w:p>
    <w:p>
      <w:pPr>
        <w:spacing w:after="0" w:line="28" w:lineRule="exact"/>
        <w:rPr>
          <w:sz w:val="20"/>
          <w:szCs w:val="20"/>
          <w:color w:val="auto"/>
        </w:rPr>
      </w:pPr>
    </w:p>
    <w:p>
      <w:pPr>
        <w:jc w:val="both"/>
        <w:ind w:left="2" w:hanging="2"/>
        <w:spacing w:after="0" w:line="277" w:lineRule="auto"/>
        <w:tabs>
          <w:tab w:leader="none" w:pos="231" w:val="left"/>
        </w:tabs>
        <w:numPr>
          <w:ilvl w:val="0"/>
          <w:numId w:val="102"/>
        </w:numPr>
        <w:rPr>
          <w:rFonts w:ascii="Arial" w:cs="Arial" w:eastAsia="Arial" w:hAnsi="Arial"/>
          <w:sz w:val="15"/>
          <w:szCs w:val="15"/>
          <w:color w:val="auto"/>
        </w:rPr>
      </w:pPr>
      <w:r>
        <w:rPr>
          <w:rFonts w:ascii="Arial" w:cs="Arial" w:eastAsia="Arial" w:hAnsi="Arial"/>
          <w:sz w:val="15"/>
          <w:szCs w:val="15"/>
          <w:color w:val="auto"/>
        </w:rPr>
        <w:t>make any distribution on or in respect of the [title of Preferred Stock purchasable through the exercise of the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the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the exercise of the Warrants] of record shall be entitled to exchange their shares of [title of Preferred Stock purchasable through the exercise of the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spacing w:after="0" w:line="160" w:lineRule="exact"/>
        <w:rPr>
          <w:sz w:val="20"/>
          <w:szCs w:val="20"/>
          <w:color w:val="auto"/>
        </w:rPr>
      </w:pPr>
    </w:p>
    <w:p>
      <w:pPr>
        <w:ind w:left="582"/>
        <w:spacing w:after="0"/>
        <w:tabs>
          <w:tab w:leader="none" w:pos="941" w:val="left"/>
        </w:tabs>
        <w:rPr>
          <w:sz w:val="20"/>
          <w:szCs w:val="20"/>
          <w:color w:val="auto"/>
        </w:rPr>
      </w:pPr>
      <w:r>
        <w:rPr>
          <w:rFonts w:ascii="Arial" w:cs="Arial" w:eastAsia="Arial" w:hAnsi="Arial"/>
          <w:sz w:val="16"/>
          <w:szCs w:val="16"/>
          <w:b w:val="1"/>
          <w:bCs w:val="1"/>
          <w:color w:val="auto"/>
        </w:rPr>
        <w:t>3.6</w:t>
      </w:r>
      <w:r>
        <w:rPr>
          <w:sz w:val="20"/>
          <w:szCs w:val="20"/>
          <w:color w:val="auto"/>
        </w:rPr>
        <w:tab/>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If The Warrants Are Subject To Acceleration By The Company, Insert—</w:t>
      </w:r>
      <w:r>
        <w:rPr>
          <w:rFonts w:ascii="Arial" w:cs="Arial" w:eastAsia="Arial" w:hAnsi="Arial"/>
          <w:sz w:val="14"/>
          <w:szCs w:val="14"/>
          <w:b w:val="1"/>
          <w:bCs w:val="1"/>
          <w:color w:val="auto"/>
        </w:rPr>
        <w:t>Acceleration Of Warrants By The Company.]</w:t>
      </w:r>
    </w:p>
    <w:p>
      <w:pPr>
        <w:spacing w:after="0" w:line="213" w:lineRule="exact"/>
        <w:rPr>
          <w:sz w:val="20"/>
          <w:szCs w:val="20"/>
          <w:color w:val="auto"/>
        </w:rPr>
      </w:pPr>
    </w:p>
    <w:p>
      <w:pPr>
        <w:jc w:val="both"/>
        <w:ind w:left="2" w:firstLine="1178"/>
        <w:spacing w:after="0" w:line="264" w:lineRule="auto"/>
        <w:tabs>
          <w:tab w:leader="none" w:pos="1560"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At any time on or after [●], the Company shall have the right to accelerate any or all Warrants at any time by causing them to expire at the close of business on the day next preceding a specified date (the “</w:t>
      </w:r>
      <w:r>
        <w:rPr>
          <w:rFonts w:ascii="Arial" w:cs="Arial" w:eastAsia="Arial" w:hAnsi="Arial"/>
          <w:sz w:val="16"/>
          <w:szCs w:val="16"/>
          <w:b w:val="1"/>
          <w:bCs w:val="1"/>
          <w:i w:val="1"/>
          <w:iCs w:val="1"/>
          <w:color w:val="auto"/>
        </w:rPr>
        <w:t>Acceleration Date</w:t>
      </w:r>
      <w:r>
        <w:rPr>
          <w:rFonts w:ascii="Arial" w:cs="Arial" w:eastAsia="Arial" w:hAnsi="Arial"/>
          <w:sz w:val="16"/>
          <w:szCs w:val="16"/>
          <w:color w:val="auto"/>
        </w:rPr>
        <w:t>”), if the Market Price (as hereinafter defined) of the [title of Preferred Stock purchasable through the exercise of the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spacing w:after="0" w:line="168" w:lineRule="exact"/>
        <w:rPr>
          <w:rFonts w:ascii="Arial" w:cs="Arial" w:eastAsia="Arial" w:hAnsi="Arial"/>
          <w:sz w:val="16"/>
          <w:szCs w:val="16"/>
          <w:b w:val="1"/>
          <w:bCs w:val="1"/>
          <w:color w:val="auto"/>
        </w:rPr>
      </w:pPr>
    </w:p>
    <w:p>
      <w:pPr>
        <w:jc w:val="both"/>
        <w:ind w:left="2" w:firstLine="1178"/>
        <w:spacing w:after="0" w:line="278" w:lineRule="auto"/>
        <w:tabs>
          <w:tab w:leader="none" w:pos="1545" w:val="left"/>
        </w:tabs>
        <w:numPr>
          <w:ilvl w:val="0"/>
          <w:numId w:val="103"/>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Market Price</w:t>
      </w:r>
      <w:r>
        <w:rPr>
          <w:rFonts w:ascii="Arial" w:cs="Arial" w:eastAsia="Arial" w:hAnsi="Arial"/>
          <w:sz w:val="15"/>
          <w:szCs w:val="15"/>
          <w:color w:val="auto"/>
        </w:rPr>
        <w:t>” for each Trading Day shall be, if the [title of Preferred Stock purchasable through the exercise of the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the exercise of the Warrants], in either case as reported on the principal registered national securities exchange on which the [title of Preferred Stock purchasable through the exercise of the Warrants] is listed or admitted to trading or, if not listed or admitted to trading on any registered national securities exchange, the average of the closing high bid and low asked prices as reported on the OTC Bulletin Board operated by Nasdaq, or if not available on the OTC Bulletin Board, then the average of the closing high bid and low asked prices as reported on any other U.S. quotation medium or inter-dealer quotation system, or if on any such date the shares of [title of Preferred Stock purchasable through the exercise of the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w:t>
      </w:r>
      <w:r>
        <w:rPr>
          <w:rFonts w:ascii="Arial" w:cs="Arial" w:eastAsia="Arial" w:hAnsi="Arial"/>
          <w:sz w:val="15"/>
          <w:szCs w:val="15"/>
          <w:b w:val="1"/>
          <w:bCs w:val="1"/>
          <w:i w:val="1"/>
          <w:iCs w:val="1"/>
          <w:color w:val="auto"/>
        </w:rPr>
        <w:t>Trading Day</w:t>
      </w:r>
      <w:r>
        <w:rPr>
          <w:rFonts w:ascii="Arial" w:cs="Arial" w:eastAsia="Arial" w:hAnsi="Arial"/>
          <w:sz w:val="15"/>
          <w:szCs w:val="15"/>
          <w:color w:val="auto"/>
        </w:rPr>
        <w:t>” shall be each Monday through Friday, other than any day on which securities are not traded in the system or on the exchange that is the principal market for the [title of Preferred Stock purchasable through the exercise of the Warrants], as determined by the Board of Directors of the Company.</w:t>
      </w:r>
    </w:p>
    <w:p>
      <w:pPr>
        <w:spacing w:after="0" w:line="162" w:lineRule="exact"/>
        <w:rPr>
          <w:rFonts w:ascii="Arial" w:cs="Arial" w:eastAsia="Arial" w:hAnsi="Arial"/>
          <w:sz w:val="15"/>
          <w:szCs w:val="15"/>
          <w:b w:val="1"/>
          <w:bCs w:val="1"/>
          <w:color w:val="auto"/>
        </w:rPr>
      </w:pPr>
    </w:p>
    <w:p>
      <w:pPr>
        <w:ind w:left="2" w:firstLine="1178"/>
        <w:spacing w:after="0" w:line="287" w:lineRule="auto"/>
        <w:tabs>
          <w:tab w:leader="none" w:pos="1542"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In the event of an acceleration of less than all of the Warrants, the Warrant Agent shall select the Warrants to be accelerated by lot, pro rata or in such other manner as it deems, in its discretion, to be fair and appropriate.</w:t>
      </w:r>
    </w:p>
    <w:p>
      <w:pPr>
        <w:spacing w:after="0" w:line="149" w:lineRule="exact"/>
        <w:rPr>
          <w:rFonts w:ascii="Arial" w:cs="Arial" w:eastAsia="Arial" w:hAnsi="Arial"/>
          <w:sz w:val="16"/>
          <w:szCs w:val="16"/>
          <w:b w:val="1"/>
          <w:bCs w:val="1"/>
          <w:color w:val="auto"/>
        </w:rPr>
      </w:pPr>
    </w:p>
    <w:p>
      <w:pPr>
        <w:jc w:val="both"/>
        <w:ind w:left="2" w:firstLine="1178"/>
        <w:spacing w:after="0" w:line="290" w:lineRule="auto"/>
        <w:tabs>
          <w:tab w:leader="none" w:pos="1595" w:val="left"/>
        </w:tabs>
        <w:numPr>
          <w:ilvl w:val="0"/>
          <w:numId w:val="103"/>
        </w:numPr>
        <w:rPr>
          <w:rFonts w:ascii="Arial" w:cs="Arial" w:eastAsia="Arial" w:hAnsi="Arial"/>
          <w:sz w:val="15"/>
          <w:szCs w:val="15"/>
          <w:b w:val="1"/>
          <w:bCs w:val="1"/>
          <w:color w:val="auto"/>
        </w:rPr>
      </w:pPr>
      <w:r>
        <w:rPr>
          <w:rFonts w:ascii="Arial" w:cs="Arial" w:eastAsia="Arial" w:hAnsi="Arial"/>
          <w:sz w:val="15"/>
          <w:szCs w:val="15"/>
          <w:color w:val="auto"/>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spacing w:after="0" w:line="149" w:lineRule="exact"/>
        <w:rPr>
          <w:rFonts w:ascii="Arial" w:cs="Arial" w:eastAsia="Arial" w:hAnsi="Arial"/>
          <w:sz w:val="15"/>
          <w:szCs w:val="15"/>
          <w:b w:val="1"/>
          <w:bCs w:val="1"/>
          <w:color w:val="auto"/>
        </w:rPr>
      </w:pPr>
    </w:p>
    <w:p>
      <w:pPr>
        <w:ind w:left="2" w:firstLine="1178"/>
        <w:spacing w:after="0" w:line="287" w:lineRule="auto"/>
        <w:tabs>
          <w:tab w:leader="none" w:pos="1555"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Any Warrant accelerated may be exercised until [●] p.m., [City] time, on the business day next preceding the Acceleration Date. The Warrant Price shall be payable as provided in Section 2.]</w:t>
      </w:r>
    </w:p>
    <w:p>
      <w:pPr>
        <w:spacing w:after="0" w:line="371" w:lineRule="exact"/>
        <w:rPr>
          <w:sz w:val="20"/>
          <w:szCs w:val="20"/>
          <w:color w:val="auto"/>
        </w:rPr>
      </w:pPr>
    </w:p>
    <w:p>
      <w:pPr>
        <w:ind w:left="3842"/>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2"/>
          </w:cols>
          <w:pgMar w:left="238" w:top="348" w:right="239" w:bottom="1440" w:gutter="0" w:footer="0" w:header="0"/>
        </w:sectPr>
      </w:pPr>
    </w:p>
    <w:bookmarkStart w:id="90" w:name="page91"/>
    <w:bookmarkEnd w:id="90"/>
    <w:p>
      <w:pPr>
        <w:ind w:left="7100"/>
        <w:spacing w:after="0"/>
        <w:rPr>
          <w:sz w:val="20"/>
          <w:szCs w:val="20"/>
          <w:color w:val="auto"/>
        </w:rPr>
      </w:pPr>
      <w:r>
        <w:rPr>
          <w:rFonts w:ascii="Arial" w:cs="Arial" w:eastAsia="Arial" w:hAnsi="Arial"/>
          <w:sz w:val="16"/>
          <w:szCs w:val="16"/>
          <w:b w:val="1"/>
          <w:bCs w:val="1"/>
          <w:color w:val="auto"/>
        </w:rPr>
        <w:t>ARTICLE 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AND TRANSFER OF WARRANT CERTIFICATES</w:t>
      </w:r>
    </w:p>
    <w:p>
      <w:pPr>
        <w:spacing w:after="0" w:line="209" w:lineRule="exact"/>
        <w:rPr>
          <w:sz w:val="20"/>
          <w:szCs w:val="20"/>
          <w:color w:val="auto"/>
        </w:rPr>
      </w:pPr>
    </w:p>
    <w:p>
      <w:pPr>
        <w:jc w:val="both"/>
        <w:ind w:firstLine="590"/>
        <w:spacing w:after="0" w:line="277" w:lineRule="auto"/>
        <w:rPr>
          <w:sz w:val="20"/>
          <w:szCs w:val="20"/>
          <w:color w:val="auto"/>
        </w:rPr>
      </w:pPr>
      <w:r>
        <w:rPr>
          <w:rFonts w:ascii="Arial" w:cs="Arial" w:eastAsia="Arial" w:hAnsi="Arial"/>
          <w:sz w:val="15"/>
          <w:szCs w:val="15"/>
          <w:b w:val="1"/>
          <w:bCs w:val="1"/>
          <w:color w:val="auto"/>
        </w:rPr>
        <w:t xml:space="preserve">4.1 Exchange And Transfer Of Warrant Certificates. </w:t>
      </w:r>
      <w:r>
        <w:rPr>
          <w:rFonts w:ascii="Arial" w:cs="Arial" w:eastAsia="Arial" w:hAnsi="Arial"/>
          <w:sz w:val="15"/>
          <w:szCs w:val="15"/>
          <w:color w:val="auto"/>
        </w:rPr>
        <w:t>Upon surrender at the corporate trust office of the Warrant Agent, Warrant Certificates evidencing</w:t>
      </w:r>
      <w:r>
        <w:rPr>
          <w:rFonts w:ascii="Arial" w:cs="Arial" w:eastAsia="Arial" w:hAnsi="Arial"/>
          <w:sz w:val="15"/>
          <w:szCs w:val="15"/>
          <w:b w:val="1"/>
          <w:bCs w:val="1"/>
          <w:color w:val="auto"/>
        </w:rPr>
        <w:t xml:space="preserve"> </w:t>
      </w:r>
      <w:r>
        <w:rPr>
          <w:rFonts w:ascii="Arial" w:cs="Arial" w:eastAsia="Arial" w:hAnsi="Arial"/>
          <w:sz w:val="15"/>
          <w:szCs w:val="15"/>
          <w:color w:val="auto"/>
        </w:rPr>
        <w:t>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3" w:lineRule="exact"/>
        <w:rPr>
          <w:sz w:val="20"/>
          <w:szCs w:val="20"/>
          <w:color w:val="auto"/>
        </w:rPr>
      </w:pPr>
    </w:p>
    <w:p>
      <w:pPr>
        <w:jc w:val="both"/>
        <w:ind w:firstLine="590"/>
        <w:spacing w:after="0" w:line="274" w:lineRule="auto"/>
        <w:rPr>
          <w:sz w:val="20"/>
          <w:szCs w:val="20"/>
          <w:color w:val="auto"/>
        </w:rPr>
      </w:pPr>
      <w:r>
        <w:rPr>
          <w:rFonts w:ascii="Arial" w:cs="Arial" w:eastAsia="Arial" w:hAnsi="Arial"/>
          <w:sz w:val="16"/>
          <w:szCs w:val="16"/>
          <w:b w:val="1"/>
          <w:bCs w:val="1"/>
          <w:color w:val="auto"/>
        </w:rPr>
        <w:t>4.2 Treatment Of Holders Of Warrant Certificates</w:t>
      </w:r>
      <w:r>
        <w:rPr>
          <w:rFonts w:ascii="Arial" w:cs="Arial" w:eastAsia="Arial" w:hAnsi="Arial"/>
          <w:sz w:val="16"/>
          <w:szCs w:val="16"/>
          <w:color w:val="auto"/>
        </w:rPr>
        <w:t>. The Company, the Warrant Agent and all other persons may treat the registered holder of a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as the absolute owner thereof for any purpose and as the person entitled to exercise the rights represented by the Warrants evidenced thereby, any notice to the contrary notwithstanding.</w:t>
      </w:r>
    </w:p>
    <w:p>
      <w:pPr>
        <w:spacing w:after="0" w:line="157" w:lineRule="exact"/>
        <w:rPr>
          <w:sz w:val="20"/>
          <w:szCs w:val="20"/>
          <w:color w:val="auto"/>
        </w:rPr>
      </w:pPr>
    </w:p>
    <w:p>
      <w:pPr>
        <w:jc w:val="both"/>
        <w:ind w:firstLine="590"/>
        <w:spacing w:after="0" w:line="265" w:lineRule="auto"/>
        <w:rPr>
          <w:sz w:val="20"/>
          <w:szCs w:val="20"/>
          <w:color w:val="auto"/>
        </w:rPr>
      </w:pPr>
      <w:r>
        <w:rPr>
          <w:rFonts w:ascii="Arial" w:cs="Arial" w:eastAsia="Arial" w:hAnsi="Arial"/>
          <w:sz w:val="16"/>
          <w:szCs w:val="16"/>
          <w:b w:val="1"/>
          <w:bCs w:val="1"/>
          <w:color w:val="auto"/>
        </w:rPr>
        <w:t>4.3 Cancellation Of Warrant Certificates</w:t>
      </w:r>
      <w:r>
        <w:rPr>
          <w:rFonts w:ascii="Arial" w:cs="Arial" w:eastAsia="Arial" w:hAnsi="Arial"/>
          <w:sz w:val="16"/>
          <w:szCs w:val="16"/>
          <w:color w:val="auto"/>
        </w:rPr>
        <w:t>. Any Warrant Certificate surrendered for exchange, registration of transfer or exercise of the Warrants evidenced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12"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ARTICLE 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CONCERNING THE WARRANT AGENT</w:t>
      </w:r>
    </w:p>
    <w:p>
      <w:pPr>
        <w:spacing w:after="0" w:line="209" w:lineRule="exact"/>
        <w:rPr>
          <w:sz w:val="20"/>
          <w:szCs w:val="20"/>
          <w:color w:val="auto"/>
        </w:rPr>
      </w:pPr>
    </w:p>
    <w:p>
      <w:pPr>
        <w:jc w:val="both"/>
        <w:ind w:firstLine="590"/>
        <w:spacing w:after="0" w:line="318" w:lineRule="auto"/>
        <w:rPr>
          <w:sz w:val="20"/>
          <w:szCs w:val="20"/>
          <w:color w:val="auto"/>
        </w:rPr>
      </w:pPr>
      <w:r>
        <w:rPr>
          <w:rFonts w:ascii="Arial" w:cs="Arial" w:eastAsia="Arial" w:hAnsi="Arial"/>
          <w:sz w:val="14"/>
          <w:szCs w:val="14"/>
          <w:b w:val="1"/>
          <w:bCs w:val="1"/>
          <w:color w:val="auto"/>
        </w:rPr>
        <w:t>5.1 Warrant Agent</w:t>
      </w:r>
      <w:r>
        <w:rPr>
          <w:rFonts w:ascii="Arial" w:cs="Arial" w:eastAsia="Arial" w:hAnsi="Arial"/>
          <w:sz w:val="14"/>
          <w:szCs w:val="14"/>
          <w:color w:val="auto"/>
        </w:rPr>
        <w:t>. The Company hereby appoints [●] as Warrant Agent of the Company in respect of the Warrants and the Warrant Certificates upon the terms</w:t>
      </w:r>
      <w:r>
        <w:rPr>
          <w:rFonts w:ascii="Arial" w:cs="Arial" w:eastAsia="Arial" w:hAnsi="Arial"/>
          <w:sz w:val="14"/>
          <w:szCs w:val="14"/>
          <w:b w:val="1"/>
          <w:bCs w:val="1"/>
          <w:color w:val="auto"/>
        </w:rPr>
        <w:t xml:space="preserve"> </w:t>
      </w:r>
      <w:r>
        <w:rPr>
          <w:rFonts w:ascii="Arial" w:cs="Arial" w:eastAsia="Arial" w:hAnsi="Arial"/>
          <w:sz w:val="14"/>
          <w:szCs w:val="14"/>
          <w:color w:val="auto"/>
        </w:rPr>
        <w:t>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30" w:lineRule="exact"/>
        <w:rPr>
          <w:sz w:val="20"/>
          <w:szCs w:val="20"/>
          <w:color w:val="auto"/>
        </w:rPr>
      </w:pPr>
    </w:p>
    <w:p>
      <w:pPr>
        <w:jc w:val="both"/>
        <w:ind w:firstLine="590"/>
        <w:spacing w:after="0" w:line="328" w:lineRule="auto"/>
        <w:rPr>
          <w:sz w:val="20"/>
          <w:szCs w:val="20"/>
          <w:color w:val="auto"/>
        </w:rPr>
      </w:pPr>
      <w:r>
        <w:rPr>
          <w:rFonts w:ascii="Arial" w:cs="Arial" w:eastAsia="Arial" w:hAnsi="Arial"/>
          <w:sz w:val="15"/>
          <w:szCs w:val="15"/>
          <w:b w:val="1"/>
          <w:bCs w:val="1"/>
          <w:color w:val="auto"/>
        </w:rPr>
        <w:t>5.2 Conditions Of Warrant Agent’s Obligations</w:t>
      </w:r>
      <w:r>
        <w:rPr>
          <w:rFonts w:ascii="Arial" w:cs="Arial" w:eastAsia="Arial" w:hAnsi="Arial"/>
          <w:sz w:val="15"/>
          <w:szCs w:val="15"/>
          <w:color w:val="auto"/>
        </w:rPr>
        <w:t>. The Warrant Agent accepts its obligations herein set forth upon the terms and conditions hereof, including the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to all of which the Company agrees and to all of which the rights hereunder of the holders from time to time of the Warrant Certificates shall be subject:</w:t>
      </w:r>
    </w:p>
    <w:p>
      <w:pPr>
        <w:spacing w:after="0" w:line="119" w:lineRule="exact"/>
        <w:rPr>
          <w:sz w:val="20"/>
          <w:szCs w:val="20"/>
          <w:color w:val="auto"/>
        </w:rPr>
      </w:pPr>
    </w:p>
    <w:p>
      <w:pPr>
        <w:jc w:val="both"/>
        <w:ind w:firstLine="1178"/>
        <w:spacing w:after="0" w:line="263" w:lineRule="auto"/>
        <w:tabs>
          <w:tab w:leader="none" w:pos="1633"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And Indemnification</w:t>
      </w:r>
      <w:r>
        <w:rPr>
          <w:rFonts w:ascii="Arial" w:cs="Arial" w:eastAsia="Arial" w:hAnsi="Arial"/>
          <w:sz w:val="16"/>
          <w:szCs w:val="16"/>
          <w:color w:val="auto"/>
        </w:rPr>
        <w:t>. The Company agrees promptly to pay the Warrant Agent the compensation to be agreed upon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66" w:lineRule="exact"/>
        <w:rPr>
          <w:rFonts w:ascii="Arial" w:cs="Arial" w:eastAsia="Arial" w:hAnsi="Arial"/>
          <w:sz w:val="16"/>
          <w:szCs w:val="16"/>
          <w:b w:val="1"/>
          <w:bCs w:val="1"/>
          <w:color w:val="auto"/>
        </w:rPr>
      </w:pPr>
    </w:p>
    <w:p>
      <w:pPr>
        <w:jc w:val="both"/>
        <w:ind w:firstLine="1178"/>
        <w:spacing w:after="0" w:line="274" w:lineRule="auto"/>
        <w:tabs>
          <w:tab w:leader="none" w:pos="1544"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Agent For The Company</w:t>
      </w:r>
      <w:r>
        <w:rPr>
          <w:rFonts w:ascii="Arial" w:cs="Arial" w:eastAsia="Arial" w:hAnsi="Arial"/>
          <w:sz w:val="16"/>
          <w:szCs w:val="16"/>
          <w:color w:val="auto"/>
        </w:rPr>
        <w:t>. In acting under this Warrant Agreement and in connection with the Warrant Certificates, the Warrant Agent is acting solely</w:t>
      </w:r>
      <w:r>
        <w:rPr>
          <w:rFonts w:ascii="Arial" w:cs="Arial" w:eastAsia="Arial" w:hAnsi="Arial"/>
          <w:sz w:val="16"/>
          <w:szCs w:val="16"/>
          <w:b w:val="1"/>
          <w:bCs w:val="1"/>
          <w:color w:val="auto"/>
        </w:rPr>
        <w:t xml:space="preserve"> </w:t>
      </w:r>
      <w:r>
        <w:rPr>
          <w:rFonts w:ascii="Arial" w:cs="Arial" w:eastAsia="Arial" w:hAnsi="Arial"/>
          <w:sz w:val="16"/>
          <w:szCs w:val="16"/>
          <w:color w:val="auto"/>
        </w:rPr>
        <w:t>as agent of the Company and does not assume any obligations or relationship of agency or trust for or with any of the holders of Warrant Certificates or beneficial owners of Warrants.</w:t>
      </w:r>
    </w:p>
    <w:p>
      <w:pPr>
        <w:spacing w:after="0" w:line="38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492" w:right="239" w:bottom="1440" w:gutter="0" w:footer="0" w:header="0"/>
        </w:sectPr>
      </w:pPr>
    </w:p>
    <w:bookmarkStart w:id="91" w:name="page92"/>
    <w:bookmarkEnd w:id="91"/>
    <w:p>
      <w:pPr>
        <w:jc w:val="both"/>
        <w:ind w:left="-580" w:firstLine="1178"/>
        <w:spacing w:after="0" w:line="274" w:lineRule="auto"/>
        <w:tabs>
          <w:tab w:leader="none" w:pos="958"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Counsel</w:t>
      </w:r>
      <w:r>
        <w:rPr>
          <w:rFonts w:ascii="Arial" w:cs="Arial" w:eastAsia="Arial" w:hAnsi="Arial"/>
          <w:sz w:val="16"/>
          <w:szCs w:val="16"/>
          <w:color w:val="auto"/>
        </w:rPr>
        <w:t>. The Warrant Agent may consult with counsel satisfactory to it, which may include counsel for the Company, and the written advice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counsel shall be full and complete authorization and protection in respect of any action taken, suffered or omitted by it hereunder in good faith and in accordance with the advice of such counsel.</w:t>
      </w:r>
    </w:p>
    <w:p>
      <w:pPr>
        <w:spacing w:after="0" w:line="156" w:lineRule="exact"/>
        <w:rPr>
          <w:rFonts w:ascii="Arial" w:cs="Arial" w:eastAsia="Arial" w:hAnsi="Arial"/>
          <w:sz w:val="16"/>
          <w:szCs w:val="16"/>
          <w:b w:val="1"/>
          <w:bCs w:val="1"/>
          <w:color w:val="auto"/>
        </w:rPr>
      </w:pPr>
    </w:p>
    <w:p>
      <w:pPr>
        <w:jc w:val="both"/>
        <w:ind w:left="-580" w:firstLine="1178"/>
        <w:spacing w:after="0" w:line="274" w:lineRule="auto"/>
        <w:tabs>
          <w:tab w:leader="none" w:pos="964"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Documents</w:t>
      </w:r>
      <w:r>
        <w:rPr>
          <w:rFonts w:ascii="Arial" w:cs="Arial" w:eastAsia="Arial" w:hAnsi="Arial"/>
          <w:sz w:val="16"/>
          <w:szCs w:val="16"/>
          <w:color w:val="auto"/>
        </w:rPr>
        <w:t>. The Warrant Agent shall be protected and shall incur no liability for or in respect of any action taken or omitted by it in reliance upon any</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Certificate, notice, direction, consent, certificate, affidavit, statement or other paper or document reasonably believed by it to be genuine and to have been presented or signed by the proper parties.</w:t>
      </w:r>
    </w:p>
    <w:p>
      <w:pPr>
        <w:spacing w:after="0" w:line="156" w:lineRule="exact"/>
        <w:rPr>
          <w:rFonts w:ascii="Arial" w:cs="Arial" w:eastAsia="Arial" w:hAnsi="Arial"/>
          <w:sz w:val="16"/>
          <w:szCs w:val="16"/>
          <w:b w:val="1"/>
          <w:bCs w:val="1"/>
          <w:color w:val="auto"/>
        </w:rPr>
      </w:pPr>
    </w:p>
    <w:p>
      <w:pPr>
        <w:jc w:val="both"/>
        <w:ind w:left="-580" w:firstLine="1178"/>
        <w:spacing w:after="0" w:line="265" w:lineRule="auto"/>
        <w:tabs>
          <w:tab w:leader="none" w:pos="97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Certain Transactions</w:t>
      </w:r>
      <w:r>
        <w:rPr>
          <w:rFonts w:ascii="Arial" w:cs="Arial" w:eastAsia="Arial" w:hAnsi="Arial"/>
          <w:sz w:val="16"/>
          <w:szCs w:val="16"/>
          <w:color w:val="auto"/>
        </w:rPr>
        <w:t>. The Warrant Agent, and its officers, directors and employees, may become the owner of, or acquire any interest in, Warrants,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Warrant Agreement shall be deemed to prevent the Warrant Agent from acting as trustee under any indenture to which the Company is a party.</w:t>
      </w:r>
    </w:p>
    <w:p>
      <w:pPr>
        <w:spacing w:after="0" w:line="164" w:lineRule="exact"/>
        <w:rPr>
          <w:rFonts w:ascii="Arial" w:cs="Arial" w:eastAsia="Arial" w:hAnsi="Arial"/>
          <w:sz w:val="16"/>
          <w:szCs w:val="16"/>
          <w:b w:val="1"/>
          <w:bCs w:val="1"/>
          <w:color w:val="auto"/>
        </w:rPr>
      </w:pPr>
    </w:p>
    <w:p>
      <w:pPr>
        <w:ind w:left="-580" w:firstLine="1178"/>
        <w:spacing w:after="0" w:line="293" w:lineRule="auto"/>
        <w:tabs>
          <w:tab w:leader="none" w:pos="927"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No Liability For Interest</w:t>
      </w:r>
      <w:r>
        <w:rPr>
          <w:rFonts w:ascii="Arial" w:cs="Arial" w:eastAsia="Arial" w:hAnsi="Arial"/>
          <w:sz w:val="16"/>
          <w:szCs w:val="16"/>
          <w:color w:val="auto"/>
        </w:rPr>
        <w:t>. Unless otherwise agreed with the Company, the Warrant Agent shall have no liability for interest on any monies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by it pursuant to any of the provisions of this Agreement or of the Warrant Certificates.</w:t>
      </w:r>
    </w:p>
    <w:p>
      <w:pPr>
        <w:spacing w:after="0" w:line="140" w:lineRule="exact"/>
        <w:rPr>
          <w:rFonts w:ascii="Arial" w:cs="Arial" w:eastAsia="Arial" w:hAnsi="Arial"/>
          <w:sz w:val="16"/>
          <w:szCs w:val="16"/>
          <w:b w:val="1"/>
          <w:bCs w:val="1"/>
          <w:color w:val="auto"/>
        </w:rPr>
      </w:pPr>
    </w:p>
    <w:p>
      <w:pPr>
        <w:ind w:left="-580" w:firstLine="1178"/>
        <w:spacing w:after="0" w:line="293" w:lineRule="auto"/>
        <w:tabs>
          <w:tab w:leader="none" w:pos="1041"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No Liability For Invalidity</w:t>
      </w:r>
      <w:r>
        <w:rPr>
          <w:rFonts w:ascii="Arial" w:cs="Arial" w:eastAsia="Arial" w:hAnsi="Arial"/>
          <w:sz w:val="16"/>
          <w:szCs w:val="16"/>
          <w:color w:val="auto"/>
        </w:rPr>
        <w:t>. The Warrant Agent shall have no liability with respect to any invalidity of this Agreement or any of the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(except as to the Warrant Agent’s countersignature thereon).</w:t>
      </w:r>
    </w:p>
    <w:p>
      <w:pPr>
        <w:spacing w:after="0" w:line="140" w:lineRule="exact"/>
        <w:rPr>
          <w:rFonts w:ascii="Arial" w:cs="Arial" w:eastAsia="Arial" w:hAnsi="Arial"/>
          <w:sz w:val="16"/>
          <w:szCs w:val="16"/>
          <w:b w:val="1"/>
          <w:bCs w:val="1"/>
          <w:color w:val="auto"/>
        </w:rPr>
      </w:pPr>
    </w:p>
    <w:p>
      <w:pPr>
        <w:ind w:left="-580" w:firstLine="1178"/>
        <w:spacing w:after="0" w:line="293" w:lineRule="auto"/>
        <w:tabs>
          <w:tab w:leader="none" w:pos="964"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No Responsibility For Representations</w:t>
      </w:r>
      <w:r>
        <w:rPr>
          <w:rFonts w:ascii="Arial" w:cs="Arial" w:eastAsia="Arial" w:hAnsi="Arial"/>
          <w:sz w:val="16"/>
          <w:szCs w:val="16"/>
          <w:color w:val="auto"/>
        </w:rPr>
        <w:t>. The Warrant Agent shall not be responsible for any of the recitals or representations herein or in the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(except as to the Warrant Agent’s countersignature thereon), all of which are made solely by the Company.</w:t>
      </w:r>
    </w:p>
    <w:p>
      <w:pPr>
        <w:spacing w:after="0" w:line="140" w:lineRule="exact"/>
        <w:rPr>
          <w:rFonts w:ascii="Arial" w:cs="Arial" w:eastAsia="Arial" w:hAnsi="Arial"/>
          <w:sz w:val="16"/>
          <w:szCs w:val="16"/>
          <w:b w:val="1"/>
          <w:bCs w:val="1"/>
          <w:color w:val="auto"/>
        </w:rPr>
      </w:pPr>
    </w:p>
    <w:p>
      <w:pPr>
        <w:jc w:val="both"/>
        <w:ind w:left="-580" w:firstLine="1178"/>
        <w:spacing w:after="0" w:line="261" w:lineRule="auto"/>
        <w:tabs>
          <w:tab w:leader="none" w:pos="943"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No Implied Obligations</w:t>
      </w:r>
      <w:r>
        <w:rPr>
          <w:rFonts w:ascii="Arial" w:cs="Arial" w:eastAsia="Arial" w:hAnsi="Arial"/>
          <w:sz w:val="16"/>
          <w:szCs w:val="16"/>
          <w:color w:val="auto"/>
        </w:rPr>
        <w:t>. The Warrant Agent shall be obligated to perform only such duties as are herein and in the Warrant Certificates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4"/>
          <w:szCs w:val="14"/>
          <w:b w:val="1"/>
          <w:bCs w:val="1"/>
          <w:color w:val="auto"/>
        </w:rPr>
        <w:t>Resignation, Removal And Appointment Of Successors.</w:t>
      </w:r>
    </w:p>
    <w:p>
      <w:pPr>
        <w:spacing w:after="0" w:line="213" w:lineRule="exact"/>
        <w:rPr>
          <w:sz w:val="20"/>
          <w:szCs w:val="20"/>
          <w:color w:val="auto"/>
        </w:rPr>
      </w:pPr>
    </w:p>
    <w:p>
      <w:pPr>
        <w:ind w:left="-580" w:firstLine="1178"/>
        <w:spacing w:after="0" w:line="287" w:lineRule="auto"/>
        <w:tabs>
          <w:tab w:leader="none" w:pos="1012" w:val="left"/>
        </w:tabs>
        <w:numPr>
          <w:ilvl w:val="0"/>
          <w:numId w:val="106"/>
        </w:numPr>
        <w:rPr>
          <w:rFonts w:ascii="Arial" w:cs="Arial" w:eastAsia="Arial" w:hAnsi="Arial"/>
          <w:sz w:val="16"/>
          <w:szCs w:val="16"/>
          <w:b w:val="1"/>
          <w:bCs w:val="1"/>
          <w:color w:val="auto"/>
        </w:rPr>
      </w:pPr>
      <w:r>
        <w:rPr>
          <w:rFonts w:ascii="Arial" w:cs="Arial" w:eastAsia="Arial" w:hAnsi="Arial"/>
          <w:sz w:val="16"/>
          <w:szCs w:val="16"/>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49" w:lineRule="exact"/>
        <w:rPr>
          <w:rFonts w:ascii="Arial" w:cs="Arial" w:eastAsia="Arial" w:hAnsi="Arial"/>
          <w:sz w:val="16"/>
          <w:szCs w:val="16"/>
          <w:b w:val="1"/>
          <w:bCs w:val="1"/>
          <w:color w:val="auto"/>
        </w:rPr>
      </w:pPr>
    </w:p>
    <w:p>
      <w:pPr>
        <w:jc w:val="both"/>
        <w:ind w:left="-580" w:firstLine="1178"/>
        <w:spacing w:after="0" w:line="261" w:lineRule="auto"/>
        <w:tabs>
          <w:tab w:leader="none" w:pos="963" w:val="left"/>
        </w:tabs>
        <w:numPr>
          <w:ilvl w:val="0"/>
          <w:numId w:val="106"/>
        </w:numPr>
        <w:rPr>
          <w:rFonts w:ascii="Arial" w:cs="Arial" w:eastAsia="Arial" w:hAnsi="Arial"/>
          <w:sz w:val="16"/>
          <w:szCs w:val="16"/>
          <w:b w:val="1"/>
          <w:bCs w:val="1"/>
          <w:color w:val="auto"/>
        </w:rPr>
      </w:pPr>
      <w:r>
        <w:rPr>
          <w:rFonts w:ascii="Arial" w:cs="Arial" w:eastAsia="Arial" w:hAnsi="Arial"/>
          <w:sz w:val="16"/>
          <w:szCs w:val="16"/>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2" w:lineRule="exact"/>
        <w:rPr>
          <w:rFonts w:ascii="Arial" w:cs="Arial" w:eastAsia="Arial" w:hAnsi="Arial"/>
          <w:sz w:val="16"/>
          <w:szCs w:val="16"/>
          <w:b w:val="1"/>
          <w:bCs w:val="1"/>
          <w:color w:val="auto"/>
        </w:rPr>
      </w:pPr>
    </w:p>
    <w:p>
      <w:pPr>
        <w:jc w:val="both"/>
        <w:ind w:left="-580" w:firstLine="1178"/>
        <w:spacing w:after="0" w:line="272" w:lineRule="auto"/>
        <w:tabs>
          <w:tab w:leader="none" w:pos="1016" w:val="left"/>
        </w:tabs>
        <w:numPr>
          <w:ilvl w:val="0"/>
          <w:numId w:val="106"/>
        </w:numPr>
        <w:rPr>
          <w:rFonts w:ascii="Arial" w:cs="Arial" w:eastAsia="Arial" w:hAnsi="Arial"/>
          <w:sz w:val="16"/>
          <w:szCs w:val="16"/>
          <w:b w:val="1"/>
          <w:bCs w:val="1"/>
          <w:color w:val="auto"/>
        </w:rPr>
      </w:pPr>
      <w:r>
        <w:rPr>
          <w:rFonts w:ascii="Arial" w:cs="Arial" w:eastAsia="Arial" w:hAnsi="Arial"/>
          <w:sz w:val="16"/>
          <w:szCs w:val="16"/>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w:t>
      </w:r>
    </w:p>
    <w:p>
      <w:pPr>
        <w:spacing w:after="0" w:line="382" w:lineRule="exact"/>
        <w:rPr>
          <w:sz w:val="20"/>
          <w:szCs w:val="20"/>
          <w:color w:val="auto"/>
        </w:rPr>
      </w:pPr>
    </w:p>
    <w:p>
      <w:pPr>
        <w:ind w:left="326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840"/>
          </w:cols>
          <w:pgMar w:left="820" w:top="344" w:right="239" w:bottom="1440" w:gutter="0" w:footer="0" w:header="0"/>
        </w:sectPr>
      </w:pPr>
    </w:p>
    <w:bookmarkStart w:id="92" w:name="page93"/>
    <w:bookmarkEnd w:id="92"/>
    <w:p>
      <w:pPr>
        <w:jc w:val="both"/>
        <w:spacing w:after="0" w:line="260" w:lineRule="auto"/>
        <w:rPr>
          <w:sz w:val="20"/>
          <w:szCs w:val="20"/>
          <w:color w:val="auto"/>
        </w:rPr>
      </w:pPr>
      <w:r>
        <w:rPr>
          <w:rFonts w:ascii="Arial" w:cs="Arial" w:eastAsia="Arial" w:hAnsi="Arial"/>
          <w:sz w:val="16"/>
          <w:szCs w:val="16"/>
          <w:color w:val="auto"/>
        </w:rPr>
        <w:t>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73" w:lineRule="exact"/>
        <w:rPr>
          <w:sz w:val="20"/>
          <w:szCs w:val="20"/>
          <w:color w:val="auto"/>
        </w:rPr>
      </w:pPr>
    </w:p>
    <w:p>
      <w:pPr>
        <w:jc w:val="both"/>
        <w:ind w:firstLine="1178"/>
        <w:spacing w:after="0" w:line="286" w:lineRule="auto"/>
        <w:tabs>
          <w:tab w:leader="none" w:pos="1614" w:val="left"/>
        </w:tabs>
        <w:numPr>
          <w:ilvl w:val="0"/>
          <w:numId w:val="107"/>
        </w:numPr>
        <w:rPr>
          <w:rFonts w:ascii="Arial" w:cs="Arial" w:eastAsia="Arial" w:hAnsi="Arial"/>
          <w:sz w:val="15"/>
          <w:szCs w:val="15"/>
          <w:b w:val="1"/>
          <w:bCs w:val="1"/>
          <w:color w:val="auto"/>
        </w:rPr>
      </w:pPr>
      <w:r>
        <w:rPr>
          <w:rFonts w:ascii="Arial" w:cs="Arial" w:eastAsia="Arial" w:hAnsi="Arial"/>
          <w:sz w:val="15"/>
          <w:szCs w:val="15"/>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52" w:lineRule="exact"/>
        <w:rPr>
          <w:rFonts w:ascii="Arial" w:cs="Arial" w:eastAsia="Arial" w:hAnsi="Arial"/>
          <w:sz w:val="15"/>
          <w:szCs w:val="15"/>
          <w:b w:val="1"/>
          <w:bCs w:val="1"/>
          <w:color w:val="auto"/>
        </w:rPr>
      </w:pPr>
    </w:p>
    <w:p>
      <w:pPr>
        <w:jc w:val="both"/>
        <w:ind w:firstLine="1178"/>
        <w:spacing w:after="0" w:line="290" w:lineRule="auto"/>
        <w:tabs>
          <w:tab w:leader="none" w:pos="1586" w:val="left"/>
        </w:tabs>
        <w:numPr>
          <w:ilvl w:val="0"/>
          <w:numId w:val="107"/>
        </w:numPr>
        <w:rPr>
          <w:rFonts w:ascii="Arial" w:cs="Arial" w:eastAsia="Arial" w:hAnsi="Arial"/>
          <w:sz w:val="15"/>
          <w:szCs w:val="15"/>
          <w:b w:val="1"/>
          <w:bCs w:val="1"/>
          <w:color w:val="auto"/>
        </w:rPr>
      </w:pPr>
      <w:r>
        <w:rPr>
          <w:rFonts w:ascii="Arial" w:cs="Arial" w:eastAsia="Arial" w:hAnsi="Arial"/>
          <w:sz w:val="15"/>
          <w:szCs w:val="15"/>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293"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ARTICLE 6</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20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6"/>
          <w:szCs w:val="16"/>
          <w:b w:val="1"/>
          <w:bCs w:val="1"/>
          <w:color w:val="auto"/>
        </w:rPr>
        <w:t>6.1 Amendment</w:t>
      </w:r>
      <w:r>
        <w:rPr>
          <w:rFonts w:ascii="Arial" w:cs="Arial" w:eastAsia="Arial" w:hAnsi="Arial"/>
          <w:sz w:val="16"/>
          <w:szCs w:val="16"/>
          <w:color w:val="auto"/>
        </w:rPr>
        <w:t>. This Agreement may be amended by the parties hereto, without the consent of the holder of any Warrant Certificate, for the purpose of curing</w:t>
      </w:r>
      <w:r>
        <w:rPr>
          <w:rFonts w:ascii="Arial" w:cs="Arial" w:eastAsia="Arial" w:hAnsi="Arial"/>
          <w:sz w:val="16"/>
          <w:szCs w:val="16"/>
          <w:b w:val="1"/>
          <w:bCs w:val="1"/>
          <w:color w:val="auto"/>
        </w:rPr>
        <w:t xml:space="preserve"> </w:t>
      </w:r>
      <w:r>
        <w:rPr>
          <w:rFonts w:ascii="Arial" w:cs="Arial" w:eastAsia="Arial" w:hAnsi="Arial"/>
          <w:sz w:val="16"/>
          <w:szCs w:val="16"/>
          <w:color w:val="auto"/>
        </w:rPr>
        <w:t>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2" w:lineRule="exact"/>
        <w:rPr>
          <w:sz w:val="20"/>
          <w:szCs w:val="20"/>
          <w:color w:val="auto"/>
        </w:rPr>
      </w:pPr>
    </w:p>
    <w:p>
      <w:pPr>
        <w:jc w:val="both"/>
        <w:ind w:firstLine="590"/>
        <w:spacing w:after="0" w:line="328" w:lineRule="auto"/>
        <w:rPr>
          <w:sz w:val="20"/>
          <w:szCs w:val="20"/>
          <w:color w:val="auto"/>
        </w:rPr>
      </w:pPr>
      <w:r>
        <w:rPr>
          <w:rFonts w:ascii="Arial" w:cs="Arial" w:eastAsia="Arial" w:hAnsi="Arial"/>
          <w:sz w:val="15"/>
          <w:szCs w:val="15"/>
          <w:b w:val="1"/>
          <w:bCs w:val="1"/>
          <w:color w:val="auto"/>
        </w:rPr>
        <w:t>6.2 Notices And Demands To The Company And Warrant Agent</w:t>
      </w:r>
      <w:r>
        <w:rPr>
          <w:rFonts w:ascii="Arial" w:cs="Arial" w:eastAsia="Arial" w:hAnsi="Arial"/>
          <w:sz w:val="15"/>
          <w:szCs w:val="15"/>
          <w:color w:val="auto"/>
        </w:rPr>
        <w:t>. If the Warrant Agent shall receive any notice or demand addressed to the Company by the</w:t>
      </w:r>
      <w:r>
        <w:rPr>
          <w:rFonts w:ascii="Arial" w:cs="Arial" w:eastAsia="Arial" w:hAnsi="Arial"/>
          <w:sz w:val="15"/>
          <w:szCs w:val="15"/>
          <w:b w:val="1"/>
          <w:bCs w:val="1"/>
          <w:color w:val="auto"/>
        </w:rPr>
        <w:t xml:space="preserve"> </w:t>
      </w:r>
      <w:r>
        <w:rPr>
          <w:rFonts w:ascii="Arial" w:cs="Arial" w:eastAsia="Arial" w:hAnsi="Arial"/>
          <w:sz w:val="15"/>
          <w:szCs w:val="15"/>
          <w:color w:val="auto"/>
        </w:rPr>
        <w:t>holder of a Warrant Certificate pursuant to the provisions of the Warrant Certificates, the Warrant Agent shall promptly forward such notice or demand to the Company.</w:t>
      </w:r>
    </w:p>
    <w:p>
      <w:pPr>
        <w:spacing w:after="0" w:line="119" w:lineRule="exact"/>
        <w:rPr>
          <w:sz w:val="20"/>
          <w:szCs w:val="20"/>
          <w:color w:val="auto"/>
        </w:rPr>
      </w:pPr>
    </w:p>
    <w:p>
      <w:pPr>
        <w:jc w:val="both"/>
        <w:ind w:firstLine="590"/>
        <w:spacing w:after="0" w:line="274" w:lineRule="auto"/>
        <w:rPr>
          <w:sz w:val="20"/>
          <w:szCs w:val="20"/>
          <w:color w:val="auto"/>
        </w:rPr>
      </w:pPr>
      <w:r>
        <w:rPr>
          <w:rFonts w:ascii="Arial" w:cs="Arial" w:eastAsia="Arial" w:hAnsi="Arial"/>
          <w:sz w:val="16"/>
          <w:szCs w:val="16"/>
          <w:b w:val="1"/>
          <w:bCs w:val="1"/>
          <w:color w:val="auto"/>
        </w:rPr>
        <w:t>6.3 Addresses</w:t>
      </w:r>
      <w:r>
        <w:rPr>
          <w:rFonts w:ascii="Arial" w:cs="Arial" w:eastAsia="Arial" w:hAnsi="Arial"/>
          <w:sz w:val="16"/>
          <w:szCs w:val="16"/>
          <w:color w:val="auto"/>
        </w:rPr>
        <w:t>. Any communication from the Company to the Warrant Agent with respect to this Agreement shall be addressed to [●], Attention: [●]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from the Warrant Agent to the Company with respect to this Agreement shall be addressed to SI-BONE, Inc., 471 El Camino Real, Santa Clara, CA 95050, Attention: [●] (or such other address as shall be specified in writing by the Warrant Agent or by the Company).</w:t>
      </w:r>
    </w:p>
    <w:p>
      <w:pPr>
        <w:spacing w:after="0" w:line="157"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6.4 Governing Law</w:t>
      </w:r>
      <w:r>
        <w:rPr>
          <w:rFonts w:ascii="Arial" w:cs="Arial" w:eastAsia="Arial" w:hAnsi="Arial"/>
          <w:sz w:val="16"/>
          <w:szCs w:val="16"/>
          <w:color w:val="auto"/>
        </w:rPr>
        <w:t>. This Agreement and each Warrant Certificate issued hereunder shall be governed by and construed in accordance with the laws of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New York.</w:t>
      </w:r>
    </w:p>
    <w:p>
      <w:pPr>
        <w:spacing w:after="0" w:line="141" w:lineRule="exact"/>
        <w:rPr>
          <w:sz w:val="20"/>
          <w:szCs w:val="20"/>
          <w:color w:val="auto"/>
        </w:rPr>
      </w:pPr>
    </w:p>
    <w:p>
      <w:pPr>
        <w:jc w:val="both"/>
        <w:ind w:firstLine="590"/>
        <w:spacing w:after="0" w:line="265" w:lineRule="auto"/>
        <w:rPr>
          <w:sz w:val="20"/>
          <w:szCs w:val="20"/>
          <w:color w:val="auto"/>
        </w:rPr>
      </w:pPr>
      <w:r>
        <w:rPr>
          <w:rFonts w:ascii="Arial" w:cs="Arial" w:eastAsia="Arial" w:hAnsi="Arial"/>
          <w:sz w:val="16"/>
          <w:szCs w:val="16"/>
          <w:b w:val="1"/>
          <w:bCs w:val="1"/>
          <w:color w:val="auto"/>
        </w:rPr>
        <w:t>6.5 Delivery Of Prospectus</w:t>
      </w:r>
      <w:r>
        <w:rPr>
          <w:rFonts w:ascii="Arial" w:cs="Arial" w:eastAsia="Arial" w:hAnsi="Arial"/>
          <w:sz w:val="16"/>
          <w:szCs w:val="16"/>
          <w:color w:val="auto"/>
        </w:rPr>
        <w:t>. The Company shall furnish to the Warrant Agent sufficient copies of a prospectus meeting the requirements of the Securities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1933, as amended, relating to the Warrant Securities deliverable upon exercise of the Warrants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spacing w:after="0" w:line="164"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6"/>
          <w:szCs w:val="16"/>
          <w:b w:val="1"/>
          <w:bCs w:val="1"/>
          <w:color w:val="auto"/>
        </w:rPr>
        <w:t>6.6 Obtaining Of Governmental Approvals</w:t>
      </w:r>
      <w:r>
        <w:rPr>
          <w:rFonts w:ascii="Arial" w:cs="Arial" w:eastAsia="Arial" w:hAnsi="Arial"/>
          <w:sz w:val="16"/>
          <w:szCs w:val="16"/>
          <w:color w:val="auto"/>
        </w:rPr>
        <w:t>. The Company will from time to time take all action which may be necessary to obtain and keep effective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w:t>
      </w:r>
    </w:p>
    <w:p>
      <w:pPr>
        <w:spacing w:after="0" w:line="387"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48" w:right="239" w:bottom="1440" w:gutter="0" w:footer="0" w:header="0"/>
        </w:sectPr>
      </w:pPr>
    </w:p>
    <w:bookmarkStart w:id="93" w:name="page94"/>
    <w:bookmarkEnd w:id="93"/>
    <w:p>
      <w:pPr>
        <w:spacing w:after="0" w:line="287" w:lineRule="auto"/>
        <w:rPr>
          <w:sz w:val="20"/>
          <w:szCs w:val="20"/>
          <w:color w:val="auto"/>
        </w:rPr>
      </w:pPr>
      <w:r>
        <w:rPr>
          <w:rFonts w:ascii="Arial" w:cs="Arial" w:eastAsia="Arial" w:hAnsi="Arial"/>
          <w:sz w:val="16"/>
          <w:szCs w:val="16"/>
          <w:color w:val="auto"/>
        </w:rPr>
        <w:t>and delivery of the Warrant Securities issued upon exercise of the Warrants, the issuance, sale, transfer and delivery of the Warrants or upon the expiration of the period during which the Warrants are exercisable.</w:t>
      </w:r>
    </w:p>
    <w:p>
      <w:pPr>
        <w:spacing w:after="0" w:line="146" w:lineRule="exact"/>
        <w:rPr>
          <w:sz w:val="20"/>
          <w:szCs w:val="20"/>
          <w:color w:val="auto"/>
        </w:rPr>
      </w:pPr>
    </w:p>
    <w:p>
      <w:pPr>
        <w:ind w:firstLine="590"/>
        <w:spacing w:after="0" w:line="293" w:lineRule="auto"/>
        <w:rPr>
          <w:sz w:val="20"/>
          <w:szCs w:val="20"/>
          <w:color w:val="auto"/>
        </w:rPr>
      </w:pPr>
      <w:r>
        <w:rPr>
          <w:rFonts w:ascii="Arial" w:cs="Arial" w:eastAsia="Arial" w:hAnsi="Arial"/>
          <w:sz w:val="16"/>
          <w:szCs w:val="16"/>
          <w:b w:val="1"/>
          <w:bCs w:val="1"/>
          <w:color w:val="auto"/>
        </w:rPr>
        <w:t>6.7 Persons Having Rights Under Warrant Agreement</w:t>
      </w:r>
      <w:r>
        <w:rPr>
          <w:rFonts w:ascii="Arial" w:cs="Arial" w:eastAsia="Arial" w:hAnsi="Arial"/>
          <w:sz w:val="16"/>
          <w:szCs w:val="16"/>
          <w:color w:val="auto"/>
        </w:rPr>
        <w:t>. Nothing in this Agreement shall give to any person other than the Company, the Warrant Agent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the Warrant Certificates any right, remedy or claim under or by reason of this Agreement.</w:t>
      </w:r>
    </w:p>
    <w:p>
      <w:pPr>
        <w:spacing w:after="0" w:line="141" w:lineRule="exact"/>
        <w:rPr>
          <w:sz w:val="20"/>
          <w:szCs w:val="20"/>
          <w:color w:val="auto"/>
        </w:rPr>
      </w:pPr>
    </w:p>
    <w:p>
      <w:pPr>
        <w:ind w:firstLine="590"/>
        <w:spacing w:after="0" w:line="293" w:lineRule="auto"/>
        <w:rPr>
          <w:sz w:val="20"/>
          <w:szCs w:val="20"/>
          <w:color w:val="auto"/>
        </w:rPr>
      </w:pPr>
      <w:r>
        <w:rPr>
          <w:rFonts w:ascii="Arial" w:cs="Arial" w:eastAsia="Arial" w:hAnsi="Arial"/>
          <w:sz w:val="16"/>
          <w:szCs w:val="16"/>
          <w:b w:val="1"/>
          <w:bCs w:val="1"/>
          <w:color w:val="auto"/>
        </w:rPr>
        <w:t>6.8 Headings</w:t>
      </w:r>
      <w:r>
        <w:rPr>
          <w:rFonts w:ascii="Arial" w:cs="Arial" w:eastAsia="Arial" w:hAnsi="Arial"/>
          <w:sz w:val="16"/>
          <w:szCs w:val="16"/>
          <w:color w:val="auto"/>
        </w:rPr>
        <w:t>. The descriptive headings of the several Articles and Sections of this Agreement are inserted for convenience only and shall not control or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meaning or construction of any of the provisions hereof.</w:t>
      </w:r>
    </w:p>
    <w:p>
      <w:pPr>
        <w:spacing w:after="0" w:line="141" w:lineRule="exact"/>
        <w:rPr>
          <w:sz w:val="20"/>
          <w:szCs w:val="20"/>
          <w:color w:val="auto"/>
        </w:rPr>
      </w:pPr>
    </w:p>
    <w:p>
      <w:pPr>
        <w:ind w:firstLine="590"/>
        <w:spacing w:after="0" w:line="293" w:lineRule="auto"/>
        <w:rPr>
          <w:sz w:val="20"/>
          <w:szCs w:val="20"/>
          <w:color w:val="auto"/>
        </w:rPr>
      </w:pPr>
      <w:r>
        <w:rPr>
          <w:rFonts w:ascii="Arial" w:cs="Arial" w:eastAsia="Arial" w:hAnsi="Arial"/>
          <w:sz w:val="16"/>
          <w:szCs w:val="16"/>
          <w:b w:val="1"/>
          <w:bCs w:val="1"/>
          <w:color w:val="auto"/>
        </w:rPr>
        <w:t>6.9 Counterparts</w:t>
      </w:r>
      <w:r>
        <w:rPr>
          <w:rFonts w:ascii="Arial" w:cs="Arial" w:eastAsia="Arial" w:hAnsi="Arial"/>
          <w:sz w:val="16"/>
          <w:szCs w:val="16"/>
          <w:color w:val="auto"/>
        </w:rPr>
        <w:t>. This Agreement may be executed in any number of counterparts, each of which as so executed shall be deemed to be an original, but such</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shall together constitute but one and the same instrument.</w:t>
      </w:r>
    </w:p>
    <w:p>
      <w:pPr>
        <w:spacing w:after="0" w:line="141" w:lineRule="exact"/>
        <w:rPr>
          <w:sz w:val="20"/>
          <w:szCs w:val="20"/>
          <w:color w:val="auto"/>
        </w:rPr>
      </w:pPr>
    </w:p>
    <w:p>
      <w:pPr>
        <w:ind w:firstLine="590"/>
        <w:spacing w:after="0" w:line="293" w:lineRule="auto"/>
        <w:rPr>
          <w:sz w:val="20"/>
          <w:szCs w:val="20"/>
          <w:color w:val="auto"/>
        </w:rPr>
      </w:pPr>
      <w:r>
        <w:rPr>
          <w:rFonts w:ascii="Arial" w:cs="Arial" w:eastAsia="Arial" w:hAnsi="Arial"/>
          <w:sz w:val="16"/>
          <w:szCs w:val="16"/>
          <w:b w:val="1"/>
          <w:bCs w:val="1"/>
          <w:color w:val="auto"/>
        </w:rPr>
        <w:t>6.10 Inspection Of Agreement</w:t>
      </w:r>
      <w:r>
        <w:rPr>
          <w:rFonts w:ascii="Arial" w:cs="Arial" w:eastAsia="Arial" w:hAnsi="Arial"/>
          <w:sz w:val="16"/>
          <w:szCs w:val="16"/>
          <w:color w:val="auto"/>
        </w:rPr>
        <w:t>. A copy of this Agreement shall be available at all reasonable times at the principal corporate trust office of the Warrant Agent for</w:t>
      </w:r>
      <w:r>
        <w:rPr>
          <w:rFonts w:ascii="Arial" w:cs="Arial" w:eastAsia="Arial" w:hAnsi="Arial"/>
          <w:sz w:val="16"/>
          <w:szCs w:val="16"/>
          <w:b w:val="1"/>
          <w:bCs w:val="1"/>
          <w:color w:val="auto"/>
        </w:rPr>
        <w:t xml:space="preserve"> </w:t>
      </w:r>
      <w:r>
        <w:rPr>
          <w:rFonts w:ascii="Arial" w:cs="Arial" w:eastAsia="Arial" w:hAnsi="Arial"/>
          <w:sz w:val="16"/>
          <w:szCs w:val="16"/>
          <w:color w:val="auto"/>
        </w:rPr>
        <w:t>inspection by the holder of any Warrant Certificate. The Warrant Agent may require such holder to submit his Warrant Certificate for inspection by it.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48" w:right="239" w:bottom="1440" w:gutter="0" w:footer="0" w:header="0"/>
        </w:sectPr>
      </w:pPr>
    </w:p>
    <w:bookmarkStart w:id="94" w:name="page95"/>
    <w:bookmarkEnd w:id="94"/>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hereto have caused this Agreement to be duly executed, all as of the day and year first above written.</w:t>
      </w:r>
    </w:p>
    <w:p>
      <w:pPr>
        <w:sectPr>
          <w:pgSz w:w="11900" w:h="16838" w:orient="portrait"/>
          <w:cols w:equalWidth="0" w:num="1">
            <w:col w:w="9859"/>
          </w:cols>
          <w:pgMar w:left="600" w:top="7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SI-BONE, INC.</w:t>
      </w:r>
      <w:r>
        <w:rPr>
          <w:rFonts w:ascii="Arial" w:cs="Arial" w:eastAsia="Arial" w:hAnsi="Arial"/>
          <w:sz w:val="16"/>
          <w:szCs w:val="16"/>
          <w:color w:val="auto"/>
        </w:rPr>
        <w:t>, as Company</w:t>
      </w:r>
    </w:p>
    <w:p>
      <w:pPr>
        <w:spacing w:after="0" w:line="336"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31750</wp:posOffset>
            </wp:positionV>
            <wp:extent cx="152971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42"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39370</wp:posOffset>
            </wp:positionV>
            <wp:extent cx="152971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54"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39370</wp:posOffset>
            </wp:positionV>
            <wp:extent cx="152971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213360</wp:posOffset>
            </wp:positionV>
            <wp:extent cx="152971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1529715" cy="762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34290</wp:posOffset>
            </wp:positionV>
            <wp:extent cx="152971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COUNTERSIGNED</w:t>
      </w:r>
    </w:p>
    <w:p>
      <w:pPr>
        <w:spacing w:after="0" w:line="209"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 as Warrant Agent</w:t>
      </w:r>
    </w:p>
    <w:p>
      <w:pPr>
        <w:spacing w:after="0" w:line="336"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31750</wp:posOffset>
            </wp:positionV>
            <wp:extent cx="152971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42"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39370</wp:posOffset>
            </wp:positionV>
            <wp:extent cx="152971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54"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39370</wp:posOffset>
            </wp:positionV>
            <wp:extent cx="152971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213360</wp:posOffset>
            </wp:positionV>
            <wp:extent cx="152971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1529715" cy="7620"/>
                    </a:xfrm>
                    <a:prstGeom prst="rect">
                      <a:avLst/>
                    </a:prstGeom>
                    <a:noFill/>
                  </pic:spPr>
                </pic:pic>
              </a:graphicData>
            </a:graphic>
          </wp:anchor>
        </w:drawing>
        <w:drawing>
          <wp:anchor simplePos="0" relativeHeight="251657728" behindDoc="1" locked="0" layoutInCell="0" allowOverlap="1">
            <wp:simplePos x="0" y="0"/>
            <wp:positionH relativeFrom="column">
              <wp:posOffset>2783205</wp:posOffset>
            </wp:positionH>
            <wp:positionV relativeFrom="paragraph">
              <wp:posOffset>34290</wp:posOffset>
            </wp:positionV>
            <wp:extent cx="152971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15297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80"/>
        <w:spacing w:after="0"/>
        <w:rPr>
          <w:sz w:val="20"/>
          <w:szCs w:val="20"/>
          <w:color w:val="auto"/>
        </w:rPr>
      </w:pPr>
      <w:r>
        <w:rPr>
          <w:rFonts w:ascii="Arial" w:cs="Arial" w:eastAsia="Arial" w:hAnsi="Arial"/>
          <w:sz w:val="12"/>
          <w:szCs w:val="12"/>
          <w:color w:val="auto"/>
        </w:rPr>
        <w:t>[SIGNATURE PAGE TO PREFERRED STOCK WARRANT AGREEMENT]</w:t>
      </w:r>
    </w:p>
    <w:p>
      <w:pPr>
        <w:sectPr>
          <w:pgSz w:w="11900" w:h="16838" w:orient="portrait"/>
          <w:cols w:equalWidth="0" w:num="1">
            <w:col w:w="9859"/>
          </w:cols>
          <w:pgMar w:left="600" w:top="713" w:right="1440" w:bottom="1440" w:gutter="0" w:footer="0" w:header="0"/>
          <w:type w:val="continuous"/>
        </w:sectPr>
      </w:pPr>
    </w:p>
    <w:bookmarkStart w:id="95" w:name="page96"/>
    <w:bookmarkEnd w:id="95"/>
    <w:p>
      <w:pPr>
        <w:jc w:val="center"/>
        <w:ind w:right="-99"/>
        <w:spacing w:after="0"/>
        <w:rPr>
          <w:sz w:val="20"/>
          <w:szCs w:val="20"/>
          <w:color w:val="auto"/>
        </w:rPr>
      </w:pPr>
      <w:r>
        <w:rPr>
          <w:rFonts w:ascii="Arial" w:cs="Arial" w:eastAsia="Arial" w:hAnsi="Arial"/>
          <w:sz w:val="16"/>
          <w:szCs w:val="16"/>
          <w:b w:val="1"/>
          <w:bCs w:val="1"/>
          <w:color w:val="auto"/>
        </w:rPr>
        <w:t>EXHIBIT A</w:t>
      </w:r>
    </w:p>
    <w:p>
      <w:pPr>
        <w:spacing w:after="0" w:line="160"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FORM OF WARRANT CERTIFICATE</w:t>
      </w:r>
    </w:p>
    <w:p>
      <w:pPr>
        <w:spacing w:after="0" w:line="28"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[FACE OF WARRANT CERTIFICATE]</w:t>
      </w:r>
    </w:p>
    <w:p>
      <w:pPr>
        <w:sectPr>
          <w:pgSz w:w="11900" w:h="16838" w:orient="portrait"/>
          <w:cols w:equalWidth="0" w:num="1">
            <w:col w:w="9760"/>
          </w:cols>
          <w:pgMar w:left="1020" w:top="713"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[Form of Legend if Warrants are not immediately exercisable.]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[Prior to [●] Warrants evidenced by this Warrant Certificate cannot be exercised.]</w:t>
      </w:r>
    </w:p>
    <w:p>
      <w:pPr>
        <w:spacing w:after="0" w:line="125" w:lineRule="exact"/>
        <w:rPr>
          <w:sz w:val="20"/>
          <w:szCs w:val="20"/>
          <w:color w:val="auto"/>
        </w:rPr>
      </w:pPr>
    </w:p>
    <w:p>
      <w:pPr>
        <w:sectPr>
          <w:pgSz w:w="11900" w:h="16838" w:orient="portrait"/>
          <w:cols w:equalWidth="0" w:num="2">
            <w:col w:w="4440" w:space="720"/>
            <w:col w:w="4600"/>
          </w:cols>
          <w:pgMar w:left="1020" w:top="713" w:right="1119" w:bottom="1440" w:gutter="0" w:footer="0" w:header="0"/>
          <w:type w:val="continuous"/>
        </w:sectPr>
      </w:pPr>
    </w:p>
    <w:p>
      <w:pPr>
        <w:jc w:val="center"/>
        <w:ind w:right="-99"/>
        <w:spacing w:after="0"/>
        <w:rPr>
          <w:sz w:val="20"/>
          <w:szCs w:val="20"/>
          <w:color w:val="auto"/>
        </w:rPr>
      </w:pPr>
      <w:r>
        <w:rPr>
          <w:rFonts w:ascii="Arial" w:cs="Arial" w:eastAsia="Arial" w:hAnsi="Arial"/>
          <w:sz w:val="15"/>
          <w:szCs w:val="15"/>
          <w:color w:val="auto"/>
        </w:rPr>
        <w:t>EXERCISABLE ONLY IF COUNTERSIGNED BY THE WARRANT AGENT AS PROVIDED HEREIN</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VOID AFTER [●] P.M., [City] time, ON [●].</w:t>
      </w:r>
    </w:p>
    <w:p>
      <w:pPr>
        <w:sectPr>
          <w:pgSz w:w="11900" w:h="16838" w:orient="portrait"/>
          <w:cols w:equalWidth="0" w:num="1">
            <w:col w:w="9760"/>
          </w:cols>
          <w:pgMar w:left="1020" w:top="713" w:right="111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6"/>
          <w:szCs w:val="16"/>
          <w:b w:val="1"/>
          <w:bCs w:val="1"/>
          <w:color w:val="auto"/>
        </w:rPr>
        <w:t>SI-BONE,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CERTIFICATE REPRESENTING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 TO PURCHASE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[TITLE OF WARRANT SECURITIES]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80"/>
        <w:spacing w:after="0"/>
        <w:tabs>
          <w:tab w:leader="none" w:pos="9800" w:val="left"/>
        </w:tabs>
        <w:rPr>
          <w:sz w:val="20"/>
          <w:szCs w:val="20"/>
          <w:color w:val="auto"/>
        </w:rPr>
      </w:pPr>
      <w:r>
        <w:rPr>
          <w:rFonts w:ascii="Arial" w:cs="Arial" w:eastAsia="Arial" w:hAnsi="Arial"/>
          <w:sz w:val="16"/>
          <w:szCs w:val="16"/>
          <w:color w:val="auto"/>
        </w:rPr>
        <w:t>No. [●]</w:t>
      </w:r>
      <w:r>
        <w:rPr>
          <w:sz w:val="20"/>
          <w:szCs w:val="20"/>
          <w:color w:val="auto"/>
        </w:rPr>
        <w:tab/>
      </w:r>
      <w:r>
        <w:rPr>
          <w:rFonts w:ascii="Arial" w:cs="Arial" w:eastAsia="Arial" w:hAnsi="Arial"/>
          <w:sz w:val="15"/>
          <w:szCs w:val="15"/>
          <w:color w:val="auto"/>
        </w:rPr>
        <w:t>[●] Warrants</w:t>
      </w:r>
    </w:p>
    <w:p>
      <w:pPr>
        <w:spacing w:after="0" w:line="234" w:lineRule="exact"/>
        <w:rPr>
          <w:sz w:val="20"/>
          <w:szCs w:val="20"/>
          <w:color w:val="auto"/>
        </w:rPr>
      </w:pPr>
    </w:p>
    <w:p>
      <w:pPr>
        <w:jc w:val="both"/>
        <w:ind w:firstLine="590"/>
        <w:spacing w:after="0" w:line="279" w:lineRule="auto"/>
        <w:rPr>
          <w:sz w:val="20"/>
          <w:szCs w:val="20"/>
          <w:color w:val="auto"/>
        </w:rPr>
      </w:pPr>
      <w:r>
        <w:rPr>
          <w:rFonts w:ascii="Arial" w:cs="Arial" w:eastAsia="Arial" w:hAnsi="Arial"/>
          <w:sz w:val="15"/>
          <w:szCs w:val="15"/>
          <w:color w:val="auto"/>
        </w:rPr>
        <w:t>This certifies that [●] or registered assigns is the registered owner of the above indicated number of Warrants, each Warrant entitling such owner to purchase, at any time [after [●] p.m., [City] time, on [●] and] on or before [●] p.m., [City] time, on [●] shares of [Title of Warrant Securities] (the “</w:t>
      </w:r>
      <w:r>
        <w:rPr>
          <w:rFonts w:ascii="Arial" w:cs="Arial" w:eastAsia="Arial" w:hAnsi="Arial"/>
          <w:sz w:val="15"/>
          <w:szCs w:val="15"/>
          <w:b w:val="1"/>
          <w:bCs w:val="1"/>
          <w:i w:val="1"/>
          <w:iCs w:val="1"/>
          <w:color w:val="auto"/>
        </w:rPr>
        <w:t>Warrant Securities</w:t>
      </w:r>
      <w:r>
        <w:rPr>
          <w:rFonts w:ascii="Arial" w:cs="Arial" w:eastAsia="Arial" w:hAnsi="Arial"/>
          <w:sz w:val="15"/>
          <w:szCs w:val="15"/>
          <w:color w:val="auto"/>
        </w:rPr>
        <w:t>”), of SI-BONE,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on the following basis: during the period from [●], through and including [●], the exercise price per Warrant Security will be $[●], subject to adjustment as provided in the Warrant Agreement (as hereinafter defined) (the “</w:t>
      </w:r>
      <w:r>
        <w:rPr>
          <w:rFonts w:ascii="Arial" w:cs="Arial" w:eastAsia="Arial" w:hAnsi="Arial"/>
          <w:sz w:val="15"/>
          <w:szCs w:val="15"/>
          <w:b w:val="1"/>
          <w:bCs w:val="1"/>
          <w:i w:val="1"/>
          <w:iCs w:val="1"/>
          <w:color w:val="auto"/>
        </w:rPr>
        <w:t>Warrant Price</w:t>
      </w:r>
      <w:r>
        <w:rPr>
          <w:rFonts w:ascii="Arial" w:cs="Arial" w:eastAsia="Arial" w:hAnsi="Arial"/>
          <w:sz w:val="15"/>
          <w:szCs w:val="15"/>
          <w:color w:val="auto"/>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5"/>
          <w:szCs w:val="15"/>
          <w:b w:val="1"/>
          <w:bCs w:val="1"/>
          <w:i w:val="1"/>
          <w:iCs w:val="1"/>
          <w:color w:val="auto"/>
        </w:rPr>
        <w:t>Warrant Agent</w:t>
      </w:r>
      <w:r>
        <w:rPr>
          <w:rFonts w:ascii="Arial" w:cs="Arial" w:eastAsia="Arial" w:hAnsi="Arial"/>
          <w:sz w:val="15"/>
          <w:szCs w:val="15"/>
          <w:color w:val="auto"/>
        </w:rPr>
        <w:t>”), which is, on the date hereof, at the address specified on the reverse hereof, and upon compliance with and subject to the conditions set forth herein and in the Warrant Agreement (as hereinafter defined).</w:t>
      </w:r>
    </w:p>
    <w:p>
      <w:pPr>
        <w:spacing w:after="0" w:line="162"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The term “Holder” as used herein shall mean the person in whose name at the time this Warrant Certificate shall be registered upon the books to be maintained by the Warrant Agent for that purpose pursuant to Section 4 of the Warrant Agreement.</w:t>
      </w:r>
    </w:p>
    <w:p>
      <w:pPr>
        <w:spacing w:after="0" w:line="150"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spacing w:after="0" w:line="161"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This Warrant Certificate is issued under and in accordance with the Warrant Agreement dated as of [●]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61"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50"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spacing w:after="0" w:line="150" w:lineRule="exact"/>
        <w:rPr>
          <w:sz w:val="20"/>
          <w:szCs w:val="20"/>
          <w:color w:val="auto"/>
        </w:rPr>
      </w:pPr>
    </w:p>
    <w:p>
      <w:pPr>
        <w:jc w:val="both"/>
        <w:ind w:firstLine="590"/>
        <w:spacing w:after="0" w:line="323" w:lineRule="auto"/>
        <w:rPr>
          <w:sz w:val="20"/>
          <w:szCs w:val="20"/>
          <w:color w:val="auto"/>
        </w:rPr>
      </w:pPr>
      <w:r>
        <w:rPr>
          <w:rFonts w:ascii="Arial" w:cs="Arial" w:eastAsia="Arial" w:hAnsi="Arial"/>
          <w:sz w:val="15"/>
          <w:szCs w:val="15"/>
          <w:color w:val="auto"/>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spacing w:after="0" w:line="126"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Reference is hereby made to the further provisions of this Warrant Certificate set forth on the reverse hereof, which further provisions shall for all purposes have the same effect as if set forth at this place.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Warrant Certificate shall not be valid or obligatory for any purpose until countersigned by the Warrant Agent.</w:t>
      </w:r>
    </w:p>
    <w:p>
      <w:pPr>
        <w:sectPr>
          <w:pgSz w:w="11900" w:h="16838" w:orient="portrait"/>
          <w:cols w:equalWidth="0" w:num="1">
            <w:col w:w="11420"/>
          </w:cols>
          <w:pgMar w:left="240" w:top="516" w:right="239" w:bottom="1440" w:gutter="0" w:footer="0" w:header="0"/>
        </w:sectPr>
      </w:pPr>
    </w:p>
    <w:bookmarkStart w:id="97" w:name="page98"/>
    <w:bookmarkEnd w:id="97"/>
    <w:p>
      <w:pPr>
        <w:ind w:firstLine="369"/>
        <w:spacing w:after="0" w:line="293"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Company has caused this Warrant to be executed in its name and on its behalf by the facsimile signatures of its duly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w:t>
      </w:r>
    </w:p>
    <w:p>
      <w:pPr>
        <w:spacing w:after="0" w:line="200" w:lineRule="exact"/>
        <w:rPr>
          <w:sz w:val="20"/>
          <w:szCs w:val="20"/>
          <w:color w:val="auto"/>
        </w:rPr>
      </w:pPr>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31750</wp:posOffset>
            </wp:positionV>
            <wp:extent cx="554926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5549265" cy="762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SI-BONE, INC.</w:t>
      </w:r>
      <w:r>
        <w:rPr>
          <w:rFonts w:ascii="Arial" w:cs="Arial" w:eastAsia="Arial" w:hAnsi="Arial"/>
          <w:sz w:val="16"/>
          <w:szCs w:val="16"/>
          <w:color w:val="auto"/>
        </w:rPr>
        <w:t>, as Company</w:t>
      </w:r>
    </w:p>
    <w:p>
      <w:pPr>
        <w:spacing w:after="0" w:line="33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31750</wp:posOffset>
            </wp:positionV>
            <wp:extent cx="224028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39370</wp:posOffset>
            </wp:positionV>
            <wp:extent cx="224028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39370</wp:posOffset>
            </wp:positionV>
            <wp:extent cx="224028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213360</wp:posOffset>
            </wp:positionV>
            <wp:extent cx="224028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2240280" cy="7620"/>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34290</wp:posOffset>
            </wp:positionV>
            <wp:extent cx="224028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COUNTERSIGNED</w:t>
      </w:r>
    </w:p>
    <w:p>
      <w:pPr>
        <w:spacing w:after="0" w:line="209"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 as Warrant Agent</w:t>
      </w:r>
    </w:p>
    <w:p>
      <w:pPr>
        <w:spacing w:after="0" w:line="336"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31750</wp:posOffset>
            </wp:positionV>
            <wp:extent cx="224028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4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39370</wp:posOffset>
            </wp:positionV>
            <wp:extent cx="224028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39370</wp:posOffset>
            </wp:positionV>
            <wp:extent cx="224028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213360</wp:posOffset>
            </wp:positionV>
            <wp:extent cx="224028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2240280" cy="7620"/>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34290</wp:posOffset>
            </wp:positionV>
            <wp:extent cx="224028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2240280" cy="7620"/>
                    </a:xfrm>
                    <a:prstGeom prst="rect">
                      <a:avLst/>
                    </a:prstGeom>
                    <a:noFill/>
                  </pic:spPr>
                </pic:pic>
              </a:graphicData>
            </a:graphic>
          </wp:anchor>
        </w:drawing>
      </w:r>
    </w:p>
    <w:p>
      <w:pPr>
        <w:sectPr>
          <w:pgSz w:w="11900" w:h="16838" w:orient="portrait"/>
          <w:cols w:equalWidth="0" w:num="1">
            <w:col w:w="10880"/>
          </w:cols>
          <w:pgMar w:left="240" w:top="516" w:right="77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b w:val="1"/>
          <w:bCs w:val="1"/>
          <w:color w:val="auto"/>
        </w:rPr>
        <w:t>[REVERSE OF WARRANT CERTIFICATE]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(Instructions for Exercise of Warrant)</w:t>
      </w:r>
    </w:p>
    <w:p>
      <w:pPr>
        <w:spacing w:after="0" w:line="213"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6"/>
          <w:szCs w:val="16"/>
          <w:color w:val="auto"/>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be executed upon exercise of Warrants)</w:t>
      </w:r>
    </w:p>
    <w:p>
      <w:pPr>
        <w:spacing w:after="0" w:line="209" w:lineRule="exact"/>
        <w:rPr>
          <w:sz w:val="20"/>
          <w:szCs w:val="20"/>
          <w:color w:val="auto"/>
        </w:rPr>
      </w:pPr>
    </w:p>
    <w:p>
      <w:pPr>
        <w:jc w:val="both"/>
        <w:ind w:firstLine="590"/>
        <w:spacing w:after="0" w:line="310" w:lineRule="auto"/>
        <w:rPr>
          <w:sz w:val="20"/>
          <w:szCs w:val="20"/>
          <w:color w:val="auto"/>
        </w:rPr>
      </w:pPr>
      <w:r>
        <w:rPr>
          <w:rFonts w:ascii="Arial" w:cs="Arial" w:eastAsia="Arial" w:hAnsi="Arial"/>
          <w:sz w:val="14"/>
          <w:szCs w:val="14"/>
          <w:color w:val="auto"/>
        </w:rPr>
        <w:t>The undersigned hereby irrevocably elects to exercise [●] Warrants, evidenced by this Warrant Certificate, to purchase [●] shares of the [Title of Warrant Securities] (the “</w:t>
      </w:r>
      <w:r>
        <w:rPr>
          <w:rFonts w:ascii="Arial" w:cs="Arial" w:eastAsia="Arial" w:hAnsi="Arial"/>
          <w:sz w:val="14"/>
          <w:szCs w:val="14"/>
          <w:b w:val="1"/>
          <w:bCs w:val="1"/>
          <w:i w:val="1"/>
          <w:iCs w:val="1"/>
          <w:color w:val="auto"/>
        </w:rPr>
        <w:t>Warrant Securities</w:t>
      </w:r>
      <w:r>
        <w:rPr>
          <w:rFonts w:ascii="Arial" w:cs="Arial" w:eastAsia="Arial" w:hAnsi="Arial"/>
          <w:sz w:val="14"/>
          <w:szCs w:val="14"/>
          <w:color w:val="auto"/>
        </w:rPr>
        <w:t>”), of SI-BONE, Inc. and represents that he has tendered payment for such Warrant Securities, in lawful money of the United States of America, [in cash or by certified check or official bank check in New York Clearing House funds] [by bank wire transfer in immediately available funds], to the order of SI-BONE, Inc., c/o [insert name and address of Warrant Agent], in the amount of $[●] in accordance with the terms hereof. The undersigned requests that said Warrant Securities be in fully registered form in the authorized denominations, registered in such names and delivered all as specified in accordance with the instructions set forth below.</w:t>
      </w:r>
    </w:p>
    <w:p>
      <w:pPr>
        <w:spacing w:after="0" w:line="140" w:lineRule="exact"/>
        <w:rPr>
          <w:sz w:val="20"/>
          <w:szCs w:val="20"/>
          <w:color w:val="auto"/>
        </w:rPr>
      </w:pPr>
    </w:p>
    <w:p>
      <w:pPr>
        <w:jc w:val="both"/>
        <w:ind w:firstLine="590"/>
        <w:spacing w:after="0" w:line="323" w:lineRule="auto"/>
        <w:rPr>
          <w:sz w:val="20"/>
          <w:szCs w:val="20"/>
          <w:color w:val="auto"/>
        </w:rPr>
      </w:pPr>
      <w:r>
        <w:rPr>
          <w:rFonts w:ascii="Arial" w:cs="Arial" w:eastAsia="Arial" w:hAnsi="Arial"/>
          <w:sz w:val="15"/>
          <w:szCs w:val="15"/>
          <w:color w:val="auto"/>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spacing w:after="0" w:line="273"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31750</wp:posOffset>
            </wp:positionV>
            <wp:extent cx="601027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010275" cy="7620"/>
                    </a:xfrm>
                    <a:prstGeom prst="rect">
                      <a:avLst/>
                    </a:prstGeom>
                    <a:noFill/>
                  </pic:spPr>
                </pic:pic>
              </a:graphicData>
            </a:graphic>
          </wp:anchor>
        </w:drawing>
      </w:r>
    </w:p>
    <w:p>
      <w:pPr>
        <w:spacing w:after="0" w:line="54"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Please Print</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577850</wp:posOffset>
            </wp:positionV>
            <wp:extent cx="384048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38404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(Insert Social Security or Other Identifying Number of Holder)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1677035</wp:posOffset>
            </wp:positionH>
            <wp:positionV relativeFrom="paragraph">
              <wp:posOffset>31750</wp:posOffset>
            </wp:positionV>
            <wp:extent cx="141287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1412875" cy="7620"/>
                    </a:xfrm>
                    <a:prstGeom prst="rect">
                      <a:avLst/>
                    </a:prstGeom>
                    <a:noFill/>
                  </pic:spPr>
                </pic:pic>
              </a:graphicData>
            </a:graphic>
          </wp:anchor>
        </w:drawing>
      </w:r>
    </w:p>
    <w:p>
      <w:pPr>
        <w:spacing w:after="0" w:line="54"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Signature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(Signature must conform in all respects to name of holder as specified on the face of this Warrant Certificate and must bear a signature guarantee by a FINRA member firm).</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This Warrant may be exercised at the following addresses: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By hand at: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By mail at:</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[Instructions as to form and delivery of Warrant Securities and, if applicable, Warrant Certificates evidencing Warrants for the number of Warrant Securities remaining unexercised—complete as appropriate.]</w:t>
      </w:r>
    </w:p>
    <w:p>
      <w:pPr>
        <w:sectPr>
          <w:pgSz w:w="11900" w:h="16838" w:orient="portrait"/>
          <w:cols w:equalWidth="0" w:num="1">
            <w:col w:w="11420"/>
          </w:cols>
          <w:pgMar w:left="240" w:top="516" w:right="239" w:bottom="1440" w:gutter="0" w:footer="0" w:header="0"/>
        </w:sectPr>
      </w:pPr>
    </w:p>
    <w:bookmarkStart w:id="99" w:name="page100"/>
    <w:bookmarkEnd w:id="99"/>
    <w:p>
      <w:pPr>
        <w:ind w:left="5160"/>
        <w:spacing w:after="0"/>
        <w:rPr>
          <w:sz w:val="20"/>
          <w:szCs w:val="20"/>
          <w:color w:val="auto"/>
        </w:rPr>
      </w:pPr>
      <w:r>
        <w:rPr>
          <w:rFonts w:ascii="Arial" w:cs="Arial" w:eastAsia="Arial" w:hAnsi="Arial"/>
          <w:sz w:val="16"/>
          <w:szCs w:val="16"/>
          <w:b w:val="1"/>
          <w:bCs w:val="1"/>
          <w:color w:val="auto"/>
        </w:rPr>
        <w:t>ASSIGNMENT</w:t>
      </w:r>
    </w:p>
    <w:p>
      <w:pPr>
        <w:spacing w:after="0" w:line="164"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[Form of assignment to be executed if Warrant Holder desires to transfer Warrant]</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FOR VALUE RECEIVED</w:t>
      </w:r>
      <w:r>
        <w:rPr>
          <w:rFonts w:ascii="Arial" w:cs="Arial" w:eastAsia="Arial" w:hAnsi="Arial"/>
          <w:sz w:val="16"/>
          <w:szCs w:val="16"/>
          <w:color w:val="auto"/>
        </w:rPr>
        <w:t>, [●]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565150</wp:posOffset>
            </wp:positionV>
            <wp:extent cx="629856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62985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6"/>
          <w:szCs w:val="16"/>
          <w:color w:val="auto"/>
        </w:rPr>
        <w:t>(Please print name and address including zip code)</w:t>
      </w:r>
      <w:r>
        <w:rPr>
          <w:sz w:val="20"/>
          <w:szCs w:val="20"/>
          <w:color w:val="auto"/>
        </w:rPr>
        <w:tab/>
      </w:r>
      <w:r>
        <w:rPr>
          <w:rFonts w:ascii="Arial" w:cs="Arial" w:eastAsia="Arial" w:hAnsi="Arial"/>
          <w:sz w:val="15"/>
          <w:szCs w:val="15"/>
          <w:color w:val="auto"/>
        </w:rPr>
        <w:t>Please print Social Security or other identifying number</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right represented by the within Warrant to purchase [●] shares of [Title of Warrant Securities] of SI-BONE, Inc. to which the within Warrant relates and appoints [●] attorney to transfer such right on the books of the Warrant Agent with full power of substitution in the premises.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31750</wp:posOffset>
            </wp:positionV>
            <wp:extent cx="578358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5783580" cy="7620"/>
                    </a:xfrm>
                    <a:prstGeom prst="rect">
                      <a:avLst/>
                    </a:prstGeom>
                    <a:noFill/>
                  </pic:spPr>
                </pic:pic>
              </a:graphicData>
            </a:graphic>
          </wp:anchor>
        </w:drawing>
      </w:r>
    </w:p>
    <w:p>
      <w:pPr>
        <w:spacing w:after="0" w:line="54"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Signature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must conform in all respects to name of holder as specified on the face of the Warrant)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375285</wp:posOffset>
            </wp:positionV>
            <wp:extent cx="309118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3091180" cy="7620"/>
                    </a:xfrm>
                    <a:prstGeom prst="rect">
                      <a:avLst/>
                    </a:prstGeom>
                    <a:noFill/>
                  </pic:spPr>
                </pic:pic>
              </a:graphicData>
            </a:graphic>
          </wp:anchor>
        </w:drawing>
      </w:r>
    </w:p>
    <w:p>
      <w:pPr>
        <w:sectPr>
          <w:pgSz w:w="11900" w:h="16838" w:orient="portrait"/>
          <w:cols w:equalWidth="0" w:num="1">
            <w:col w:w="11420"/>
          </w:cols>
          <w:pgMar w:left="240" w:top="516"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SI-BONE, INC.</w:t>
      </w:r>
    </w:p>
    <w:p>
      <w:pPr>
        <w:spacing w:after="0" w:line="209"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AND</w:t>
      </w:r>
    </w:p>
    <w:p>
      <w:pPr>
        <w:spacing w:after="0" w:line="209"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_____________, AS WARRANT AGENT</w:t>
      </w:r>
    </w:p>
    <w:p>
      <w:pPr>
        <w:spacing w:after="0" w:line="209"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FORM OF DEBT SECURITIES</w:t>
      </w:r>
    </w:p>
    <w:p>
      <w:pPr>
        <w:spacing w:after="0" w:line="2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WARRANT AGREEMENT</w:t>
      </w:r>
    </w:p>
    <w:p>
      <w:pPr>
        <w:spacing w:after="0" w:line="194"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DATED AS OF __________</w:t>
      </w:r>
    </w:p>
    <w:p>
      <w:pPr>
        <w:sectPr>
          <w:pgSz w:w="11900" w:h="16838" w:orient="portrait"/>
          <w:cols w:equalWidth="0" w:num="1">
            <w:col w:w="10220"/>
          </w:cols>
          <w:pgMar w:left="1440" w:top="344"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b w:val="1"/>
          <w:bCs w:val="1"/>
          <w:color w:val="auto"/>
        </w:rPr>
        <w:t>SI-BONE,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DEBT SECURITIES WARRANT AGREEMENT</w:t>
      </w:r>
    </w:p>
    <w:p>
      <w:pPr>
        <w:spacing w:after="0" w:line="200" w:lineRule="exact"/>
        <w:rPr>
          <w:sz w:val="20"/>
          <w:szCs w:val="20"/>
          <w:color w:val="auto"/>
        </w:rPr>
      </w:pPr>
    </w:p>
    <w:p>
      <w:pPr>
        <w:spacing w:after="0" w:line="206" w:lineRule="exact"/>
        <w:rPr>
          <w:sz w:val="20"/>
          <w:szCs w:val="20"/>
          <w:color w:val="auto"/>
        </w:rPr>
      </w:pPr>
    </w:p>
    <w:p>
      <w:pPr>
        <w:jc w:val="both"/>
        <w:ind w:firstLine="590"/>
        <w:spacing w:after="0" w:line="274" w:lineRule="auto"/>
        <w:rPr>
          <w:sz w:val="20"/>
          <w:szCs w:val="20"/>
          <w:color w:val="auto"/>
        </w:rPr>
      </w:pPr>
      <w:r>
        <w:rPr>
          <w:rFonts w:ascii="Arial" w:cs="Arial" w:eastAsia="Arial" w:hAnsi="Arial"/>
          <w:sz w:val="16"/>
          <w:szCs w:val="16"/>
          <w:b w:val="1"/>
          <w:bCs w:val="1"/>
          <w:color w:val="auto"/>
        </w:rPr>
        <w:t xml:space="preserve">THIS DEBT SECURITIES WARRANT AGREEMENT </w:t>
      </w:r>
      <w:r>
        <w:rPr>
          <w:rFonts w:ascii="Arial" w:cs="Arial" w:eastAsia="Arial" w:hAnsi="Arial"/>
          <w:sz w:val="16"/>
          <w:szCs w:val="16"/>
          <w:color w:val="auto"/>
        </w:rPr>
        <w:t>(this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dated as of [●], between</w:t>
      </w:r>
      <w:r>
        <w:rPr>
          <w:rFonts w:ascii="Arial" w:cs="Arial" w:eastAsia="Arial" w:hAnsi="Arial"/>
          <w:sz w:val="16"/>
          <w:szCs w:val="16"/>
          <w:b w:val="1"/>
          <w:bCs w:val="1"/>
          <w:color w:val="auto"/>
        </w:rPr>
        <w:t xml:space="preserve"> SI-BONE, INC.</w:t>
      </w:r>
      <w:r>
        <w:rPr>
          <w:rFonts w:ascii="Arial" w:cs="Arial" w:eastAsia="Arial" w:hAnsi="Arial"/>
          <w:sz w:val="16"/>
          <w:szCs w:val="16"/>
          <w:color w:val="auto"/>
        </w:rPr>
        <w:t>,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 a [corporation] [national banking association] organized and existing under the laws of [●] and having a corporate trust office in [●], as warrant agent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w:t>
      </w:r>
    </w:p>
    <w:p>
      <w:pPr>
        <w:spacing w:after="0" w:line="157" w:lineRule="exact"/>
        <w:rPr>
          <w:sz w:val="20"/>
          <w:szCs w:val="20"/>
          <w:color w:val="auto"/>
        </w:rPr>
      </w:pPr>
    </w:p>
    <w:p>
      <w:pPr>
        <w:jc w:val="both"/>
        <w:ind w:firstLine="590"/>
        <w:spacing w:after="0" w:line="27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entered into an indenture dated as of [●]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with [●], as trustee (such trustee, and any successors to such trustee,</w:t>
      </w:r>
      <w:r>
        <w:rPr>
          <w:rFonts w:ascii="Arial" w:cs="Arial" w:eastAsia="Arial" w:hAnsi="Arial"/>
          <w:sz w:val="16"/>
          <w:szCs w:val="16"/>
          <w:b w:val="1"/>
          <w:bCs w:val="1"/>
          <w:color w:val="auto"/>
        </w:rPr>
        <w:t xml:space="preserve"> </w:t>
      </w:r>
      <w:r>
        <w:rPr>
          <w:rFonts w:ascii="Arial" w:cs="Arial" w:eastAsia="Arial" w:hAnsi="Arial"/>
          <w:sz w:val="16"/>
          <w:szCs w:val="16"/>
          <w:color w:val="auto"/>
        </w:rPr>
        <w:t>herein called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providing for the issuance from time to time of its debt securities, to be issued in one or more series as provided in the Indenture (the “</w:t>
      </w:r>
      <w:r>
        <w:rPr>
          <w:rFonts w:ascii="Arial" w:cs="Arial" w:eastAsia="Arial" w:hAnsi="Arial"/>
          <w:sz w:val="16"/>
          <w:szCs w:val="16"/>
          <w:b w:val="1"/>
          <w:bCs w:val="1"/>
          <w:i w:val="1"/>
          <w:iCs w:val="1"/>
          <w:color w:val="auto"/>
        </w:rPr>
        <w:t>Debt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w:t>
      </w:r>
    </w:p>
    <w:p>
      <w:pPr>
        <w:spacing w:after="0" w:line="157"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proposes to sell [</w:t>
      </w:r>
      <w:r>
        <w:rPr>
          <w:rFonts w:ascii="Arial" w:cs="Arial" w:eastAsia="Arial" w:hAnsi="Arial"/>
          <w:sz w:val="16"/>
          <w:szCs w:val="16"/>
          <w:b w:val="1"/>
          <w:bCs w:val="1"/>
          <w:i w:val="1"/>
          <w:iCs w:val="1"/>
          <w:color w:val="auto"/>
        </w:rPr>
        <w:t>If Warrants are sold with other securities —</w:t>
      </w:r>
      <w:r>
        <w:rPr>
          <w:rFonts w:ascii="Arial" w:cs="Arial" w:eastAsia="Arial" w:hAnsi="Arial"/>
          <w:sz w:val="16"/>
          <w:szCs w:val="16"/>
          <w:b w:val="1"/>
          <w:bCs w:val="1"/>
          <w:color w:val="auto"/>
        </w:rPr>
        <w:t xml:space="preserve"> </w:t>
      </w:r>
      <w:r>
        <w:rPr>
          <w:rFonts w:ascii="Arial" w:cs="Arial" w:eastAsia="Arial" w:hAnsi="Arial"/>
          <w:sz w:val="16"/>
          <w:szCs w:val="16"/>
          <w:color w:val="auto"/>
        </w:rPr>
        <w:t>title of such other securities being offered] (the “</w:t>
      </w:r>
      <w:r>
        <w:rPr>
          <w:rFonts w:ascii="Arial" w:cs="Arial" w:eastAsia="Arial" w:hAnsi="Arial"/>
          <w:sz w:val="16"/>
          <w:szCs w:val="16"/>
          <w:b w:val="1"/>
          <w:bCs w:val="1"/>
          <w:i w:val="1"/>
          <w:iCs w:val="1"/>
          <w:color w:val="auto"/>
        </w:rPr>
        <w:t>Other Securities</w:t>
      </w:r>
      <w:r>
        <w:rPr>
          <w:rFonts w:ascii="Arial" w:cs="Arial" w:eastAsia="Arial" w:hAnsi="Arial"/>
          <w:sz w:val="16"/>
          <w:szCs w:val="16"/>
          <w:color w:val="auto"/>
        </w:rPr>
        <w:t>”) with]</w:t>
      </w:r>
      <w:r>
        <w:rPr>
          <w:rFonts w:ascii="Arial" w:cs="Arial" w:eastAsia="Arial" w:hAnsi="Arial"/>
          <w:sz w:val="16"/>
          <w:szCs w:val="16"/>
          <w:b w:val="1"/>
          <w:bCs w:val="1"/>
          <w:color w:val="auto"/>
        </w:rPr>
        <w:t xml:space="preserve"> </w:t>
      </w:r>
      <w:r>
        <w:rPr>
          <w:rFonts w:ascii="Arial" w:cs="Arial" w:eastAsia="Arial" w:hAnsi="Arial"/>
          <w:sz w:val="16"/>
          <w:szCs w:val="16"/>
          <w:color w:val="auto"/>
        </w:rPr>
        <w:t>warrant certificates evidencing one or more warrants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or, individually, a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representing the right to purchase [title of Debt Securities purchasable through exercise of Warrants] (the “</w:t>
      </w:r>
      <w:r>
        <w:rPr>
          <w:rFonts w:ascii="Arial" w:cs="Arial" w:eastAsia="Arial" w:hAnsi="Arial"/>
          <w:sz w:val="16"/>
          <w:szCs w:val="16"/>
          <w:b w:val="1"/>
          <w:bCs w:val="1"/>
          <w:i w:val="1"/>
          <w:iCs w:val="1"/>
          <w:color w:val="auto"/>
        </w:rPr>
        <w:t>Warrant Debt Securities</w:t>
      </w:r>
      <w:r>
        <w:rPr>
          <w:rFonts w:ascii="Arial" w:cs="Arial" w:eastAsia="Arial" w:hAnsi="Arial"/>
          <w:sz w:val="16"/>
          <w:szCs w:val="16"/>
          <w:color w:val="auto"/>
        </w:rPr>
        <w:t>”), such warrant certificates and other warrant certificates issued pursuant to this Agreement being herein called the “</w:t>
      </w:r>
      <w:r>
        <w:rPr>
          <w:rFonts w:ascii="Arial" w:cs="Arial" w:eastAsia="Arial" w:hAnsi="Arial"/>
          <w:sz w:val="16"/>
          <w:szCs w:val="16"/>
          <w:b w:val="1"/>
          <w:bCs w:val="1"/>
          <w:i w:val="1"/>
          <w:iCs w:val="1"/>
          <w:color w:val="auto"/>
        </w:rPr>
        <w:t>Warrant Certificates</w:t>
      </w:r>
      <w:r>
        <w:rPr>
          <w:rFonts w:ascii="Arial" w:cs="Arial" w:eastAsia="Arial" w:hAnsi="Arial"/>
          <w:sz w:val="16"/>
          <w:szCs w:val="16"/>
          <w:color w:val="auto"/>
        </w:rPr>
        <w:t>”; and</w:t>
      </w:r>
    </w:p>
    <w:p>
      <w:pPr>
        <w:spacing w:after="0" w:line="162" w:lineRule="exact"/>
        <w:rPr>
          <w:sz w:val="20"/>
          <w:szCs w:val="20"/>
          <w:color w:val="auto"/>
        </w:rPr>
      </w:pPr>
    </w:p>
    <w:p>
      <w:pPr>
        <w:jc w:val="both"/>
        <w:ind w:firstLine="590"/>
        <w:spacing w:after="0" w:line="301"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desires the Warrant Agent to act on behalf of the Company, and the Warrant Agent is willing so to act, in connection with the issuance,</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of the mutual agreements herein contained, the parties hereto agree as follows:</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ARTICLE1</w:t>
      </w:r>
    </w:p>
    <w:p>
      <w:pPr>
        <w:spacing w:after="0" w:line="283"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ISSUANCE OF WARRANTS AND EXECUTION AND</w:t>
      </w:r>
    </w:p>
    <w:p>
      <w:pPr>
        <w:spacing w:after="0" w:line="50"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DELIVERY OF WARRANT CERTIFICATES</w:t>
      </w:r>
    </w:p>
    <w:p>
      <w:pPr>
        <w:spacing w:after="0" w:line="222" w:lineRule="exact"/>
        <w:rPr>
          <w:sz w:val="20"/>
          <w:szCs w:val="20"/>
          <w:color w:val="auto"/>
        </w:rPr>
      </w:pPr>
    </w:p>
    <w:p>
      <w:pPr>
        <w:jc w:val="both"/>
        <w:ind w:firstLine="590"/>
        <w:spacing w:after="0" w:line="265" w:lineRule="auto"/>
        <w:rPr>
          <w:sz w:val="20"/>
          <w:szCs w:val="20"/>
          <w:color w:val="auto"/>
        </w:rPr>
      </w:pPr>
      <w:r>
        <w:rPr>
          <w:rFonts w:ascii="Arial" w:cs="Arial" w:eastAsia="Arial" w:hAnsi="Arial"/>
          <w:sz w:val="16"/>
          <w:szCs w:val="16"/>
          <w:b w:val="1"/>
          <w:bCs w:val="1"/>
          <w:color w:val="auto"/>
        </w:rPr>
        <w:t xml:space="preserve">1.1 Issuance Of Warrants. </w:t>
      </w:r>
      <w:r>
        <w:rPr>
          <w:rFonts w:ascii="Arial" w:cs="Arial" w:eastAsia="Arial" w:hAnsi="Arial"/>
          <w:sz w:val="16"/>
          <w:szCs w:val="16"/>
          <w:color w:val="auto"/>
        </w:rPr>
        <w:t>[</w:t>
      </w:r>
      <w:r>
        <w:rPr>
          <w:rFonts w:ascii="Arial" w:cs="Arial" w:eastAsia="Arial" w:hAnsi="Arial"/>
          <w:sz w:val="16"/>
          <w:szCs w:val="16"/>
          <w:b w:val="1"/>
          <w:bCs w:val="1"/>
          <w:i w:val="1"/>
          <w:iCs w:val="1"/>
          <w:color w:val="auto"/>
        </w:rPr>
        <w:t>If Warrants alone</w:t>
      </w:r>
      <w:r>
        <w:rPr>
          <w:rFonts w:ascii="Arial" w:cs="Arial" w:eastAsia="Arial" w:hAnsi="Arial"/>
          <w:sz w:val="16"/>
          <w:szCs w:val="16"/>
          <w:b w:val="1"/>
          <w:bCs w:val="1"/>
          <w:color w:val="auto"/>
        </w:rPr>
        <w:t xml:space="preserve"> </w:t>
      </w:r>
      <w:r>
        <w:rPr>
          <w:rFonts w:ascii="Arial" w:cs="Arial" w:eastAsia="Arial" w:hAnsi="Arial"/>
          <w:sz w:val="16"/>
          <w:szCs w:val="16"/>
          <w:color w:val="auto"/>
        </w:rPr>
        <w:t>— Upon issuance, each Warrant Certificate shall evidence one or more Warrants.] [</w:t>
      </w:r>
      <w:r>
        <w:rPr>
          <w:rFonts w:ascii="Arial" w:cs="Arial" w:eastAsia="Arial" w:hAnsi="Arial"/>
          <w:sz w:val="16"/>
          <w:szCs w:val="16"/>
          <w:b w:val="1"/>
          <w:bCs w:val="1"/>
          <w:i w:val="1"/>
          <w:iCs w:val="1"/>
          <w:color w:val="auto"/>
        </w:rPr>
        <w:t>If Other Securities and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Warrant Certificates will be issued in connection with the issuance of the Other Securities but shall be separately transferable and each Warrant Certificate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evidence one or more Warrants.] Each Warrant evidenced thereby shall represent the right, subject to the provisions contained herein and therein, to purchase one Warrant Debt Security. [</w:t>
      </w:r>
      <w:r>
        <w:rPr>
          <w:rFonts w:ascii="Arial" w:cs="Arial" w:eastAsia="Arial" w:hAnsi="Arial"/>
          <w:sz w:val="16"/>
          <w:szCs w:val="16"/>
          <w:b w:val="1"/>
          <w:bCs w:val="1"/>
          <w:i w:val="1"/>
          <w:iCs w:val="1"/>
          <w:color w:val="auto"/>
        </w:rPr>
        <w:t>If Other Securities and Warrants</w:t>
      </w:r>
      <w:r>
        <w:rPr>
          <w:rFonts w:ascii="Arial" w:cs="Arial" w:eastAsia="Arial" w:hAnsi="Arial"/>
          <w:sz w:val="16"/>
          <w:szCs w:val="16"/>
          <w:color w:val="auto"/>
        </w:rPr>
        <w:t xml:space="preserve"> — Warrant Certificates will be issued with the Other Securities and each Warrant Certificate will evidence [●] Warrants for each [$[●] principal amount] [[●] shares] of Other Securities issued.]</w:t>
      </w:r>
    </w:p>
    <w:p>
      <w:pPr>
        <w:spacing w:after="0" w:line="164" w:lineRule="exact"/>
        <w:rPr>
          <w:sz w:val="20"/>
          <w:szCs w:val="20"/>
          <w:color w:val="auto"/>
        </w:rPr>
      </w:pPr>
    </w:p>
    <w:p>
      <w:pPr>
        <w:jc w:val="both"/>
        <w:ind w:firstLine="590"/>
        <w:spacing w:after="0" w:line="302" w:lineRule="auto"/>
        <w:rPr>
          <w:sz w:val="20"/>
          <w:szCs w:val="20"/>
          <w:color w:val="auto"/>
        </w:rPr>
      </w:pPr>
      <w:r>
        <w:rPr>
          <w:rFonts w:ascii="Arial" w:cs="Arial" w:eastAsia="Arial" w:hAnsi="Arial"/>
          <w:sz w:val="14"/>
          <w:szCs w:val="14"/>
          <w:b w:val="1"/>
          <w:bCs w:val="1"/>
          <w:color w:val="auto"/>
        </w:rPr>
        <w:t xml:space="preserve">1.2 Execution And Delivery Of Warrant Certificates. </w:t>
      </w:r>
      <w:r>
        <w:rPr>
          <w:rFonts w:ascii="Arial" w:cs="Arial" w:eastAsia="Arial" w:hAnsi="Arial"/>
          <w:sz w:val="14"/>
          <w:szCs w:val="14"/>
          <w:color w:val="auto"/>
        </w:rPr>
        <w:t>Each Warrant Certificate, whenever issued, shall be in registered form substantially in the form set forth in</w:t>
      </w:r>
      <w:r>
        <w:rPr>
          <w:rFonts w:ascii="Arial" w:cs="Arial" w:eastAsia="Arial" w:hAnsi="Arial"/>
          <w:sz w:val="14"/>
          <w:szCs w:val="14"/>
          <w:b w:val="1"/>
          <w:bCs w:val="1"/>
          <w:color w:val="auto"/>
        </w:rPr>
        <w:t xml:space="preserve"> Exhibit A </w:t>
      </w:r>
      <w:r>
        <w:rPr>
          <w:rFonts w:ascii="Arial" w:cs="Arial" w:eastAsia="Arial" w:hAnsi="Arial"/>
          <w:sz w:val="14"/>
          <w:szCs w:val="14"/>
          <w:color w:val="auto"/>
        </w:rPr>
        <w:t>hereto, shall be dated the date of its countersignature by the Warrant Agent and may have such letters, numbers, or other marks of identification or designation and</w:t>
      </w:r>
      <w:r>
        <w:rPr>
          <w:rFonts w:ascii="Arial" w:cs="Arial" w:eastAsia="Arial" w:hAnsi="Arial"/>
          <w:sz w:val="14"/>
          <w:szCs w:val="14"/>
          <w:b w:val="1"/>
          <w:bCs w:val="1"/>
          <w:color w:val="auto"/>
        </w:rPr>
        <w:t xml:space="preserve"> </w:t>
      </w:r>
      <w:r>
        <w:rPr>
          <w:rFonts w:ascii="Arial" w:cs="Arial" w:eastAsia="Arial" w:hAnsi="Arial"/>
          <w:sz w:val="14"/>
          <w:szCs w:val="14"/>
          <w:color w:val="auto"/>
        </w:rPr>
        <w:t>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spacing w:after="0" w:line="147"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20"/>
          </w:cols>
          <w:pgMar w:left="240" w:top="541" w:right="239" w:bottom="1440" w:gutter="0" w:footer="0" w:header="0"/>
        </w:sectPr>
      </w:pPr>
    </w:p>
    <w:bookmarkStart w:id="102" w:name="page103"/>
    <w:bookmarkEnd w:id="102"/>
    <w:p>
      <w:pPr>
        <w:jc w:val="both"/>
        <w:ind w:left="2" w:firstLine="590"/>
        <w:spacing w:after="0" w:line="264" w:lineRule="auto"/>
        <w:rPr>
          <w:sz w:val="20"/>
          <w:szCs w:val="20"/>
          <w:color w:val="auto"/>
        </w:rPr>
      </w:pPr>
      <w:r>
        <w:rPr>
          <w:rFonts w:ascii="Arial" w:cs="Arial" w:eastAsia="Arial" w:hAnsi="Arial"/>
          <w:sz w:val="16"/>
          <w:szCs w:val="16"/>
          <w:color w:val="auto"/>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spacing w:after="0" w:line="168" w:lineRule="exact"/>
        <w:rPr>
          <w:sz w:val="20"/>
          <w:szCs w:val="20"/>
          <w:color w:val="auto"/>
        </w:rPr>
      </w:pPr>
    </w:p>
    <w:p>
      <w:pPr>
        <w:jc w:val="both"/>
        <w:ind w:left="2" w:firstLine="590"/>
        <w:spacing w:after="0" w:line="287" w:lineRule="auto"/>
        <w:rPr>
          <w:sz w:val="20"/>
          <w:szCs w:val="20"/>
          <w:color w:val="auto"/>
        </w:rPr>
      </w:pPr>
      <w:r>
        <w:rPr>
          <w:rFonts w:ascii="Arial" w:cs="Arial" w:eastAsia="Arial" w:hAnsi="Arial"/>
          <w:sz w:val="16"/>
          <w:szCs w:val="16"/>
          <w:color w:val="auto"/>
        </w:rPr>
        <w:t>The term “holder” or “holder of a Warrant Certificate” as used herein shall mean any person in whose name at the time any Warrant Certificate shall be registered upon the books to be maintained by the Warrant Agent for that purpose.</w:t>
      </w:r>
    </w:p>
    <w:p>
      <w:pPr>
        <w:spacing w:after="0" w:line="146" w:lineRule="exact"/>
        <w:rPr>
          <w:sz w:val="20"/>
          <w:szCs w:val="20"/>
          <w:color w:val="auto"/>
        </w:rPr>
      </w:pPr>
    </w:p>
    <w:p>
      <w:pPr>
        <w:jc w:val="both"/>
        <w:ind w:left="2" w:firstLine="590"/>
        <w:spacing w:after="0" w:line="301" w:lineRule="auto"/>
        <w:rPr>
          <w:sz w:val="20"/>
          <w:szCs w:val="20"/>
          <w:color w:val="auto"/>
        </w:rPr>
      </w:pPr>
      <w:r>
        <w:rPr>
          <w:rFonts w:ascii="Arial" w:cs="Arial" w:eastAsia="Arial" w:hAnsi="Arial"/>
          <w:sz w:val="15"/>
          <w:szCs w:val="15"/>
          <w:b w:val="1"/>
          <w:bCs w:val="1"/>
          <w:color w:val="auto"/>
        </w:rPr>
        <w:t xml:space="preserve">1.3 Issuance Of Warrant Certificates. </w:t>
      </w:r>
      <w:r>
        <w:rPr>
          <w:rFonts w:ascii="Arial" w:cs="Arial" w:eastAsia="Arial" w:hAnsi="Arial"/>
          <w:sz w:val="15"/>
          <w:szCs w:val="15"/>
          <w:color w:val="auto"/>
        </w:rPr>
        <w:t>Warrant Certificates evidencing the right to purchase Warrant Debt Securities may be executed by the Company and</w:t>
      </w:r>
      <w:r>
        <w:rPr>
          <w:rFonts w:ascii="Arial" w:cs="Arial" w:eastAsia="Arial" w:hAnsi="Arial"/>
          <w:sz w:val="15"/>
          <w:szCs w:val="15"/>
          <w:b w:val="1"/>
          <w:bCs w:val="1"/>
          <w:color w:val="auto"/>
        </w:rPr>
        <w:t xml:space="preserve"> </w:t>
      </w:r>
      <w:r>
        <w:rPr>
          <w:rFonts w:ascii="Arial" w:cs="Arial" w:eastAsia="Arial" w:hAnsi="Arial"/>
          <w:sz w:val="15"/>
          <w:szCs w:val="15"/>
          <w:color w:val="auto"/>
        </w:rPr>
        <w:t>delivered to the Warrant Agent upon the execution of this Warrant Agreement or from time to time thereafter. The Warrant Agent shall, upon receipt of Warrant Certificates duly executed on behalf of the Company, countersign such Warrant Certificates and shall deliver such Warrant Certificates to or upon the order of the Company.</w:t>
      </w:r>
    </w:p>
    <w:p>
      <w:pPr>
        <w:spacing w:after="0" w:line="138" w:lineRule="exact"/>
        <w:rPr>
          <w:sz w:val="20"/>
          <w:szCs w:val="20"/>
          <w:color w:val="auto"/>
        </w:rPr>
      </w:pPr>
    </w:p>
    <w:p>
      <w:pPr>
        <w:ind w:left="7142"/>
        <w:spacing w:after="0"/>
        <w:rPr>
          <w:sz w:val="20"/>
          <w:szCs w:val="20"/>
          <w:color w:val="auto"/>
        </w:rPr>
      </w:pPr>
      <w:r>
        <w:rPr>
          <w:rFonts w:ascii="Arial" w:cs="Arial" w:eastAsia="Arial" w:hAnsi="Arial"/>
          <w:sz w:val="16"/>
          <w:szCs w:val="16"/>
          <w:b w:val="1"/>
          <w:bCs w:val="1"/>
          <w:color w:val="auto"/>
        </w:rPr>
        <w:t>ARTICLE 2</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WARRANT PRICE, DURATION AND EXERCISE OF WARRANTS</w:t>
      </w:r>
    </w:p>
    <w:p>
      <w:pPr>
        <w:spacing w:after="0" w:line="209" w:lineRule="exact"/>
        <w:rPr>
          <w:sz w:val="20"/>
          <w:szCs w:val="20"/>
          <w:color w:val="auto"/>
        </w:rPr>
      </w:pPr>
    </w:p>
    <w:p>
      <w:pPr>
        <w:jc w:val="both"/>
        <w:ind w:left="2" w:firstLine="590"/>
        <w:spacing w:after="0" w:line="262" w:lineRule="auto"/>
        <w:rPr>
          <w:sz w:val="20"/>
          <w:szCs w:val="20"/>
          <w:color w:val="auto"/>
        </w:rPr>
      </w:pPr>
      <w:r>
        <w:rPr>
          <w:rFonts w:ascii="Arial" w:cs="Arial" w:eastAsia="Arial" w:hAnsi="Arial"/>
          <w:sz w:val="16"/>
          <w:szCs w:val="16"/>
          <w:b w:val="1"/>
          <w:bCs w:val="1"/>
          <w:color w:val="auto"/>
        </w:rPr>
        <w:t xml:space="preserve">2.1 Warrant Price. </w:t>
      </w:r>
      <w:r>
        <w:rPr>
          <w:rFonts w:ascii="Arial" w:cs="Arial" w:eastAsia="Arial" w:hAnsi="Arial"/>
          <w:sz w:val="16"/>
          <w:szCs w:val="16"/>
          <w:color w:val="auto"/>
        </w:rPr>
        <w:t>During the period specified in Section 2.2, each Warrant shall, subject to the terms of this Warrant Agreement and the applicable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Arial" w:cs="Arial" w:eastAsia="Arial" w:hAnsi="Arial"/>
          <w:sz w:val="16"/>
          <w:szCs w:val="16"/>
          <w:b w:val="1"/>
          <w:bCs w:val="1"/>
          <w:i w:val="1"/>
          <w:iCs w:val="1"/>
          <w:color w:val="auto"/>
        </w:rPr>
        <w:t>Warrant Price.</w:t>
      </w:r>
      <w:r>
        <w:rPr>
          <w:rFonts w:ascii="Arial" w:cs="Arial" w:eastAsia="Arial" w:hAnsi="Arial"/>
          <w:sz w:val="16"/>
          <w:szCs w:val="16"/>
          <w:color w:val="auto"/>
        </w:rPr>
        <w:t>”</w:t>
      </w:r>
    </w:p>
    <w:p>
      <w:pPr>
        <w:spacing w:after="0" w:line="167" w:lineRule="exact"/>
        <w:rPr>
          <w:sz w:val="20"/>
          <w:szCs w:val="20"/>
          <w:color w:val="auto"/>
        </w:rPr>
      </w:pPr>
    </w:p>
    <w:p>
      <w:pPr>
        <w:ind w:left="582"/>
        <w:spacing w:after="0"/>
        <w:tabs>
          <w:tab w:leader="none" w:pos="941" w:val="left"/>
        </w:tabs>
        <w:rPr>
          <w:sz w:val="20"/>
          <w:szCs w:val="20"/>
          <w:color w:val="auto"/>
        </w:rPr>
      </w:pPr>
      <w:r>
        <w:rPr>
          <w:rFonts w:ascii="Arial" w:cs="Arial" w:eastAsia="Arial" w:hAnsi="Arial"/>
          <w:sz w:val="16"/>
          <w:szCs w:val="16"/>
          <w:b w:val="1"/>
          <w:bCs w:val="1"/>
          <w:color w:val="auto"/>
        </w:rPr>
        <w:t>2.2</w:t>
      </w:r>
      <w:r>
        <w:rPr>
          <w:sz w:val="20"/>
          <w:szCs w:val="20"/>
          <w:color w:val="auto"/>
        </w:rPr>
        <w:tab/>
      </w:r>
      <w:r>
        <w:rPr>
          <w:rFonts w:ascii="Arial" w:cs="Arial" w:eastAsia="Arial" w:hAnsi="Arial"/>
          <w:sz w:val="15"/>
          <w:szCs w:val="15"/>
          <w:b w:val="1"/>
          <w:bCs w:val="1"/>
          <w:color w:val="auto"/>
        </w:rPr>
        <w:t xml:space="preserve">Duration Of Warrants. </w:t>
      </w:r>
      <w:r>
        <w:rPr>
          <w:rFonts w:ascii="Arial" w:cs="Arial" w:eastAsia="Arial" w:hAnsi="Arial"/>
          <w:sz w:val="15"/>
          <w:szCs w:val="15"/>
          <w:color w:val="auto"/>
        </w:rPr>
        <w:t>Each Warrant may be exercised in whole or in part at any time, as specified herein, on or after [the date thereof] [●] and at or before</w:t>
      </w:r>
    </w:p>
    <w:p>
      <w:pPr>
        <w:spacing w:after="0" w:line="28" w:lineRule="exact"/>
        <w:rPr>
          <w:sz w:val="20"/>
          <w:szCs w:val="20"/>
          <w:color w:val="auto"/>
        </w:rPr>
      </w:pPr>
    </w:p>
    <w:p>
      <w:pPr>
        <w:jc w:val="both"/>
        <w:ind w:left="2" w:hanging="2"/>
        <w:spacing w:after="0" w:line="264" w:lineRule="auto"/>
        <w:tabs>
          <w:tab w:leader="none" w:pos="25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p.m., [City] time, on [●] or such later date as the Company may designate by notice to the Warrant Agent and the holders of Warrant Certificates mailed to their addresses as set forth in the record books of the Warrant Agent (the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Each Warrant not exercised at or before [●] p.m., [City] time, on the Expiration Date shall become void, and all rights of the holder of the Warrant Certificate evidencing such Warrant under this Agreement shall cease.</w:t>
      </w:r>
    </w:p>
    <w:p>
      <w:pPr>
        <w:spacing w:after="0" w:line="164" w:lineRule="exact"/>
        <w:rPr>
          <w:sz w:val="20"/>
          <w:szCs w:val="20"/>
          <w:color w:val="auto"/>
        </w:rPr>
      </w:pPr>
    </w:p>
    <w:p>
      <w:pPr>
        <w:ind w:left="582"/>
        <w:spacing w:after="0"/>
        <w:tabs>
          <w:tab w:leader="none" w:pos="941" w:val="left"/>
        </w:tabs>
        <w:rPr>
          <w:sz w:val="20"/>
          <w:szCs w:val="20"/>
          <w:color w:val="auto"/>
        </w:rPr>
      </w:pPr>
      <w:r>
        <w:rPr>
          <w:rFonts w:ascii="Arial" w:cs="Arial" w:eastAsia="Arial" w:hAnsi="Arial"/>
          <w:sz w:val="16"/>
          <w:szCs w:val="16"/>
          <w:b w:val="1"/>
          <w:bCs w:val="1"/>
          <w:color w:val="auto"/>
        </w:rPr>
        <w:t>2.3</w:t>
      </w:r>
      <w:r>
        <w:rPr>
          <w:sz w:val="20"/>
          <w:szCs w:val="20"/>
          <w:color w:val="auto"/>
        </w:rPr>
        <w:tab/>
      </w:r>
      <w:r>
        <w:rPr>
          <w:rFonts w:ascii="Arial" w:cs="Arial" w:eastAsia="Arial" w:hAnsi="Arial"/>
          <w:sz w:val="15"/>
          <w:szCs w:val="15"/>
          <w:b w:val="1"/>
          <w:bCs w:val="1"/>
          <w:color w:val="auto"/>
        </w:rPr>
        <w:t>Exercise Of Warrants.</w:t>
      </w:r>
    </w:p>
    <w:p>
      <w:pPr>
        <w:spacing w:after="0" w:line="213" w:lineRule="exact"/>
        <w:rPr>
          <w:sz w:val="20"/>
          <w:szCs w:val="20"/>
          <w:color w:val="auto"/>
        </w:rPr>
      </w:pPr>
    </w:p>
    <w:p>
      <w:pPr>
        <w:jc w:val="both"/>
        <w:ind w:left="2" w:firstLine="1178"/>
        <w:spacing w:after="0" w:line="276" w:lineRule="auto"/>
        <w:tabs>
          <w:tab w:leader="none" w:pos="1562" w:val="left"/>
        </w:tabs>
        <w:numPr>
          <w:ilvl w:val="0"/>
          <w:numId w:val="109"/>
        </w:numPr>
        <w:rPr>
          <w:rFonts w:ascii="Arial" w:cs="Arial" w:eastAsia="Arial" w:hAnsi="Arial"/>
          <w:sz w:val="15"/>
          <w:szCs w:val="15"/>
          <w:b w:val="1"/>
          <w:bCs w:val="1"/>
          <w:color w:val="auto"/>
        </w:rPr>
      </w:pPr>
      <w:r>
        <w:rPr>
          <w:rFonts w:ascii="Arial" w:cs="Arial" w:eastAsia="Arial" w:hAnsi="Arial"/>
          <w:sz w:val="15"/>
          <w:szCs w:val="15"/>
          <w:color w:val="auto"/>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spacing w:after="0" w:line="39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2"/>
          </w:cols>
          <w:pgMar w:left="238" w:top="348" w:right="239" w:bottom="1440" w:gutter="0" w:footer="0" w:header="0"/>
        </w:sectPr>
      </w:pPr>
    </w:p>
    <w:bookmarkStart w:id="103" w:name="page104"/>
    <w:bookmarkEnd w:id="103"/>
    <w:p>
      <w:pPr>
        <w:jc w:val="both"/>
        <w:ind w:firstLine="1178"/>
        <w:spacing w:after="0" w:line="266" w:lineRule="auto"/>
        <w:tabs>
          <w:tab w:leader="none" w:pos="1548"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spacing w:after="0" w:line="167" w:lineRule="exact"/>
        <w:rPr>
          <w:rFonts w:ascii="Arial" w:cs="Arial" w:eastAsia="Arial" w:hAnsi="Arial"/>
          <w:sz w:val="16"/>
          <w:szCs w:val="16"/>
          <w:b w:val="1"/>
          <w:bCs w:val="1"/>
          <w:color w:val="auto"/>
        </w:rPr>
      </w:pPr>
    </w:p>
    <w:p>
      <w:pPr>
        <w:jc w:val="both"/>
        <w:ind w:firstLine="1178"/>
        <w:spacing w:after="0" w:line="264" w:lineRule="auto"/>
        <w:tabs>
          <w:tab w:leader="none" w:pos="1540"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spacing w:after="0" w:line="168" w:lineRule="exact"/>
        <w:rPr>
          <w:rFonts w:ascii="Arial" w:cs="Arial" w:eastAsia="Arial" w:hAnsi="Arial"/>
          <w:sz w:val="16"/>
          <w:szCs w:val="16"/>
          <w:b w:val="1"/>
          <w:bCs w:val="1"/>
          <w:color w:val="auto"/>
        </w:rPr>
      </w:pPr>
    </w:p>
    <w:p>
      <w:pPr>
        <w:jc w:val="both"/>
        <w:ind w:firstLine="1178"/>
        <w:spacing w:after="0" w:line="298" w:lineRule="auto"/>
        <w:tabs>
          <w:tab w:leader="none" w:pos="1582" w:val="left"/>
        </w:tabs>
        <w:numPr>
          <w:ilvl w:val="0"/>
          <w:numId w:val="110"/>
        </w:numPr>
        <w:rPr>
          <w:rFonts w:ascii="Arial" w:cs="Arial" w:eastAsia="Arial" w:hAnsi="Arial"/>
          <w:sz w:val="15"/>
          <w:szCs w:val="15"/>
          <w:b w:val="1"/>
          <w:bCs w:val="1"/>
          <w:color w:val="auto"/>
        </w:rPr>
      </w:pPr>
      <w:r>
        <w:rPr>
          <w:rFonts w:ascii="Arial" w:cs="Arial" w:eastAsia="Arial" w:hAnsi="Arial"/>
          <w:sz w:val="15"/>
          <w:szCs w:val="15"/>
          <w:color w:val="auto"/>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spacing w:after="0" w:line="144" w:lineRule="exact"/>
        <w:rPr>
          <w:rFonts w:ascii="Arial" w:cs="Arial" w:eastAsia="Arial" w:hAnsi="Arial"/>
          <w:sz w:val="15"/>
          <w:szCs w:val="15"/>
          <w:b w:val="1"/>
          <w:bCs w:val="1"/>
          <w:color w:val="auto"/>
        </w:rPr>
      </w:pPr>
    </w:p>
    <w:p>
      <w:pPr>
        <w:ind w:firstLine="1178"/>
        <w:spacing w:after="0" w:line="287" w:lineRule="auto"/>
        <w:tabs>
          <w:tab w:leader="none" w:pos="1527"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spacing w:after="0" w:line="146"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ARTICLE 3</w:t>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OTHER PROVISIONS RELATING TO RIGHTS OF HOLDERS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CERTIFICATES</w:t>
      </w:r>
    </w:p>
    <w:p>
      <w:pPr>
        <w:spacing w:after="0" w:line="194" w:lineRule="exact"/>
        <w:rPr>
          <w:sz w:val="20"/>
          <w:szCs w:val="20"/>
          <w:color w:val="auto"/>
        </w:rPr>
      </w:pPr>
    </w:p>
    <w:p>
      <w:pPr>
        <w:jc w:val="both"/>
        <w:ind w:firstLine="590"/>
        <w:spacing w:after="0" w:line="274" w:lineRule="auto"/>
        <w:rPr>
          <w:sz w:val="20"/>
          <w:szCs w:val="20"/>
          <w:color w:val="auto"/>
        </w:rPr>
      </w:pPr>
      <w:r>
        <w:rPr>
          <w:rFonts w:ascii="Arial" w:cs="Arial" w:eastAsia="Arial" w:hAnsi="Arial"/>
          <w:sz w:val="16"/>
          <w:szCs w:val="16"/>
          <w:b w:val="1"/>
          <w:bCs w:val="1"/>
          <w:color w:val="auto"/>
        </w:rPr>
        <w:t xml:space="preserve">3.1 No Rights As Holders of Warrant Debt Securities Conferred By Warrants or Warrant Certificates. </w:t>
      </w:r>
      <w:r>
        <w:rPr>
          <w:rFonts w:ascii="Arial" w:cs="Arial" w:eastAsia="Arial" w:hAnsi="Arial"/>
          <w:sz w:val="16"/>
          <w:szCs w:val="16"/>
          <w:color w:val="auto"/>
        </w:rPr>
        <w:t>No Warrant Certificate or Warrant evidenced thereby</w:t>
      </w:r>
      <w:r>
        <w:rPr>
          <w:rFonts w:ascii="Arial" w:cs="Arial" w:eastAsia="Arial" w:hAnsi="Arial"/>
          <w:sz w:val="16"/>
          <w:szCs w:val="16"/>
          <w:b w:val="1"/>
          <w:bCs w:val="1"/>
          <w:color w:val="auto"/>
        </w:rPr>
        <w:t xml:space="preserve"> </w:t>
      </w:r>
      <w:r>
        <w:rPr>
          <w:rFonts w:ascii="Arial" w:cs="Arial" w:eastAsia="Arial" w:hAnsi="Arial"/>
          <w:sz w:val="16"/>
          <w:szCs w:val="16"/>
          <w:color w:val="auto"/>
        </w:rPr>
        <w:t>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spacing w:after="0" w:line="157" w:lineRule="exact"/>
        <w:rPr>
          <w:sz w:val="20"/>
          <w:szCs w:val="20"/>
          <w:color w:val="auto"/>
        </w:rPr>
      </w:pPr>
    </w:p>
    <w:p>
      <w:pPr>
        <w:jc w:val="both"/>
        <w:ind w:firstLine="590"/>
        <w:spacing w:after="0" w:line="278" w:lineRule="auto"/>
        <w:rPr>
          <w:sz w:val="20"/>
          <w:szCs w:val="20"/>
          <w:color w:val="auto"/>
        </w:rPr>
      </w:pPr>
      <w:r>
        <w:rPr>
          <w:rFonts w:ascii="Arial" w:cs="Arial" w:eastAsia="Arial" w:hAnsi="Arial"/>
          <w:sz w:val="15"/>
          <w:szCs w:val="15"/>
          <w:b w:val="1"/>
          <w:bCs w:val="1"/>
          <w:color w:val="auto"/>
        </w:rPr>
        <w:t xml:space="preserve">3.2 Lost, Stolen, Mutilated Or Destroyed Warrant Certificates. </w:t>
      </w:r>
      <w:r>
        <w:rPr>
          <w:rFonts w:ascii="Arial" w:cs="Arial" w:eastAsia="Arial" w:hAnsi="Arial"/>
          <w:sz w:val="15"/>
          <w:szCs w:val="15"/>
          <w:color w:val="auto"/>
        </w:rPr>
        <w:t>Upon receipt by the Warrant Agent of evidence reasonably satisfactory to it and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spacing w:after="0" w:line="159" w:lineRule="exact"/>
        <w:rPr>
          <w:sz w:val="20"/>
          <w:szCs w:val="20"/>
          <w:color w:val="auto"/>
        </w:rPr>
      </w:pPr>
    </w:p>
    <w:p>
      <w:pPr>
        <w:jc w:val="both"/>
        <w:ind w:firstLine="590"/>
        <w:spacing w:after="0" w:line="291" w:lineRule="auto"/>
        <w:rPr>
          <w:sz w:val="20"/>
          <w:szCs w:val="20"/>
          <w:color w:val="auto"/>
        </w:rPr>
      </w:pPr>
      <w:r>
        <w:rPr>
          <w:rFonts w:ascii="Arial" w:cs="Arial" w:eastAsia="Arial" w:hAnsi="Arial"/>
          <w:sz w:val="15"/>
          <w:szCs w:val="15"/>
          <w:b w:val="1"/>
          <w:bCs w:val="1"/>
          <w:color w:val="auto"/>
        </w:rPr>
        <w:t xml:space="preserve">3.3 Holder Of Warrant Certificate May Enforce Rights. </w:t>
      </w:r>
      <w:r>
        <w:rPr>
          <w:rFonts w:ascii="Arial" w:cs="Arial" w:eastAsia="Arial" w:hAnsi="Arial"/>
          <w:sz w:val="15"/>
          <w:szCs w:val="15"/>
          <w:color w:val="auto"/>
        </w:rPr>
        <w:t>Notwithstanding any of the provisions of this Agreement, any holder of a Warrant Certificate,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the consent of the Warrant Agent,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48" w:right="239" w:bottom="1440" w:gutter="0" w:footer="0" w:header="0"/>
        </w:sectPr>
      </w:pPr>
    </w:p>
    <w:bookmarkStart w:id="104" w:name="page105"/>
    <w:bookmarkEnd w:id="104"/>
    <w:p>
      <w:pPr>
        <w:jc w:val="both"/>
        <w:ind w:firstLine="590"/>
        <w:spacing w:after="0" w:line="278" w:lineRule="auto"/>
        <w:rPr>
          <w:sz w:val="20"/>
          <w:szCs w:val="20"/>
          <w:color w:val="auto"/>
        </w:rPr>
      </w:pPr>
      <w:r>
        <w:rPr>
          <w:rFonts w:ascii="Arial" w:cs="Arial" w:eastAsia="Arial" w:hAnsi="Arial"/>
          <w:sz w:val="15"/>
          <w:szCs w:val="15"/>
          <w:b w:val="1"/>
          <w:bCs w:val="1"/>
          <w:color w:val="auto"/>
        </w:rPr>
        <w:t xml:space="preserve">3.4 Merger, Sale, Conveyance or Lease. </w:t>
      </w:r>
      <w:r>
        <w:rPr>
          <w:rFonts w:ascii="Arial" w:cs="Arial" w:eastAsia="Arial" w:hAnsi="Arial"/>
          <w:sz w:val="15"/>
          <w:szCs w:val="15"/>
          <w:color w:val="auto"/>
        </w:rPr>
        <w:t>In case of (a) any share exchange, merger or similar transaction of the Company with or into another person or entity</w:t>
      </w:r>
      <w:r>
        <w:rPr>
          <w:rFonts w:ascii="Arial" w:cs="Arial" w:eastAsia="Arial" w:hAnsi="Arial"/>
          <w:sz w:val="15"/>
          <w:szCs w:val="15"/>
          <w:b w:val="1"/>
          <w:bCs w:val="1"/>
          <w:color w:val="auto"/>
        </w:rPr>
        <w:t xml:space="preserve"> </w:t>
      </w:r>
      <w:r>
        <w:rPr>
          <w:rFonts w:ascii="Arial" w:cs="Arial" w:eastAsia="Arial" w:hAnsi="Arial"/>
          <w:sz w:val="15"/>
          <w:szCs w:val="15"/>
          <w:color w:val="auto"/>
        </w:rPr>
        <w:t>(other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Arial" w:cs="Arial" w:eastAsia="Arial" w:hAnsi="Arial"/>
          <w:sz w:val="15"/>
          <w:szCs w:val="15"/>
          <w:b w:val="1"/>
          <w:bCs w:val="1"/>
          <w:i w:val="1"/>
          <w:iCs w:val="1"/>
          <w:color w:val="auto"/>
        </w:rPr>
        <w:t>Reorganization Event</w:t>
      </w:r>
      <w:r>
        <w:rPr>
          <w:rFonts w:ascii="Arial" w:cs="Arial" w:eastAsia="Arial" w:hAnsi="Arial"/>
          <w:sz w:val="15"/>
          <w:szCs w:val="15"/>
          <w:color w:val="auto"/>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spacing w:after="0" w:line="156" w:lineRule="exact"/>
        <w:rPr>
          <w:sz w:val="20"/>
          <w:szCs w:val="20"/>
          <w:color w:val="auto"/>
        </w:rPr>
      </w:pPr>
    </w:p>
    <w:p>
      <w:pPr>
        <w:jc w:val="both"/>
        <w:ind w:firstLine="590"/>
        <w:spacing w:after="0" w:line="284" w:lineRule="auto"/>
        <w:rPr>
          <w:sz w:val="20"/>
          <w:szCs w:val="20"/>
          <w:color w:val="auto"/>
        </w:rPr>
      </w:pPr>
      <w:r>
        <w:rPr>
          <w:rFonts w:ascii="Arial" w:cs="Arial" w:eastAsia="Arial" w:hAnsi="Arial"/>
          <w:sz w:val="15"/>
          <w:szCs w:val="15"/>
          <w:b w:val="1"/>
          <w:bCs w:val="1"/>
          <w:color w:val="auto"/>
        </w:rPr>
        <w:t xml:space="preserve">3.5 Notice to Warrantholders. </w:t>
      </w:r>
      <w:r>
        <w:rPr>
          <w:rFonts w:ascii="Arial" w:cs="Arial" w:eastAsia="Arial" w:hAnsi="Arial"/>
          <w:sz w:val="15"/>
          <w:szCs w:val="15"/>
          <w:color w:val="auto"/>
        </w:rPr>
        <w:t>In case the Company shall (a) effect any Reorganization Event or (b) make any distribution on or in respect of the [title of Warrant</w:t>
      </w:r>
      <w:r>
        <w:rPr>
          <w:rFonts w:ascii="Arial" w:cs="Arial" w:eastAsia="Arial" w:hAnsi="Arial"/>
          <w:sz w:val="15"/>
          <w:szCs w:val="15"/>
          <w:b w:val="1"/>
          <w:bCs w:val="1"/>
          <w:color w:val="auto"/>
        </w:rPr>
        <w:t xml:space="preserve"> </w:t>
      </w:r>
      <w:r>
        <w:rPr>
          <w:rFonts w:ascii="Arial" w:cs="Arial" w:eastAsia="Arial" w:hAnsi="Arial"/>
          <w:sz w:val="15"/>
          <w:szCs w:val="15"/>
          <w:color w:val="auto"/>
        </w:rPr>
        <w:t>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spacing w:after="0" w:line="152" w:lineRule="exact"/>
        <w:rPr>
          <w:sz w:val="20"/>
          <w:szCs w:val="20"/>
          <w:color w:val="auto"/>
        </w:rPr>
      </w:pPr>
    </w:p>
    <w:p>
      <w:pPr>
        <w:ind w:left="7180"/>
        <w:spacing w:after="0"/>
        <w:rPr>
          <w:sz w:val="20"/>
          <w:szCs w:val="20"/>
          <w:color w:val="auto"/>
        </w:rPr>
      </w:pPr>
      <w:r>
        <w:rPr>
          <w:rFonts w:ascii="Arial" w:cs="Arial" w:eastAsia="Arial" w:hAnsi="Arial"/>
          <w:sz w:val="16"/>
          <w:szCs w:val="16"/>
          <w:b w:val="1"/>
          <w:bCs w:val="1"/>
          <w:color w:val="auto"/>
        </w:rPr>
        <w:t>ARTICLE 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AND TRANSFER OF WARRANT CERTIFICATES</w:t>
      </w:r>
    </w:p>
    <w:p>
      <w:pPr>
        <w:spacing w:after="0" w:line="209" w:lineRule="exact"/>
        <w:rPr>
          <w:sz w:val="20"/>
          <w:szCs w:val="20"/>
          <w:color w:val="auto"/>
        </w:rPr>
      </w:pPr>
    </w:p>
    <w:p>
      <w:pPr>
        <w:jc w:val="both"/>
        <w:ind w:firstLine="590"/>
        <w:spacing w:after="0" w:line="277" w:lineRule="auto"/>
        <w:rPr>
          <w:sz w:val="20"/>
          <w:szCs w:val="20"/>
          <w:color w:val="auto"/>
        </w:rPr>
      </w:pPr>
      <w:r>
        <w:rPr>
          <w:rFonts w:ascii="Arial" w:cs="Arial" w:eastAsia="Arial" w:hAnsi="Arial"/>
          <w:sz w:val="15"/>
          <w:szCs w:val="15"/>
          <w:b w:val="1"/>
          <w:bCs w:val="1"/>
          <w:color w:val="auto"/>
        </w:rPr>
        <w:t xml:space="preserve">4.1 Exchange And Transfer Of Warrant Certificates. </w:t>
      </w:r>
      <w:r>
        <w:rPr>
          <w:rFonts w:ascii="Arial" w:cs="Arial" w:eastAsia="Arial" w:hAnsi="Arial"/>
          <w:sz w:val="15"/>
          <w:szCs w:val="15"/>
          <w:color w:val="auto"/>
        </w:rPr>
        <w:t>Upon surrender at the corporate trust office of the Warrant Agent, Warrant Certificates evidencing</w:t>
      </w:r>
      <w:r>
        <w:rPr>
          <w:rFonts w:ascii="Arial" w:cs="Arial" w:eastAsia="Arial" w:hAnsi="Arial"/>
          <w:sz w:val="15"/>
          <w:szCs w:val="15"/>
          <w:b w:val="1"/>
          <w:bCs w:val="1"/>
          <w:color w:val="auto"/>
        </w:rPr>
        <w:t xml:space="preserve"> </w:t>
      </w:r>
      <w:r>
        <w:rPr>
          <w:rFonts w:ascii="Arial" w:cs="Arial" w:eastAsia="Arial" w:hAnsi="Arial"/>
          <w:sz w:val="15"/>
          <w:szCs w:val="15"/>
          <w:color w:val="auto"/>
        </w:rPr>
        <w:t>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spacing w:after="0" w:line="163" w:lineRule="exact"/>
        <w:rPr>
          <w:sz w:val="20"/>
          <w:szCs w:val="20"/>
          <w:color w:val="auto"/>
        </w:rPr>
      </w:pPr>
    </w:p>
    <w:p>
      <w:pPr>
        <w:jc w:val="both"/>
        <w:ind w:firstLine="590"/>
        <w:spacing w:after="0" w:line="274" w:lineRule="auto"/>
        <w:rPr>
          <w:sz w:val="20"/>
          <w:szCs w:val="20"/>
          <w:color w:val="auto"/>
        </w:rPr>
      </w:pPr>
      <w:r>
        <w:rPr>
          <w:rFonts w:ascii="Arial" w:cs="Arial" w:eastAsia="Arial" w:hAnsi="Arial"/>
          <w:sz w:val="16"/>
          <w:szCs w:val="16"/>
          <w:b w:val="1"/>
          <w:bCs w:val="1"/>
          <w:color w:val="auto"/>
        </w:rPr>
        <w:t xml:space="preserve">4.2 Treatment Of Holders Of Warrant Certificates. </w:t>
      </w:r>
      <w:r>
        <w:rPr>
          <w:rFonts w:ascii="Arial" w:cs="Arial" w:eastAsia="Arial" w:hAnsi="Arial"/>
          <w:sz w:val="16"/>
          <w:szCs w:val="16"/>
          <w:color w:val="auto"/>
        </w:rPr>
        <w:t>The Company, the Warrant Agent and all other persons may treat the registered holder of a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as the absolute owner thereof for any purpose and as the person entitled to exercise the rights represented by the Warrants evidenced thereby, any notice to the contrary notwithstanding.</w:t>
      </w:r>
    </w:p>
    <w:p>
      <w:pPr>
        <w:spacing w:after="0" w:line="157" w:lineRule="exact"/>
        <w:rPr>
          <w:sz w:val="20"/>
          <w:szCs w:val="20"/>
          <w:color w:val="auto"/>
        </w:rPr>
      </w:pPr>
    </w:p>
    <w:p>
      <w:pPr>
        <w:jc w:val="both"/>
        <w:ind w:firstLine="590"/>
        <w:spacing w:after="0" w:line="265" w:lineRule="auto"/>
        <w:rPr>
          <w:sz w:val="20"/>
          <w:szCs w:val="20"/>
          <w:color w:val="auto"/>
        </w:rPr>
      </w:pPr>
      <w:r>
        <w:rPr>
          <w:rFonts w:ascii="Arial" w:cs="Arial" w:eastAsia="Arial" w:hAnsi="Arial"/>
          <w:sz w:val="16"/>
          <w:szCs w:val="16"/>
          <w:b w:val="1"/>
          <w:bCs w:val="1"/>
          <w:color w:val="auto"/>
        </w:rPr>
        <w:t xml:space="preserve">4.3 Cancellation Of Warrant Certificates. </w:t>
      </w:r>
      <w:r>
        <w:rPr>
          <w:rFonts w:ascii="Arial" w:cs="Arial" w:eastAsia="Arial" w:hAnsi="Arial"/>
          <w:sz w:val="16"/>
          <w:szCs w:val="16"/>
          <w:color w:val="auto"/>
        </w:rPr>
        <w:t>Any Warrant Certificate surrendered for exchange, registration of transfer or exercise of the Warrants evidenced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44" w:right="239" w:bottom="1440" w:gutter="0" w:footer="0" w:header="0"/>
        </w:sectPr>
      </w:pPr>
    </w:p>
    <w:bookmarkStart w:id="105" w:name="page106"/>
    <w:bookmarkEnd w:id="105"/>
    <w:p>
      <w:pPr>
        <w:ind w:left="7180"/>
        <w:spacing w:after="0"/>
        <w:rPr>
          <w:sz w:val="20"/>
          <w:szCs w:val="20"/>
          <w:color w:val="auto"/>
        </w:rPr>
      </w:pPr>
      <w:r>
        <w:rPr>
          <w:rFonts w:ascii="Arial" w:cs="Arial" w:eastAsia="Arial" w:hAnsi="Arial"/>
          <w:sz w:val="16"/>
          <w:szCs w:val="16"/>
          <w:b w:val="1"/>
          <w:bCs w:val="1"/>
          <w:color w:val="auto"/>
        </w:rPr>
        <w:t>ARTICLE 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CONCERNING THE WARRANT AGENT</w:t>
      </w:r>
    </w:p>
    <w:p>
      <w:pPr>
        <w:spacing w:after="0" w:line="209" w:lineRule="exact"/>
        <w:rPr>
          <w:sz w:val="20"/>
          <w:szCs w:val="20"/>
          <w:color w:val="auto"/>
        </w:rPr>
      </w:pPr>
    </w:p>
    <w:p>
      <w:pPr>
        <w:jc w:val="both"/>
        <w:ind w:firstLine="590"/>
        <w:spacing w:after="0" w:line="318" w:lineRule="auto"/>
        <w:rPr>
          <w:sz w:val="20"/>
          <w:szCs w:val="20"/>
          <w:color w:val="auto"/>
        </w:rPr>
      </w:pPr>
      <w:r>
        <w:rPr>
          <w:rFonts w:ascii="Arial" w:cs="Arial" w:eastAsia="Arial" w:hAnsi="Arial"/>
          <w:sz w:val="14"/>
          <w:szCs w:val="14"/>
          <w:b w:val="1"/>
          <w:bCs w:val="1"/>
          <w:color w:val="auto"/>
        </w:rPr>
        <w:t xml:space="preserve">5.1 Warrant Agent. </w:t>
      </w:r>
      <w:r>
        <w:rPr>
          <w:rFonts w:ascii="Arial" w:cs="Arial" w:eastAsia="Arial" w:hAnsi="Arial"/>
          <w:sz w:val="14"/>
          <w:szCs w:val="14"/>
          <w:color w:val="auto"/>
        </w:rPr>
        <w:t>The Company hereby appoints [●] as Warrant Agent of the Company in respect of the Warrants and the Warrant Certificates upon the terms</w:t>
      </w:r>
      <w:r>
        <w:rPr>
          <w:rFonts w:ascii="Arial" w:cs="Arial" w:eastAsia="Arial" w:hAnsi="Arial"/>
          <w:sz w:val="14"/>
          <w:szCs w:val="14"/>
          <w:b w:val="1"/>
          <w:bCs w:val="1"/>
          <w:color w:val="auto"/>
        </w:rPr>
        <w:t xml:space="preserve"> </w:t>
      </w:r>
      <w:r>
        <w:rPr>
          <w:rFonts w:ascii="Arial" w:cs="Arial" w:eastAsia="Arial" w:hAnsi="Arial"/>
          <w:sz w:val="14"/>
          <w:szCs w:val="14"/>
          <w:color w:val="auto"/>
        </w:rPr>
        <w:t>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spacing w:after="0" w:line="130" w:lineRule="exact"/>
        <w:rPr>
          <w:sz w:val="20"/>
          <w:szCs w:val="20"/>
          <w:color w:val="auto"/>
        </w:rPr>
      </w:pPr>
    </w:p>
    <w:p>
      <w:pPr>
        <w:jc w:val="both"/>
        <w:ind w:firstLine="590"/>
        <w:spacing w:after="0" w:line="328" w:lineRule="auto"/>
        <w:rPr>
          <w:sz w:val="20"/>
          <w:szCs w:val="20"/>
          <w:color w:val="auto"/>
        </w:rPr>
      </w:pPr>
      <w:r>
        <w:rPr>
          <w:rFonts w:ascii="Arial" w:cs="Arial" w:eastAsia="Arial" w:hAnsi="Arial"/>
          <w:sz w:val="15"/>
          <w:szCs w:val="15"/>
          <w:b w:val="1"/>
          <w:bCs w:val="1"/>
          <w:color w:val="auto"/>
        </w:rPr>
        <w:t xml:space="preserve">5.2 Conditions Of Warrant Agent’s Obligations. </w:t>
      </w:r>
      <w:r>
        <w:rPr>
          <w:rFonts w:ascii="Arial" w:cs="Arial" w:eastAsia="Arial" w:hAnsi="Arial"/>
          <w:sz w:val="15"/>
          <w:szCs w:val="15"/>
          <w:color w:val="auto"/>
        </w:rPr>
        <w:t>The Warrant Agent accepts its obligations herein set forth upon the terms and conditions hereof, including the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to all of which the Company agrees and to all of which the rights hereunder of the holders from time to time of the Warrant Certificates shall be subject:</w:t>
      </w:r>
    </w:p>
    <w:p>
      <w:pPr>
        <w:spacing w:after="0" w:line="123" w:lineRule="exact"/>
        <w:rPr>
          <w:sz w:val="20"/>
          <w:szCs w:val="20"/>
          <w:color w:val="auto"/>
        </w:rPr>
      </w:pPr>
    </w:p>
    <w:p>
      <w:pPr>
        <w:jc w:val="both"/>
        <w:ind w:firstLine="1178"/>
        <w:spacing w:after="0" w:line="262" w:lineRule="auto"/>
        <w:tabs>
          <w:tab w:leader="none" w:pos="1535"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Compensation And Indemnification. </w:t>
      </w:r>
      <w:r>
        <w:rPr>
          <w:rFonts w:ascii="Arial" w:cs="Arial" w:eastAsia="Arial" w:hAnsi="Arial"/>
          <w:sz w:val="16"/>
          <w:szCs w:val="16"/>
          <w:color w:val="auto"/>
        </w:rPr>
        <w:t>The Company agrees promptly to pay the Warrant Agent the compensation to be agreed upon with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spacing w:after="0" w:line="171" w:lineRule="exact"/>
        <w:rPr>
          <w:rFonts w:ascii="Arial" w:cs="Arial" w:eastAsia="Arial" w:hAnsi="Arial"/>
          <w:sz w:val="16"/>
          <w:szCs w:val="16"/>
          <w:b w:val="1"/>
          <w:bCs w:val="1"/>
          <w:color w:val="auto"/>
        </w:rPr>
      </w:pPr>
    </w:p>
    <w:p>
      <w:pPr>
        <w:jc w:val="both"/>
        <w:ind w:firstLine="1178"/>
        <w:spacing w:after="0" w:line="272" w:lineRule="auto"/>
        <w:tabs>
          <w:tab w:leader="none" w:pos="1544"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Agent For The Company. </w:t>
      </w:r>
      <w:r>
        <w:rPr>
          <w:rFonts w:ascii="Arial" w:cs="Arial" w:eastAsia="Arial" w:hAnsi="Arial"/>
          <w:sz w:val="16"/>
          <w:szCs w:val="16"/>
          <w:color w:val="auto"/>
        </w:rPr>
        <w:t>In acting under this Warrant Agreement and in connection with the Warrant Certificates, the Warrant Agent is acting solely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agent of the Company and does not assume any obligations or relationship of agency or trust for or with any of the holders of Warrant Certificates or beneficial owners of Warrants.</w:t>
      </w:r>
    </w:p>
    <w:p>
      <w:pPr>
        <w:spacing w:after="0" w:line="161" w:lineRule="exact"/>
        <w:rPr>
          <w:rFonts w:ascii="Arial" w:cs="Arial" w:eastAsia="Arial" w:hAnsi="Arial"/>
          <w:sz w:val="16"/>
          <w:szCs w:val="16"/>
          <w:b w:val="1"/>
          <w:bCs w:val="1"/>
          <w:color w:val="auto"/>
        </w:rPr>
      </w:pPr>
    </w:p>
    <w:p>
      <w:pPr>
        <w:jc w:val="both"/>
        <w:ind w:firstLine="1178"/>
        <w:spacing w:after="0" w:line="272" w:lineRule="auto"/>
        <w:tabs>
          <w:tab w:leader="none" w:pos="1538"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Counsel. </w:t>
      </w:r>
      <w:r>
        <w:rPr>
          <w:rFonts w:ascii="Arial" w:cs="Arial" w:eastAsia="Arial" w:hAnsi="Arial"/>
          <w:sz w:val="16"/>
          <w:szCs w:val="16"/>
          <w:color w:val="auto"/>
        </w:rPr>
        <w:t>The Warrant Agent may consult with counsel satisfactory to it, which may include counsel for the Company, and the written advice of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shall be full and complete authorization and protection in respect of any action taken, suffered or omitted by it hereunder in good faith and in accordance with the advice of such counsel.</w:t>
      </w:r>
    </w:p>
    <w:p>
      <w:pPr>
        <w:spacing w:after="0" w:line="161" w:lineRule="exact"/>
        <w:rPr>
          <w:rFonts w:ascii="Arial" w:cs="Arial" w:eastAsia="Arial" w:hAnsi="Arial"/>
          <w:sz w:val="16"/>
          <w:szCs w:val="16"/>
          <w:b w:val="1"/>
          <w:bCs w:val="1"/>
          <w:color w:val="auto"/>
        </w:rPr>
      </w:pPr>
    </w:p>
    <w:p>
      <w:pPr>
        <w:jc w:val="both"/>
        <w:ind w:firstLine="1178"/>
        <w:spacing w:after="0" w:line="272" w:lineRule="auto"/>
        <w:tabs>
          <w:tab w:leader="none" w:pos="1544"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Documents. </w:t>
      </w:r>
      <w:r>
        <w:rPr>
          <w:rFonts w:ascii="Arial" w:cs="Arial" w:eastAsia="Arial" w:hAnsi="Arial"/>
          <w:sz w:val="16"/>
          <w:szCs w:val="16"/>
          <w:color w:val="auto"/>
        </w:rPr>
        <w:t>The Warrant Agent shall be protected and shall incur no liability for or in respect of any action taken or omitted by it in reliance upon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 Certificate, notice, direction, consent, certificate, affidavit, statement or other paper or document reasonably believed by it to be genuine and to have been presented or signed by the proper parties.</w:t>
      </w:r>
    </w:p>
    <w:p>
      <w:pPr>
        <w:spacing w:after="0" w:line="161" w:lineRule="exact"/>
        <w:rPr>
          <w:rFonts w:ascii="Arial" w:cs="Arial" w:eastAsia="Arial" w:hAnsi="Arial"/>
          <w:sz w:val="16"/>
          <w:szCs w:val="16"/>
          <w:b w:val="1"/>
          <w:bCs w:val="1"/>
          <w:color w:val="auto"/>
        </w:rPr>
      </w:pPr>
    </w:p>
    <w:p>
      <w:pPr>
        <w:jc w:val="both"/>
        <w:ind w:firstLine="1178"/>
        <w:spacing w:after="0" w:line="264" w:lineRule="auto"/>
        <w:tabs>
          <w:tab w:leader="none" w:pos="155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Certain Transactions. </w:t>
      </w:r>
      <w:r>
        <w:rPr>
          <w:rFonts w:ascii="Arial" w:cs="Arial" w:eastAsia="Arial" w:hAnsi="Arial"/>
          <w:sz w:val="16"/>
          <w:szCs w:val="16"/>
          <w:color w:val="auto"/>
        </w:rPr>
        <w:t>The Warrant Agent, and its officers, directors and employees, may become the owner of, or acquire any interest in, Warrants,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Warrant Agreement shall be deemed to prevent the Warrant Agent from acting as Trustee under the Indenture.</w:t>
      </w:r>
    </w:p>
    <w:p>
      <w:pPr>
        <w:spacing w:after="0" w:line="168" w:lineRule="exact"/>
        <w:rPr>
          <w:rFonts w:ascii="Arial" w:cs="Arial" w:eastAsia="Arial" w:hAnsi="Arial"/>
          <w:sz w:val="16"/>
          <w:szCs w:val="16"/>
          <w:b w:val="1"/>
          <w:bCs w:val="1"/>
          <w:color w:val="auto"/>
        </w:rPr>
      </w:pPr>
    </w:p>
    <w:p>
      <w:pPr>
        <w:ind w:firstLine="1178"/>
        <w:spacing w:after="0" w:line="287" w:lineRule="auto"/>
        <w:tabs>
          <w:tab w:leader="none" w:pos="1507"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Liability For Interest. </w:t>
      </w:r>
      <w:r>
        <w:rPr>
          <w:rFonts w:ascii="Arial" w:cs="Arial" w:eastAsia="Arial" w:hAnsi="Arial"/>
          <w:sz w:val="16"/>
          <w:szCs w:val="16"/>
          <w:color w:val="auto"/>
        </w:rPr>
        <w:t>Unless otherwise agreed with the Company, the Warrant Agent shall have no liability for interest on any monies at any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by it pursuant to any of the provisions of this Agreement or of the Warrant Certificates.</w:t>
      </w:r>
    </w:p>
    <w:p>
      <w:pPr>
        <w:spacing w:after="0" w:line="149" w:lineRule="exact"/>
        <w:rPr>
          <w:rFonts w:ascii="Arial" w:cs="Arial" w:eastAsia="Arial" w:hAnsi="Arial"/>
          <w:sz w:val="16"/>
          <w:szCs w:val="16"/>
          <w:b w:val="1"/>
          <w:bCs w:val="1"/>
          <w:color w:val="auto"/>
        </w:rPr>
      </w:pPr>
    </w:p>
    <w:p>
      <w:pPr>
        <w:ind w:firstLine="1178"/>
        <w:spacing w:after="0" w:line="287" w:lineRule="auto"/>
        <w:tabs>
          <w:tab w:leader="none" w:pos="1633"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Liability For Invalidity. </w:t>
      </w:r>
      <w:r>
        <w:rPr>
          <w:rFonts w:ascii="Arial" w:cs="Arial" w:eastAsia="Arial" w:hAnsi="Arial"/>
          <w:sz w:val="16"/>
          <w:szCs w:val="16"/>
          <w:color w:val="auto"/>
        </w:rPr>
        <w:t>The Warrant Agent shall have no liability with respect to any invalidity of this Agreement or any of the Warrant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(except as to the Warrant Agent’s countersignature thereon).</w:t>
      </w:r>
    </w:p>
    <w:p>
      <w:pPr>
        <w:spacing w:after="0" w:line="149" w:lineRule="exact"/>
        <w:rPr>
          <w:rFonts w:ascii="Arial" w:cs="Arial" w:eastAsia="Arial" w:hAnsi="Arial"/>
          <w:sz w:val="16"/>
          <w:szCs w:val="16"/>
          <w:b w:val="1"/>
          <w:bCs w:val="1"/>
          <w:color w:val="auto"/>
        </w:rPr>
      </w:pPr>
    </w:p>
    <w:p>
      <w:pPr>
        <w:ind w:firstLine="1178"/>
        <w:spacing w:after="0" w:line="287" w:lineRule="auto"/>
        <w:tabs>
          <w:tab w:leader="none" w:pos="1556"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Responsibility For Representations. </w:t>
      </w:r>
      <w:r>
        <w:rPr>
          <w:rFonts w:ascii="Arial" w:cs="Arial" w:eastAsia="Arial" w:hAnsi="Arial"/>
          <w:sz w:val="16"/>
          <w:szCs w:val="16"/>
          <w:color w:val="auto"/>
        </w:rPr>
        <w:t>The Warrant Agent shall not be responsible for any of the recitals or representations herein or in the Warrant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(except as to the Warrant Agent’s countersignature thereon), all of which are made solely by the Company.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44" w:right="239" w:bottom="1440" w:gutter="0" w:footer="0" w:header="0"/>
        </w:sectPr>
      </w:pPr>
    </w:p>
    <w:bookmarkStart w:id="106" w:name="page107"/>
    <w:bookmarkEnd w:id="106"/>
    <w:p>
      <w:pPr>
        <w:jc w:val="both"/>
        <w:ind w:firstLine="1178"/>
        <w:spacing w:after="0" w:line="260" w:lineRule="auto"/>
        <w:tabs>
          <w:tab w:leader="none" w:pos="1498"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Implied Obligations. </w:t>
      </w:r>
      <w:r>
        <w:rPr>
          <w:rFonts w:ascii="Arial" w:cs="Arial" w:eastAsia="Arial" w:hAnsi="Arial"/>
          <w:sz w:val="16"/>
          <w:szCs w:val="16"/>
          <w:color w:val="auto"/>
        </w:rPr>
        <w:t>The Warrant Agent shall be obligated to perform only such duties as are herein and in the Warrant Certificates specifically 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spacing w:after="0" w:line="169" w:lineRule="exact"/>
        <w:rPr>
          <w:sz w:val="20"/>
          <w:szCs w:val="20"/>
          <w:color w:val="auto"/>
        </w:rPr>
      </w:pPr>
    </w:p>
    <w:p>
      <w:pPr>
        <w:ind w:left="580"/>
        <w:spacing w:after="0"/>
        <w:tabs>
          <w:tab w:leader="none" w:pos="940" w:val="left"/>
        </w:tabs>
        <w:rPr>
          <w:sz w:val="20"/>
          <w:szCs w:val="20"/>
          <w:color w:val="auto"/>
        </w:rPr>
      </w:pPr>
      <w:r>
        <w:rPr>
          <w:rFonts w:ascii="Arial" w:cs="Arial" w:eastAsia="Arial" w:hAnsi="Arial"/>
          <w:sz w:val="16"/>
          <w:szCs w:val="16"/>
          <w:b w:val="1"/>
          <w:bCs w:val="1"/>
          <w:color w:val="auto"/>
        </w:rPr>
        <w:t>5.3</w:t>
      </w:r>
      <w:r>
        <w:rPr>
          <w:sz w:val="20"/>
          <w:szCs w:val="20"/>
          <w:color w:val="auto"/>
        </w:rPr>
        <w:tab/>
      </w:r>
      <w:r>
        <w:rPr>
          <w:rFonts w:ascii="Arial" w:cs="Arial" w:eastAsia="Arial" w:hAnsi="Arial"/>
          <w:sz w:val="14"/>
          <w:szCs w:val="14"/>
          <w:b w:val="1"/>
          <w:bCs w:val="1"/>
          <w:color w:val="auto"/>
        </w:rPr>
        <w:t>Resignation, Removal And Appointment Of Successors.</w:t>
      </w:r>
    </w:p>
    <w:p>
      <w:pPr>
        <w:spacing w:after="0" w:line="213" w:lineRule="exact"/>
        <w:rPr>
          <w:sz w:val="20"/>
          <w:szCs w:val="20"/>
          <w:color w:val="auto"/>
        </w:rPr>
      </w:pPr>
    </w:p>
    <w:p>
      <w:pPr>
        <w:ind w:firstLine="1178"/>
        <w:spacing w:after="0" w:line="287" w:lineRule="auto"/>
        <w:tabs>
          <w:tab w:leader="none" w:pos="1592"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The Company agrees, for the benefit of the holders from time to time of the Warrant Certificates, that there shall at all times be a Warrant Agent hereunder until all the Warrants have been exercised or are no longer exercisable.</w:t>
      </w:r>
    </w:p>
    <w:p>
      <w:pPr>
        <w:spacing w:after="0" w:line="149" w:lineRule="exact"/>
        <w:rPr>
          <w:rFonts w:ascii="Arial" w:cs="Arial" w:eastAsia="Arial" w:hAnsi="Arial"/>
          <w:sz w:val="16"/>
          <w:szCs w:val="16"/>
          <w:b w:val="1"/>
          <w:bCs w:val="1"/>
          <w:color w:val="auto"/>
        </w:rPr>
      </w:pPr>
    </w:p>
    <w:p>
      <w:pPr>
        <w:jc w:val="both"/>
        <w:ind w:firstLine="1178"/>
        <w:spacing w:after="0" w:line="261" w:lineRule="auto"/>
        <w:tabs>
          <w:tab w:leader="none" w:pos="1543"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spacing w:after="0" w:line="172" w:lineRule="exact"/>
        <w:rPr>
          <w:rFonts w:ascii="Arial" w:cs="Arial" w:eastAsia="Arial" w:hAnsi="Arial"/>
          <w:sz w:val="16"/>
          <w:szCs w:val="16"/>
          <w:b w:val="1"/>
          <w:bCs w:val="1"/>
          <w:color w:val="auto"/>
        </w:rPr>
      </w:pPr>
    </w:p>
    <w:p>
      <w:pPr>
        <w:jc w:val="both"/>
        <w:ind w:firstLine="1178"/>
        <w:spacing w:after="0" w:line="278" w:lineRule="auto"/>
        <w:tabs>
          <w:tab w:leader="none" w:pos="1596" w:val="left"/>
        </w:tabs>
        <w:numPr>
          <w:ilvl w:val="0"/>
          <w:numId w:val="113"/>
        </w:numPr>
        <w:rPr>
          <w:rFonts w:ascii="Arial" w:cs="Arial" w:eastAsia="Arial" w:hAnsi="Arial"/>
          <w:sz w:val="15"/>
          <w:szCs w:val="15"/>
          <w:b w:val="1"/>
          <w:bCs w:val="1"/>
          <w:color w:val="auto"/>
        </w:rPr>
      </w:pPr>
      <w:r>
        <w:rPr>
          <w:rFonts w:ascii="Arial" w:cs="Arial" w:eastAsia="Arial" w:hAnsi="Arial"/>
          <w:sz w:val="15"/>
          <w:szCs w:val="15"/>
          <w:color w:val="auto"/>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spacing w:after="0" w:line="162" w:lineRule="exact"/>
        <w:rPr>
          <w:rFonts w:ascii="Arial" w:cs="Arial" w:eastAsia="Arial" w:hAnsi="Arial"/>
          <w:sz w:val="15"/>
          <w:szCs w:val="15"/>
          <w:b w:val="1"/>
          <w:bCs w:val="1"/>
          <w:color w:val="auto"/>
        </w:rPr>
      </w:pPr>
    </w:p>
    <w:p>
      <w:pPr>
        <w:jc w:val="both"/>
        <w:ind w:firstLine="1178"/>
        <w:spacing w:after="0" w:line="286" w:lineRule="auto"/>
        <w:tabs>
          <w:tab w:leader="none" w:pos="1614" w:val="left"/>
        </w:tabs>
        <w:numPr>
          <w:ilvl w:val="0"/>
          <w:numId w:val="113"/>
        </w:numPr>
        <w:rPr>
          <w:rFonts w:ascii="Arial" w:cs="Arial" w:eastAsia="Arial" w:hAnsi="Arial"/>
          <w:sz w:val="15"/>
          <w:szCs w:val="15"/>
          <w:b w:val="1"/>
          <w:bCs w:val="1"/>
          <w:color w:val="auto"/>
        </w:rPr>
      </w:pPr>
      <w:r>
        <w:rPr>
          <w:rFonts w:ascii="Arial" w:cs="Arial" w:eastAsia="Arial" w:hAnsi="Arial"/>
          <w:sz w:val="15"/>
          <w:szCs w:val="15"/>
          <w:color w:val="auto"/>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52" w:lineRule="exact"/>
        <w:rPr>
          <w:rFonts w:ascii="Arial" w:cs="Arial" w:eastAsia="Arial" w:hAnsi="Arial"/>
          <w:sz w:val="15"/>
          <w:szCs w:val="15"/>
          <w:b w:val="1"/>
          <w:bCs w:val="1"/>
          <w:color w:val="auto"/>
        </w:rPr>
      </w:pPr>
    </w:p>
    <w:p>
      <w:pPr>
        <w:jc w:val="both"/>
        <w:ind w:firstLine="1178"/>
        <w:spacing w:after="0" w:line="290" w:lineRule="auto"/>
        <w:tabs>
          <w:tab w:leader="none" w:pos="1586" w:val="left"/>
        </w:tabs>
        <w:numPr>
          <w:ilvl w:val="0"/>
          <w:numId w:val="113"/>
        </w:numPr>
        <w:rPr>
          <w:rFonts w:ascii="Arial" w:cs="Arial" w:eastAsia="Arial" w:hAnsi="Arial"/>
          <w:sz w:val="15"/>
          <w:szCs w:val="15"/>
          <w:b w:val="1"/>
          <w:bCs w:val="1"/>
          <w:color w:val="auto"/>
        </w:rPr>
      </w:pPr>
      <w:r>
        <w:rPr>
          <w:rFonts w:ascii="Arial" w:cs="Arial" w:eastAsia="Arial" w:hAnsi="Arial"/>
          <w:sz w:val="15"/>
          <w:szCs w:val="15"/>
          <w:color w:val="auto"/>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48" w:right="239" w:bottom="1440" w:gutter="0" w:footer="0" w:header="0"/>
        </w:sectPr>
      </w:pPr>
    </w:p>
    <w:bookmarkStart w:id="107" w:name="page108"/>
    <w:bookmarkEnd w:id="107"/>
    <w:p>
      <w:pPr>
        <w:ind w:left="7180"/>
        <w:spacing w:after="0"/>
        <w:rPr>
          <w:sz w:val="20"/>
          <w:szCs w:val="20"/>
          <w:color w:val="auto"/>
        </w:rPr>
      </w:pPr>
      <w:r>
        <w:rPr>
          <w:rFonts w:ascii="Arial" w:cs="Arial" w:eastAsia="Arial" w:hAnsi="Arial"/>
          <w:sz w:val="16"/>
          <w:szCs w:val="16"/>
          <w:b w:val="1"/>
          <w:bCs w:val="1"/>
          <w:color w:val="auto"/>
        </w:rPr>
        <w:t>ARTICLE 6</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209"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6"/>
          <w:szCs w:val="16"/>
          <w:b w:val="1"/>
          <w:bCs w:val="1"/>
          <w:color w:val="auto"/>
        </w:rPr>
        <w:t xml:space="preserve">6.1 Amendment. </w:t>
      </w:r>
      <w:r>
        <w:rPr>
          <w:rFonts w:ascii="Arial" w:cs="Arial" w:eastAsia="Arial" w:hAnsi="Arial"/>
          <w:sz w:val="16"/>
          <w:szCs w:val="16"/>
          <w:color w:val="auto"/>
        </w:rPr>
        <w:t>This Agreement may be amended by the parties hereto, without the consent of the holder of any Warrant Certificate, for the purpose of curing</w:t>
      </w:r>
      <w:r>
        <w:rPr>
          <w:rFonts w:ascii="Arial" w:cs="Arial" w:eastAsia="Arial" w:hAnsi="Arial"/>
          <w:sz w:val="16"/>
          <w:szCs w:val="16"/>
          <w:b w:val="1"/>
          <w:bCs w:val="1"/>
          <w:color w:val="auto"/>
        </w:rPr>
        <w:t xml:space="preserve"> </w:t>
      </w:r>
      <w:r>
        <w:rPr>
          <w:rFonts w:ascii="Arial" w:cs="Arial" w:eastAsia="Arial" w:hAnsi="Arial"/>
          <w:sz w:val="16"/>
          <w:szCs w:val="16"/>
          <w:color w:val="auto"/>
        </w:rPr>
        <w:t>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spacing w:after="0" w:line="162" w:lineRule="exact"/>
        <w:rPr>
          <w:sz w:val="20"/>
          <w:szCs w:val="20"/>
          <w:color w:val="auto"/>
        </w:rPr>
      </w:pPr>
    </w:p>
    <w:p>
      <w:pPr>
        <w:jc w:val="both"/>
        <w:ind w:firstLine="590"/>
        <w:spacing w:after="0" w:line="328" w:lineRule="auto"/>
        <w:rPr>
          <w:sz w:val="20"/>
          <w:szCs w:val="20"/>
          <w:color w:val="auto"/>
        </w:rPr>
      </w:pPr>
      <w:r>
        <w:rPr>
          <w:rFonts w:ascii="Arial" w:cs="Arial" w:eastAsia="Arial" w:hAnsi="Arial"/>
          <w:sz w:val="15"/>
          <w:szCs w:val="15"/>
          <w:b w:val="1"/>
          <w:bCs w:val="1"/>
          <w:color w:val="auto"/>
        </w:rPr>
        <w:t xml:space="preserve">6.2 Notices And Demands To The Company And Warrant Agent. </w:t>
      </w:r>
      <w:r>
        <w:rPr>
          <w:rFonts w:ascii="Arial" w:cs="Arial" w:eastAsia="Arial" w:hAnsi="Arial"/>
          <w:sz w:val="15"/>
          <w:szCs w:val="15"/>
          <w:color w:val="auto"/>
        </w:rPr>
        <w:t>If the Warrant Agent shall receive any notice or demand addressed to the Company by the</w:t>
      </w:r>
      <w:r>
        <w:rPr>
          <w:rFonts w:ascii="Arial" w:cs="Arial" w:eastAsia="Arial" w:hAnsi="Arial"/>
          <w:sz w:val="15"/>
          <w:szCs w:val="15"/>
          <w:b w:val="1"/>
          <w:bCs w:val="1"/>
          <w:color w:val="auto"/>
        </w:rPr>
        <w:t xml:space="preserve"> </w:t>
      </w:r>
      <w:r>
        <w:rPr>
          <w:rFonts w:ascii="Arial" w:cs="Arial" w:eastAsia="Arial" w:hAnsi="Arial"/>
          <w:sz w:val="15"/>
          <w:szCs w:val="15"/>
          <w:color w:val="auto"/>
        </w:rPr>
        <w:t>holder of a Warrant Certificate pursuant to the provisions of the Warrant Certificates, the Warrant Agent shall promptly forward such notice or demand to the Company.</w:t>
      </w:r>
    </w:p>
    <w:p>
      <w:pPr>
        <w:spacing w:after="0" w:line="119" w:lineRule="exact"/>
        <w:rPr>
          <w:sz w:val="20"/>
          <w:szCs w:val="20"/>
          <w:color w:val="auto"/>
        </w:rPr>
      </w:pPr>
    </w:p>
    <w:p>
      <w:pPr>
        <w:jc w:val="both"/>
        <w:ind w:firstLine="590"/>
        <w:spacing w:after="0" w:line="274" w:lineRule="auto"/>
        <w:rPr>
          <w:sz w:val="20"/>
          <w:szCs w:val="20"/>
          <w:color w:val="auto"/>
        </w:rPr>
      </w:pPr>
      <w:r>
        <w:rPr>
          <w:rFonts w:ascii="Arial" w:cs="Arial" w:eastAsia="Arial" w:hAnsi="Arial"/>
          <w:sz w:val="16"/>
          <w:szCs w:val="16"/>
          <w:b w:val="1"/>
          <w:bCs w:val="1"/>
          <w:color w:val="auto"/>
        </w:rPr>
        <w:t xml:space="preserve">6.3 Addresses. </w:t>
      </w:r>
      <w:r>
        <w:rPr>
          <w:rFonts w:ascii="Arial" w:cs="Arial" w:eastAsia="Arial" w:hAnsi="Arial"/>
          <w:sz w:val="16"/>
          <w:szCs w:val="16"/>
          <w:color w:val="auto"/>
        </w:rPr>
        <w:t>Any communication from the Company to the Warrant Agent with respect to this Agreement shall be addressed to [●], Attention: [●]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 from the Warrant Agent to the Company with respect to this Agreement shall be addressed to SI-BONE, Inc., 471 El Camino Real, Santa Clara, CA 95050, Attention: [●] (or such other address as shall be specified in writing by the Warrant Agent or by the Company).</w:t>
      </w:r>
    </w:p>
    <w:p>
      <w:pPr>
        <w:spacing w:after="0" w:line="157"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 xml:space="preserve">6.4 Governing Law. </w:t>
      </w:r>
      <w:r>
        <w:rPr>
          <w:rFonts w:ascii="Arial" w:cs="Arial" w:eastAsia="Arial" w:hAnsi="Arial"/>
          <w:sz w:val="16"/>
          <w:szCs w:val="16"/>
          <w:color w:val="auto"/>
        </w:rPr>
        <w:t>This Agreement and each Warrant Certificate issued hereunder shall be governed by and construed in accordance with the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New York.</w:t>
      </w:r>
    </w:p>
    <w:p>
      <w:pPr>
        <w:spacing w:after="0" w:line="141" w:lineRule="exact"/>
        <w:rPr>
          <w:sz w:val="20"/>
          <w:szCs w:val="20"/>
          <w:color w:val="auto"/>
        </w:rPr>
      </w:pPr>
    </w:p>
    <w:p>
      <w:pPr>
        <w:jc w:val="both"/>
        <w:ind w:firstLine="590"/>
        <w:spacing w:after="0" w:line="265" w:lineRule="auto"/>
        <w:rPr>
          <w:sz w:val="20"/>
          <w:szCs w:val="20"/>
          <w:color w:val="auto"/>
        </w:rPr>
      </w:pPr>
      <w:r>
        <w:rPr>
          <w:rFonts w:ascii="Arial" w:cs="Arial" w:eastAsia="Arial" w:hAnsi="Arial"/>
          <w:sz w:val="16"/>
          <w:szCs w:val="16"/>
          <w:b w:val="1"/>
          <w:bCs w:val="1"/>
          <w:color w:val="auto"/>
        </w:rPr>
        <w:t xml:space="preserve">6.5 Delivery Of Prospectus. </w:t>
      </w:r>
      <w:r>
        <w:rPr>
          <w:rFonts w:ascii="Arial" w:cs="Arial" w:eastAsia="Arial" w:hAnsi="Arial"/>
          <w:sz w:val="16"/>
          <w:szCs w:val="16"/>
          <w:color w:val="auto"/>
        </w:rPr>
        <w:t>The Company shall furnish to the Warrant Agent sufficient copies of a prospectus meeting the requirements of the Securities Act of</w:t>
      </w:r>
      <w:r>
        <w:rPr>
          <w:rFonts w:ascii="Arial" w:cs="Arial" w:eastAsia="Arial" w:hAnsi="Arial"/>
          <w:sz w:val="16"/>
          <w:szCs w:val="16"/>
          <w:b w:val="1"/>
          <w:bCs w:val="1"/>
          <w:color w:val="auto"/>
        </w:rPr>
        <w:t xml:space="preserve"> </w:t>
      </w:r>
      <w:r>
        <w:rPr>
          <w:rFonts w:ascii="Arial" w:cs="Arial" w:eastAsia="Arial" w:hAnsi="Arial"/>
          <w:sz w:val="16"/>
          <w:szCs w:val="16"/>
          <w:color w:val="auto"/>
        </w:rPr>
        <w:t>1933, as amended, relating to the Warrant Debt Securities deliverable upon exercise of the Warrants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spacing w:after="0" w:line="164" w:lineRule="exact"/>
        <w:rPr>
          <w:sz w:val="20"/>
          <w:szCs w:val="20"/>
          <w:color w:val="auto"/>
        </w:rPr>
      </w:pPr>
    </w:p>
    <w:p>
      <w:pPr>
        <w:jc w:val="both"/>
        <w:ind w:firstLine="590"/>
        <w:spacing w:after="0" w:line="265" w:lineRule="auto"/>
        <w:rPr>
          <w:sz w:val="20"/>
          <w:szCs w:val="20"/>
          <w:color w:val="auto"/>
        </w:rPr>
      </w:pPr>
      <w:r>
        <w:rPr>
          <w:rFonts w:ascii="Arial" w:cs="Arial" w:eastAsia="Arial" w:hAnsi="Arial"/>
          <w:sz w:val="16"/>
          <w:szCs w:val="16"/>
          <w:b w:val="1"/>
          <w:bCs w:val="1"/>
          <w:color w:val="auto"/>
        </w:rPr>
        <w:t xml:space="preserve">6.6 Obtaining Of Governmental Approvals. </w:t>
      </w:r>
      <w:r>
        <w:rPr>
          <w:rFonts w:ascii="Arial" w:cs="Arial" w:eastAsia="Arial" w:hAnsi="Arial"/>
          <w:sz w:val="16"/>
          <w:szCs w:val="16"/>
          <w:color w:val="auto"/>
        </w:rPr>
        <w:t>The Company will from time to time take all action which may be necessary to obtain and keep effective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spacing w:after="0" w:line="164"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 xml:space="preserve">6.7 Persons Having Rights Under Warrant Agreement. </w:t>
      </w:r>
      <w:r>
        <w:rPr>
          <w:rFonts w:ascii="Arial" w:cs="Arial" w:eastAsia="Arial" w:hAnsi="Arial"/>
          <w:sz w:val="16"/>
          <w:szCs w:val="16"/>
          <w:color w:val="auto"/>
        </w:rPr>
        <w:t>Nothing in this Agreement shall give to any person other than the Company, the Warrant Agent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the Warrant Certificates any right, remedy or claim under or by reason of this Agreement.</w:t>
      </w:r>
    </w:p>
    <w:p>
      <w:pPr>
        <w:spacing w:after="0" w:line="141"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 xml:space="preserve">6.8 Headings. </w:t>
      </w:r>
      <w:r>
        <w:rPr>
          <w:rFonts w:ascii="Arial" w:cs="Arial" w:eastAsia="Arial" w:hAnsi="Arial"/>
          <w:sz w:val="16"/>
          <w:szCs w:val="16"/>
          <w:color w:val="auto"/>
        </w:rPr>
        <w:t>The descriptive headings of the several Articles and Sections of this Agreement are inserted for convenience only and shall not control or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meaning or construction of any of the provisions hereof.</w:t>
      </w:r>
    </w:p>
    <w:p>
      <w:pPr>
        <w:spacing w:after="0" w:line="141"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 xml:space="preserve">6.9 Counterparts. </w:t>
      </w:r>
      <w:r>
        <w:rPr>
          <w:rFonts w:ascii="Arial" w:cs="Arial" w:eastAsia="Arial" w:hAnsi="Arial"/>
          <w:sz w:val="16"/>
          <w:szCs w:val="16"/>
          <w:color w:val="auto"/>
        </w:rPr>
        <w:t>This Agreement may be executed in any number of counterparts, each of which as so executed shall be deemed to be an original, but such</w:t>
      </w:r>
      <w:r>
        <w:rPr>
          <w:rFonts w:ascii="Arial" w:cs="Arial" w:eastAsia="Arial" w:hAnsi="Arial"/>
          <w:sz w:val="16"/>
          <w:szCs w:val="16"/>
          <w:b w:val="1"/>
          <w:bCs w:val="1"/>
          <w:color w:val="auto"/>
        </w:rPr>
        <w:t xml:space="preserve"> </w:t>
      </w:r>
      <w:r>
        <w:rPr>
          <w:rFonts w:ascii="Arial" w:cs="Arial" w:eastAsia="Arial" w:hAnsi="Arial"/>
          <w:sz w:val="16"/>
          <w:szCs w:val="16"/>
          <w:color w:val="auto"/>
        </w:rPr>
        <w:t>counterparts shall together constitute but one and the same instrument.</w:t>
      </w:r>
    </w:p>
    <w:p>
      <w:pPr>
        <w:spacing w:after="0" w:line="141" w:lineRule="exact"/>
        <w:rPr>
          <w:sz w:val="20"/>
          <w:szCs w:val="20"/>
          <w:color w:val="auto"/>
        </w:rPr>
      </w:pPr>
    </w:p>
    <w:p>
      <w:pPr>
        <w:jc w:val="both"/>
        <w:ind w:firstLine="590"/>
        <w:spacing w:after="0" w:line="293" w:lineRule="auto"/>
        <w:rPr>
          <w:sz w:val="20"/>
          <w:szCs w:val="20"/>
          <w:color w:val="auto"/>
        </w:rPr>
      </w:pPr>
      <w:r>
        <w:rPr>
          <w:rFonts w:ascii="Arial" w:cs="Arial" w:eastAsia="Arial" w:hAnsi="Arial"/>
          <w:sz w:val="16"/>
          <w:szCs w:val="16"/>
          <w:b w:val="1"/>
          <w:bCs w:val="1"/>
          <w:color w:val="auto"/>
        </w:rPr>
        <w:t xml:space="preserve">6.10 Inspection Of Agreement. </w:t>
      </w:r>
      <w:r>
        <w:rPr>
          <w:rFonts w:ascii="Arial" w:cs="Arial" w:eastAsia="Arial" w:hAnsi="Arial"/>
          <w:sz w:val="16"/>
          <w:szCs w:val="16"/>
          <w:color w:val="auto"/>
        </w:rPr>
        <w:t>A copy of this Agreement shall be available at all reasonable times at the principal corporate trust office of the Warrant Agent for</w:t>
      </w:r>
      <w:r>
        <w:rPr>
          <w:rFonts w:ascii="Arial" w:cs="Arial" w:eastAsia="Arial" w:hAnsi="Arial"/>
          <w:sz w:val="16"/>
          <w:szCs w:val="16"/>
          <w:b w:val="1"/>
          <w:bCs w:val="1"/>
          <w:color w:val="auto"/>
        </w:rPr>
        <w:t xml:space="preserve"> </w:t>
      </w:r>
      <w:r>
        <w:rPr>
          <w:rFonts w:ascii="Arial" w:cs="Arial" w:eastAsia="Arial" w:hAnsi="Arial"/>
          <w:sz w:val="16"/>
          <w:szCs w:val="16"/>
          <w:color w:val="auto"/>
        </w:rPr>
        <w:t>inspection by the holder of any Warrant Certificate. The Warrant Agent may require such holder to submit his Warrant Certificate for inspection by it.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44" w:right="23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parties hereto have caused this Agreement to be duly executed, all as of the day and year first above written.</w:t>
      </w:r>
    </w:p>
    <w:p>
      <w:pPr>
        <w:spacing w:after="0" w:line="200" w:lineRule="exact"/>
        <w:rPr>
          <w:sz w:val="20"/>
          <w:szCs w:val="20"/>
          <w:color w:val="auto"/>
        </w:rPr>
      </w:pPr>
    </w:p>
    <w:p>
      <w:pPr>
        <w:spacing w:after="0" w:line="218"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SI-BONE, INC.</w:t>
      </w:r>
      <w:r>
        <w:rPr>
          <w:rFonts w:ascii="Arial" w:cs="Arial" w:eastAsia="Arial" w:hAnsi="Arial"/>
          <w:sz w:val="16"/>
          <w:szCs w:val="16"/>
          <w:color w:val="auto"/>
        </w:rPr>
        <w:t>, as Company</w:t>
      </w:r>
    </w:p>
    <w:p>
      <w:pPr>
        <w:spacing w:after="0" w:line="200" w:lineRule="exact"/>
        <w:rPr>
          <w:sz w:val="20"/>
          <w:szCs w:val="20"/>
          <w:color w:val="auto"/>
        </w:rPr>
      </w:pPr>
    </w:p>
    <w:p>
      <w:pPr>
        <w:spacing w:after="0" w:line="210"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-6985</wp:posOffset>
            </wp:positionV>
            <wp:extent cx="10414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-13970</wp:posOffset>
            </wp:positionV>
            <wp:extent cx="10414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-13970</wp:posOffset>
            </wp:positionV>
            <wp:extent cx="10414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37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-4445</wp:posOffset>
            </wp:positionV>
            <wp:extent cx="10414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6852920</wp:posOffset>
            </wp:positionH>
            <wp:positionV relativeFrom="paragraph">
              <wp:posOffset>120015</wp:posOffset>
            </wp:positionV>
            <wp:extent cx="9398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939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COUNTERSIGNED</w:t>
      </w:r>
    </w:p>
    <w:p>
      <w:pPr>
        <w:spacing w:after="0" w:line="213"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 as Warrant Agent</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-6985</wp:posOffset>
            </wp:positionV>
            <wp:extent cx="10414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-13970</wp:posOffset>
            </wp:positionV>
            <wp:extent cx="10414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-13970</wp:posOffset>
            </wp:positionV>
            <wp:extent cx="10414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37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-4445</wp:posOffset>
            </wp:positionV>
            <wp:extent cx="10414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6852920</wp:posOffset>
            </wp:positionH>
            <wp:positionV relativeFrom="paragraph">
              <wp:posOffset>120015</wp:posOffset>
            </wp:positionV>
            <wp:extent cx="9398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939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100"/>
        <w:spacing w:after="0"/>
        <w:rPr>
          <w:sz w:val="20"/>
          <w:szCs w:val="20"/>
          <w:color w:val="auto"/>
        </w:rPr>
      </w:pPr>
      <w:r>
        <w:rPr>
          <w:rFonts w:ascii="Arial" w:cs="Arial" w:eastAsia="Arial" w:hAnsi="Arial"/>
          <w:sz w:val="13"/>
          <w:szCs w:val="13"/>
          <w:color w:val="auto"/>
        </w:rPr>
        <w:t>[SIGNATURE PAGE TO DEBT SECURITIES WARRANT AGREEMENT]</w:t>
      </w:r>
    </w:p>
    <w:p>
      <w:pPr>
        <w:sectPr>
          <w:pgSz w:w="11900" w:h="16838" w:orient="portrait"/>
          <w:cols w:equalWidth="0" w:num="1">
            <w:col w:w="9639"/>
          </w:cols>
          <w:pgMar w:left="820" w:top="541"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b w:val="1"/>
          <w:bCs w:val="1"/>
          <w:color w:val="auto"/>
        </w:rPr>
        <w:t>EXHIBIT A</w:t>
      </w:r>
    </w:p>
    <w:p>
      <w:pPr>
        <w:spacing w:after="0" w:line="20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FORM OF WARRANT CERTIFICATE</w:t>
      </w:r>
    </w:p>
    <w:p>
      <w:pPr>
        <w:spacing w:after="0" w:line="28"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[FACE OF WARRANT CERTIFICATE]</w:t>
      </w:r>
    </w:p>
    <w:p>
      <w:pPr>
        <w:sectPr>
          <w:pgSz w:w="11900" w:h="16838" w:orient="portrait"/>
          <w:cols w:equalWidth="0" w:num="1">
            <w:col w:w="9860"/>
          </w:cols>
          <w:pgMar w:left="1020" w:top="344" w:right="101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[Form of Legend if Warrants are not immediately exercisable.]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[Prior to [●] Warrants evidenced by this Warrant Certificate cannot be exercised.]</w:t>
      </w:r>
    </w:p>
    <w:p>
      <w:pPr>
        <w:spacing w:after="0" w:line="200" w:lineRule="exact"/>
        <w:rPr>
          <w:sz w:val="20"/>
          <w:szCs w:val="20"/>
          <w:color w:val="auto"/>
        </w:rPr>
      </w:pPr>
    </w:p>
    <w:p>
      <w:pPr>
        <w:sectPr>
          <w:pgSz w:w="11900" w:h="16838" w:orient="portrait"/>
          <w:cols w:equalWidth="0" w:num="2">
            <w:col w:w="4540" w:space="720"/>
            <w:col w:w="4600"/>
          </w:cols>
          <w:pgMar w:left="1020" w:top="344" w:right="1019" w:bottom="1440" w:gutter="0" w:footer="0" w:header="0"/>
          <w:type w:val="continuous"/>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EXERCISABLE ONLY IF COUNTERSIGNED BY THE WARRANT AGENT AS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PROVIDED HEREIN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VOID AFTER [●] P.M., [City] time, ON [●].</w:t>
      </w:r>
    </w:p>
    <w:p>
      <w:pPr>
        <w:sectPr>
          <w:pgSz w:w="11900" w:h="16838" w:orient="portrait"/>
          <w:cols w:equalWidth="0" w:num="1">
            <w:col w:w="9860"/>
          </w:cols>
          <w:pgMar w:left="1020" w:top="344" w:right="101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t>SI-BONE,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CERTIFICATE REPRESENTING</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 TO PURCHASE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[TITLE OF WARRANT DEBT SECURITIES]</w:t>
      </w:r>
    </w:p>
    <w:p>
      <w:pPr>
        <w:spacing w:after="0" w:line="39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No. [●]</w:t>
      </w:r>
      <w:r>
        <w:rPr>
          <w:sz w:val="20"/>
          <w:szCs w:val="20"/>
          <w:color w:val="auto"/>
        </w:rPr>
        <w:tab/>
      </w:r>
      <w:r>
        <w:rPr>
          <w:rFonts w:ascii="Arial" w:cs="Arial" w:eastAsia="Arial" w:hAnsi="Arial"/>
          <w:sz w:val="14"/>
          <w:szCs w:val="14"/>
          <w:color w:val="auto"/>
        </w:rPr>
        <w:t>[●] Warrants</w:t>
      </w:r>
    </w:p>
    <w:p>
      <w:pPr>
        <w:spacing w:after="0" w:line="209" w:lineRule="exact"/>
        <w:rPr>
          <w:sz w:val="20"/>
          <w:szCs w:val="20"/>
          <w:color w:val="auto"/>
        </w:rPr>
      </w:pPr>
    </w:p>
    <w:p>
      <w:pPr>
        <w:jc w:val="both"/>
        <w:ind w:firstLine="590"/>
        <w:spacing w:after="0" w:line="277" w:lineRule="auto"/>
        <w:rPr>
          <w:sz w:val="20"/>
          <w:szCs w:val="20"/>
          <w:color w:val="auto"/>
        </w:rPr>
      </w:pPr>
      <w:r>
        <w:rPr>
          <w:rFonts w:ascii="Arial" w:cs="Arial" w:eastAsia="Arial" w:hAnsi="Arial"/>
          <w:sz w:val="15"/>
          <w:szCs w:val="15"/>
          <w:color w:val="auto"/>
        </w:rPr>
        <w:t>This certifies that [●] or registered assigns is the registered owner of the above indicated number of Warrants, each Warrant entitling such owner to purchase, at any time [after [●] p.m., [City] time, [on [●] and] on or before [●] p.m., [City] time, on, $[●] principal amount of [Title of Warrant Debt Securities] (the “</w:t>
      </w:r>
      <w:r>
        <w:rPr>
          <w:rFonts w:ascii="Arial" w:cs="Arial" w:eastAsia="Arial" w:hAnsi="Arial"/>
          <w:sz w:val="15"/>
          <w:szCs w:val="15"/>
          <w:b w:val="1"/>
          <w:bCs w:val="1"/>
          <w:i w:val="1"/>
          <w:iCs w:val="1"/>
          <w:color w:val="auto"/>
        </w:rPr>
        <w:t>Warrant Debt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Securities</w:t>
      </w:r>
      <w:r>
        <w:rPr>
          <w:rFonts w:ascii="Arial" w:cs="Arial" w:eastAsia="Arial" w:hAnsi="Arial"/>
          <w:sz w:val="15"/>
          <w:szCs w:val="15"/>
          <w:color w:val="auto"/>
        </w:rPr>
        <w:t>”) of SI-BONE,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issued or to be issued under the Indenture (as hereinafter defined), on the following basis: during the period from [●],</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through and including [●], each Warrant shall entitle the Holder thereof, subject to the provisions of this Agreement, to purchase the principal amount of Warrant Debt Securities stated in the Warrant Certificate at the warrant price (the “</w:t>
      </w:r>
      <w:r>
        <w:rPr>
          <w:rFonts w:ascii="Arial" w:cs="Arial" w:eastAsia="Arial" w:hAnsi="Arial"/>
          <w:sz w:val="15"/>
          <w:szCs w:val="15"/>
          <w:b w:val="1"/>
          <w:bCs w:val="1"/>
          <w:i w:val="1"/>
          <w:iCs w:val="1"/>
          <w:color w:val="auto"/>
        </w:rPr>
        <w:t>Warrant Price</w:t>
      </w:r>
      <w:r>
        <w:rPr>
          <w:rFonts w:ascii="Arial" w:cs="Arial" w:eastAsia="Arial" w:hAnsi="Arial"/>
          <w:sz w:val="15"/>
          <w:szCs w:val="15"/>
          <w:color w:val="auto"/>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Arial" w:cs="Arial" w:eastAsia="Arial" w:hAnsi="Arial"/>
          <w:sz w:val="15"/>
          <w:szCs w:val="15"/>
          <w:b w:val="1"/>
          <w:bCs w:val="1"/>
          <w:i w:val="1"/>
          <w:iCs w:val="1"/>
          <w:color w:val="auto"/>
        </w:rPr>
        <w:t>Warrant Agent</w:t>
      </w:r>
      <w:r>
        <w:rPr>
          <w:rFonts w:ascii="Arial" w:cs="Arial" w:eastAsia="Arial" w:hAnsi="Arial"/>
          <w:sz w:val="15"/>
          <w:szCs w:val="15"/>
          <w:color w:val="auto"/>
        </w:rPr>
        <w:t>”), which is, on the date hereof, at the address specified on the reverse hereof, and upon compliance with and subject to the conditions set forth herein and in the Warrant Agreement (as hereinafter defined).</w:t>
      </w:r>
    </w:p>
    <w:p>
      <w:pPr>
        <w:spacing w:after="0" w:line="163"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as used herein shall mean the person in whose name at the time this Warrant Certificate shall be registered upon the books to be maintained by the Warrant Agent for that purpose pursuant to Section 4 of the Warrant Agreement.</w:t>
      </w:r>
    </w:p>
    <w:p>
      <w:pPr>
        <w:spacing w:after="0" w:line="150"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spacing w:after="0" w:line="161"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This Warrant Certificate is issued under and in accordance with the Warrant Agreement dated as of [●] (the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spacing w:after="0" w:line="161" w:lineRule="exact"/>
        <w:rPr>
          <w:sz w:val="20"/>
          <w:szCs w:val="20"/>
          <w:color w:val="auto"/>
        </w:rPr>
      </w:pPr>
    </w:p>
    <w:p>
      <w:pPr>
        <w:jc w:val="both"/>
        <w:ind w:firstLine="590"/>
        <w:spacing w:after="0" w:line="266" w:lineRule="auto"/>
        <w:rPr>
          <w:sz w:val="20"/>
          <w:szCs w:val="20"/>
          <w:color w:val="auto"/>
        </w:rPr>
      </w:pPr>
      <w:r>
        <w:rPr>
          <w:rFonts w:ascii="Arial" w:cs="Arial" w:eastAsia="Arial" w:hAnsi="Arial"/>
          <w:sz w:val="16"/>
          <w:szCs w:val="16"/>
          <w:color w:val="auto"/>
        </w:rPr>
        <w:t xml:space="preserve">The Warrant Debt Securities to be issued and delivered upon the exercise of Warrants evidenced by this Warrant Certificate will be issued under and in accordance with an Indenture, dated as of [●] (the “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the Company and [●], as trustee (such trustee, and any successors to such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and will be subject to the terms and provisions contained in the Warrant Debt Securities and in the Indenture. Copies of the Indenture, including the form of the Warrant Debt Securities, are on file at the corporate trust office of the Trustee.</w:t>
      </w:r>
    </w:p>
    <w:p>
      <w:pPr>
        <w:spacing w:after="0" w:line="168"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spacing w:after="0" w:line="150"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spacing w:after="0" w:line="150" w:lineRule="exact"/>
        <w:rPr>
          <w:sz w:val="20"/>
          <w:szCs w:val="20"/>
          <w:color w:val="auto"/>
        </w:rPr>
      </w:pPr>
    </w:p>
    <w:p>
      <w:pPr>
        <w:jc w:val="both"/>
        <w:ind w:firstLine="590"/>
        <w:spacing w:after="0" w:line="323" w:lineRule="auto"/>
        <w:rPr>
          <w:sz w:val="20"/>
          <w:szCs w:val="20"/>
          <w:color w:val="auto"/>
        </w:rPr>
      </w:pPr>
      <w:r>
        <w:rPr>
          <w:rFonts w:ascii="Arial" w:cs="Arial" w:eastAsia="Arial" w:hAnsi="Arial"/>
          <w:sz w:val="15"/>
          <w:szCs w:val="15"/>
          <w:color w:val="auto"/>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spacing w:after="0" w:line="126" w:lineRule="exact"/>
        <w:rPr>
          <w:sz w:val="20"/>
          <w:szCs w:val="20"/>
          <w:color w:val="auto"/>
        </w:rPr>
      </w:pPr>
    </w:p>
    <w:p>
      <w:pPr>
        <w:jc w:val="both"/>
        <w:ind w:firstLine="590"/>
        <w:spacing w:after="0" w:line="287" w:lineRule="auto"/>
        <w:rPr>
          <w:sz w:val="20"/>
          <w:szCs w:val="20"/>
          <w:color w:val="auto"/>
        </w:rPr>
      </w:pPr>
      <w:r>
        <w:rPr>
          <w:rFonts w:ascii="Arial" w:cs="Arial" w:eastAsia="Arial" w:hAnsi="Arial"/>
          <w:sz w:val="16"/>
          <w:szCs w:val="16"/>
          <w:color w:val="auto"/>
        </w:rPr>
        <w:t>Reference is hereby made to the further provisions of this Warrant Certificate set forth on the reverse hereof, which further provisions shall for all purposes have the same effect as if set forth at this place.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This Warrant Certificate shall not be valid or obligatory for any purpose until countersigned by the Warrant Agent.</w:t>
      </w:r>
    </w:p>
    <w:p>
      <w:pPr>
        <w:sectPr>
          <w:pgSz w:w="11900" w:h="16838" w:orient="portrait"/>
          <w:cols w:equalWidth="0" w:num="1">
            <w:col w:w="11420"/>
          </w:cols>
          <w:pgMar w:left="240" w:top="344" w:right="239" w:bottom="1440" w:gutter="0" w:footer="0" w:header="0"/>
        </w:sectPr>
      </w:pPr>
    </w:p>
    <w:bookmarkStart w:id="111" w:name="page112"/>
    <w:bookmarkEnd w:id="111"/>
    <w:p>
      <w:pPr>
        <w:ind w:left="58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Company has caused this Warrant to be executed in its name and on its behalf by the facsimile signatures of its duly authorized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officers.</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-6985</wp:posOffset>
            </wp:positionV>
            <wp:extent cx="10414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382"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SI-BONE, INC.</w:t>
      </w:r>
      <w:r>
        <w:rPr>
          <w:rFonts w:ascii="Arial" w:cs="Arial" w:eastAsia="Arial" w:hAnsi="Arial"/>
          <w:sz w:val="16"/>
          <w:szCs w:val="16"/>
          <w:color w:val="auto"/>
        </w:rPr>
        <w:t>, as Company</w:t>
      </w:r>
    </w:p>
    <w:p>
      <w:pPr>
        <w:spacing w:after="0" w:line="200" w:lineRule="exact"/>
        <w:rPr>
          <w:sz w:val="20"/>
          <w:szCs w:val="20"/>
          <w:color w:val="auto"/>
        </w:rPr>
      </w:pPr>
    </w:p>
    <w:p>
      <w:pPr>
        <w:spacing w:after="0" w:line="210"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-6985</wp:posOffset>
            </wp:positionV>
            <wp:extent cx="10414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-13970</wp:posOffset>
            </wp:positionV>
            <wp:extent cx="10414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-13970</wp:posOffset>
            </wp:positionV>
            <wp:extent cx="10414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371"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2780665</wp:posOffset>
            </wp:positionH>
            <wp:positionV relativeFrom="paragraph">
              <wp:posOffset>-4445</wp:posOffset>
            </wp:positionV>
            <wp:extent cx="10414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7221220</wp:posOffset>
            </wp:positionH>
            <wp:positionV relativeFrom="paragraph">
              <wp:posOffset>120015</wp:posOffset>
            </wp:positionV>
            <wp:extent cx="9398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939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COUNTERSIGNED</w:t>
      </w:r>
    </w:p>
    <w:p>
      <w:pPr>
        <w:spacing w:after="0" w:line="213"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 as Warrant Agent</w:t>
      </w:r>
    </w:p>
    <w:p>
      <w:pPr>
        <w:spacing w:after="0" w:line="200" w:lineRule="exact"/>
        <w:rPr>
          <w:sz w:val="20"/>
          <w:szCs w:val="20"/>
          <w:color w:val="auto"/>
        </w:rPr>
      </w:pPr>
    </w:p>
    <w:p>
      <w:pPr>
        <w:spacing w:after="0" w:line="206"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-6985</wp:posOffset>
            </wp:positionV>
            <wp:extent cx="10414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-13970</wp:posOffset>
            </wp:positionV>
            <wp:extent cx="10414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-13970</wp:posOffset>
            </wp:positionV>
            <wp:extent cx="10414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371" w:lineRule="exact"/>
        <w:rPr>
          <w:sz w:val="20"/>
          <w:szCs w:val="20"/>
          <w:color w:val="auto"/>
        </w:rPr>
      </w:pPr>
    </w:p>
    <w:p>
      <w:pPr>
        <w:ind w:left="3540"/>
        <w:spacing w:after="0"/>
        <w:rPr>
          <w:sz w:val="20"/>
          <w:szCs w:val="20"/>
          <w:color w:val="auto"/>
        </w:rPr>
      </w:pPr>
      <w:r>
        <w:rPr>
          <w:rFonts w:ascii="Arial" w:cs="Arial" w:eastAsia="Arial" w:hAnsi="Arial"/>
          <w:sz w:val="16"/>
          <w:szCs w:val="16"/>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2780665</wp:posOffset>
            </wp:positionH>
            <wp:positionV relativeFrom="paragraph">
              <wp:posOffset>-4445</wp:posOffset>
            </wp:positionV>
            <wp:extent cx="10414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7221220</wp:posOffset>
            </wp:positionH>
            <wp:positionV relativeFrom="paragraph">
              <wp:posOffset>120015</wp:posOffset>
            </wp:positionV>
            <wp:extent cx="9398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93980" cy="7620"/>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auto"/>
        </w:rPr>
        <w:t>[REVERSE OF WARRANT CERTIFICATE]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(Instructions for Exercise of Warrant)</w:t>
      </w:r>
    </w:p>
    <w:p>
      <w:pPr>
        <w:spacing w:after="0" w:line="200" w:lineRule="exact"/>
        <w:rPr>
          <w:sz w:val="20"/>
          <w:szCs w:val="20"/>
          <w:color w:val="auto"/>
        </w:rPr>
      </w:pPr>
    </w:p>
    <w:p>
      <w:pPr>
        <w:spacing w:after="0" w:line="210"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6"/>
          <w:szCs w:val="16"/>
          <w:color w:val="auto"/>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be executed upon exercise of Warrants)</w:t>
      </w:r>
    </w:p>
    <w:p>
      <w:pPr>
        <w:spacing w:after="0" w:line="209" w:lineRule="exact"/>
        <w:rPr>
          <w:sz w:val="20"/>
          <w:szCs w:val="20"/>
          <w:color w:val="auto"/>
        </w:rPr>
      </w:pPr>
    </w:p>
    <w:p>
      <w:pPr>
        <w:jc w:val="both"/>
        <w:ind w:firstLine="590"/>
        <w:spacing w:after="0" w:line="262" w:lineRule="auto"/>
        <w:rPr>
          <w:sz w:val="20"/>
          <w:szCs w:val="20"/>
          <w:color w:val="auto"/>
        </w:rPr>
      </w:pPr>
      <w:r>
        <w:rPr>
          <w:rFonts w:ascii="Arial" w:cs="Arial" w:eastAsia="Arial" w:hAnsi="Arial"/>
          <w:sz w:val="16"/>
          <w:szCs w:val="16"/>
          <w:color w:val="auto"/>
        </w:rPr>
        <w:t>The undersigned hereby irrevocably elects to exercise [●] Warrants, represented by this Warrant Certificate, to purchase $[●] principal amount of the [Title of Warrant Debt Securities] (the “</w:t>
      </w:r>
      <w:r>
        <w:rPr>
          <w:rFonts w:ascii="Arial" w:cs="Arial" w:eastAsia="Arial" w:hAnsi="Arial"/>
          <w:sz w:val="16"/>
          <w:szCs w:val="16"/>
          <w:b w:val="1"/>
          <w:bCs w:val="1"/>
          <w:i w:val="1"/>
          <w:iCs w:val="1"/>
          <w:color w:val="auto"/>
        </w:rPr>
        <w:t>Warrant Debt Securities</w:t>
      </w:r>
      <w:r>
        <w:rPr>
          <w:rFonts w:ascii="Arial" w:cs="Arial" w:eastAsia="Arial" w:hAnsi="Arial"/>
          <w:sz w:val="16"/>
          <w:szCs w:val="16"/>
          <w:color w:val="auto"/>
        </w:rPr>
        <w:t>”) of SI-BONE, Inc. and represents that he has tendered payment for such Warrant Debt Securities, in lawful money of the United States of America, [in cash or by certified check or official bank check in New York Clearing House funds] [by bank wire transfer in immediately available funds], to the order of SI-BONE, Inc., c/o [insert name and address of Warrant Agent], in the amount of $[●]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spacing w:after="0" w:line="172" w:lineRule="exact"/>
        <w:rPr>
          <w:sz w:val="20"/>
          <w:szCs w:val="20"/>
          <w:color w:val="auto"/>
        </w:rPr>
      </w:pPr>
    </w:p>
    <w:p>
      <w:pPr>
        <w:jc w:val="both"/>
        <w:ind w:firstLine="590"/>
        <w:spacing w:after="0" w:line="272" w:lineRule="auto"/>
        <w:rPr>
          <w:sz w:val="20"/>
          <w:szCs w:val="20"/>
          <w:color w:val="auto"/>
        </w:rPr>
      </w:pPr>
      <w:r>
        <w:rPr>
          <w:rFonts w:ascii="Arial" w:cs="Arial" w:eastAsia="Arial" w:hAnsi="Arial"/>
          <w:sz w:val="16"/>
          <w:szCs w:val="16"/>
          <w:color w:val="auto"/>
        </w:rPr>
        <w:t>If the number of Warrants exercised is less than all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spacing w:after="0" w:line="161"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-6985</wp:posOffset>
            </wp:positionV>
            <wp:extent cx="10414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-6985</wp:posOffset>
            </wp:positionV>
            <wp:extent cx="10414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Please Print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2621280</wp:posOffset>
            </wp:positionH>
            <wp:positionV relativeFrom="paragraph">
              <wp:posOffset>242570</wp:posOffset>
            </wp:positionV>
            <wp:extent cx="10414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(Insert Social Security or Other Identifying Number of Holder)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-6985</wp:posOffset>
            </wp:positionV>
            <wp:extent cx="10414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(Signature must conform in all respects to name of holder as specified on the face of this Warrant Certificate and must bear a signature guarantee by a FINRA member firm).</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This Warrant may be exercised at the following addresses: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By hand at: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By mail at:</w:t>
      </w:r>
    </w:p>
    <w:p>
      <w:pPr>
        <w:spacing w:after="0" w:line="209" w:lineRule="exact"/>
        <w:rPr>
          <w:sz w:val="20"/>
          <w:szCs w:val="20"/>
          <w:color w:val="auto"/>
        </w:rPr>
      </w:pPr>
    </w:p>
    <w:p>
      <w:pPr>
        <w:ind w:right="480"/>
        <w:spacing w:after="0" w:line="287" w:lineRule="auto"/>
        <w:rPr>
          <w:sz w:val="20"/>
          <w:szCs w:val="20"/>
          <w:color w:val="auto"/>
        </w:rPr>
      </w:pPr>
      <w:r>
        <w:rPr>
          <w:rFonts w:ascii="Arial" w:cs="Arial" w:eastAsia="Arial" w:hAnsi="Arial"/>
          <w:sz w:val="16"/>
          <w:szCs w:val="16"/>
          <w:color w:val="auto"/>
        </w:rPr>
        <w:t>[Instructions as to form and delivery of Warrant Debt Securities and, if applicable, Warrant Certificates evidencing Warrants for the number of Warrant Debt Securities remaining unexercised—complete as appropriate.]</w:t>
      </w:r>
    </w:p>
    <w:p>
      <w:pPr>
        <w:sectPr>
          <w:pgSz w:w="11900" w:h="16838" w:orient="portrait"/>
          <w:cols w:equalWidth="0" w:num="1">
            <w:col w:w="11420"/>
          </w:cols>
          <w:pgMar w:left="240" w:top="344" w:right="239" w:bottom="1440" w:gutter="0" w:footer="0" w:header="0"/>
        </w:sectPr>
      </w:pPr>
    </w:p>
    <w:bookmarkStart w:id="113" w:name="page114"/>
    <w:bookmarkEnd w:id="113"/>
    <w:p>
      <w:pPr>
        <w:jc w:val="center"/>
        <w:ind w:right="-279"/>
        <w:spacing w:after="0"/>
        <w:rPr>
          <w:sz w:val="20"/>
          <w:szCs w:val="20"/>
          <w:color w:val="auto"/>
        </w:rPr>
      </w:pPr>
      <w:r>
        <w:rPr>
          <w:rFonts w:ascii="Arial" w:cs="Arial" w:eastAsia="Arial" w:hAnsi="Arial"/>
          <w:sz w:val="16"/>
          <w:szCs w:val="16"/>
          <w:b w:val="1"/>
          <w:bCs w:val="1"/>
          <w:color w:val="auto"/>
        </w:rPr>
        <w:t>ASSIGNMENT</w:t>
      </w:r>
    </w:p>
    <w:p>
      <w:pPr>
        <w:spacing w:after="0" w:line="200" w:lineRule="exact"/>
        <w:rPr>
          <w:sz w:val="20"/>
          <w:szCs w:val="20"/>
          <w:color w:val="auto"/>
        </w:rPr>
      </w:pPr>
    </w:p>
    <w:p>
      <w:pPr>
        <w:spacing w:after="0" w:line="210"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[Form of assignment to be executed if Warrant Holder desires to transfer Warrant]</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FOR VALUE RECEIVED</w:t>
      </w:r>
      <w:r>
        <w:rPr>
          <w:rFonts w:ascii="Arial" w:cs="Arial" w:eastAsia="Arial" w:hAnsi="Arial"/>
          <w:sz w:val="16"/>
          <w:szCs w:val="16"/>
          <w:color w:val="auto"/>
        </w:rPr>
        <w:t>, [●]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369570</wp:posOffset>
            </wp:positionV>
            <wp:extent cx="10414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5077460</wp:posOffset>
            </wp:positionH>
            <wp:positionV relativeFrom="paragraph">
              <wp:posOffset>369570</wp:posOffset>
            </wp:positionV>
            <wp:extent cx="10414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tabs>
          <w:tab w:leader="none" w:pos="3480" w:val="left"/>
          <w:tab w:leader="none" w:pos="6800" w:val="left"/>
        </w:tabs>
        <w:rPr>
          <w:sz w:val="20"/>
          <w:szCs w:val="20"/>
          <w:color w:val="auto"/>
        </w:rPr>
      </w:pPr>
      <w:r>
        <w:rPr>
          <w:rFonts w:ascii="Arial" w:cs="Arial" w:eastAsia="Arial" w:hAnsi="Arial"/>
          <w:sz w:val="16"/>
          <w:szCs w:val="16"/>
          <w:color w:val="auto"/>
        </w:rPr>
        <w:t>(Please print name and address including zip code)</w:t>
        <w:tab/>
        <w:t>Please print Social Security or other identifying</w:t>
      </w:r>
      <w:r>
        <w:rPr>
          <w:sz w:val="20"/>
          <w:szCs w:val="20"/>
          <w:color w:val="auto"/>
        </w:rPr>
        <w:tab/>
      </w:r>
      <w:r>
        <w:rPr>
          <w:rFonts w:ascii="Arial" w:cs="Arial" w:eastAsia="Arial" w:hAnsi="Arial"/>
          <w:sz w:val="14"/>
          <w:szCs w:val="14"/>
          <w:color w:val="auto"/>
        </w:rPr>
        <w:t>number</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right represented by the within Warrant to purchase $[●] aggregate principal amount of shares [Title of Warrant Debt Securities] of SI-BONE, Inc. to which the within Warrant relates and appoints attorney to transfer such right on the books of the Warrant Agent with full power of substitution in the premises.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-6985</wp:posOffset>
            </wp:positionV>
            <wp:extent cx="10414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104140" cy="762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-6985</wp:posOffset>
            </wp:positionV>
            <wp:extent cx="10414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104140" cy="7620"/>
                    </a:xfrm>
                    <a:prstGeom prst="rect">
                      <a:avLst/>
                    </a:prstGeom>
                    <a:noFill/>
                  </pic:spPr>
                </pic:pic>
              </a:graphicData>
            </a:graphic>
          </wp:anchor>
        </w:drawing>
      </w:r>
    </w:p>
    <w:p>
      <w:pPr>
        <w:spacing w:after="0" w:line="4"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Signature</w:t>
      </w:r>
    </w:p>
    <w:p>
      <w:pPr>
        <w:spacing w:after="0" w:line="198" w:lineRule="exact"/>
        <w:rPr>
          <w:sz w:val="20"/>
          <w:szCs w:val="20"/>
          <w:color w:val="auto"/>
        </w:rPr>
      </w:pPr>
    </w:p>
    <w:p>
      <w:pPr>
        <w:ind w:left="2520"/>
        <w:spacing w:after="0"/>
        <w:rPr>
          <w:sz w:val="20"/>
          <w:szCs w:val="20"/>
          <w:color w:val="auto"/>
        </w:rPr>
      </w:pPr>
      <w:r>
        <w:rPr>
          <w:rFonts w:ascii="Arial" w:cs="Arial" w:eastAsia="Arial" w:hAnsi="Arial"/>
          <w:sz w:val="16"/>
          <w:szCs w:val="16"/>
          <w:color w:val="auto"/>
        </w:rPr>
        <w:t>(Signature must conform in all respects to name of holder as specified on the face of the Warrant)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257810</wp:posOffset>
            </wp:positionV>
            <wp:extent cx="1143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114300" cy="7620"/>
                    </a:xfrm>
                    <a:prstGeom prst="rect">
                      <a:avLst/>
                    </a:prstGeom>
                    <a:noFill/>
                  </pic:spPr>
                </pic:pic>
              </a:graphicData>
            </a:graphic>
          </wp:anchor>
        </w:drawing>
      </w:r>
    </w:p>
    <w:p>
      <w:pPr>
        <w:sectPr>
          <w:pgSz w:w="11900" w:h="16838" w:orient="portrait"/>
          <w:cols w:equalWidth="0" w:num="1">
            <w:col w:w="11140"/>
          </w:cols>
          <w:pgMar w:left="240" w:top="344" w:right="5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038225" cy="390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103822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Arial" w:cs="Arial" w:eastAsia="Arial" w:hAnsi="Arial"/>
          <w:sz w:val="13"/>
          <w:szCs w:val="13"/>
          <w:color w:val="auto"/>
        </w:rPr>
        <w:t>Matthew B. Hemington</w:t>
      </w:r>
    </w:p>
    <w:p>
      <w:pPr>
        <w:spacing w:after="0" w:line="8" w:lineRule="exact"/>
        <w:rPr>
          <w:sz w:val="20"/>
          <w:szCs w:val="20"/>
          <w:color w:val="auto"/>
        </w:rPr>
      </w:pPr>
    </w:p>
    <w:p>
      <w:pPr>
        <w:ind w:left="2" w:right="9980" w:hanging="2"/>
        <w:spacing w:after="0" w:line="333" w:lineRule="auto"/>
        <w:tabs>
          <w:tab w:leader="none" w:pos="144" w:val="left"/>
        </w:tabs>
        <w:numPr>
          <w:ilvl w:val="0"/>
          <w:numId w:val="114"/>
        </w:numPr>
        <w:rPr>
          <w:rFonts w:ascii="Arial" w:cs="Arial" w:eastAsia="Arial" w:hAnsi="Arial"/>
          <w:sz w:val="11"/>
          <w:szCs w:val="11"/>
          <w:color w:val="auto"/>
        </w:rPr>
      </w:pPr>
      <w:r>
        <w:rPr>
          <w:rFonts w:ascii="Arial" w:cs="Arial" w:eastAsia="Arial" w:hAnsi="Arial"/>
          <w:sz w:val="11"/>
          <w:szCs w:val="11"/>
          <w:color w:val="auto"/>
        </w:rPr>
        <w:t>+1 650 843 5062 hemingtonmb@cooley.com</w:t>
      </w:r>
    </w:p>
    <w:p>
      <w:pPr>
        <w:spacing w:after="0" w:line="331" w:lineRule="exact"/>
        <w:rPr>
          <w:sz w:val="20"/>
          <w:szCs w:val="20"/>
          <w:color w:val="auto"/>
        </w:rPr>
      </w:pPr>
    </w:p>
    <w:p>
      <w:pPr>
        <w:ind w:left="2"/>
        <w:spacing w:after="0"/>
        <w:rPr>
          <w:sz w:val="20"/>
          <w:szCs w:val="20"/>
          <w:color w:val="auto"/>
        </w:rPr>
      </w:pPr>
      <w:r>
        <w:rPr>
          <w:rFonts w:ascii="Arial" w:cs="Arial" w:eastAsia="Arial" w:hAnsi="Arial"/>
          <w:sz w:val="16"/>
          <w:szCs w:val="16"/>
          <w:color w:val="auto"/>
        </w:rPr>
        <w:t>November 13, 2019</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SI-BONE, Inc.</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471 El Camino Real, Suite 101</w:t>
      </w:r>
    </w:p>
    <w:p>
      <w:pPr>
        <w:spacing w:after="0" w:line="13" w:lineRule="exact"/>
        <w:rPr>
          <w:sz w:val="20"/>
          <w:szCs w:val="20"/>
          <w:color w:val="auto"/>
        </w:rPr>
      </w:pPr>
    </w:p>
    <w:p>
      <w:pPr>
        <w:ind w:left="2"/>
        <w:spacing w:after="0"/>
        <w:rPr>
          <w:sz w:val="20"/>
          <w:szCs w:val="20"/>
          <w:color w:val="auto"/>
        </w:rPr>
      </w:pPr>
      <w:r>
        <w:rPr>
          <w:rFonts w:ascii="Arial" w:cs="Arial" w:eastAsia="Arial" w:hAnsi="Arial"/>
          <w:sz w:val="16"/>
          <w:szCs w:val="16"/>
          <w:color w:val="auto"/>
        </w:rPr>
        <w:t>Santa Clara, CA 95050</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6"/>
          <w:szCs w:val="16"/>
          <w:color w:val="auto"/>
        </w:rPr>
        <w:t>Ladies and Gentlemen:</w:t>
      </w:r>
    </w:p>
    <w:p>
      <w:pPr>
        <w:spacing w:after="0" w:line="209" w:lineRule="exact"/>
        <w:rPr>
          <w:sz w:val="20"/>
          <w:szCs w:val="20"/>
          <w:color w:val="auto"/>
        </w:rPr>
      </w:pPr>
    </w:p>
    <w:p>
      <w:pPr>
        <w:jc w:val="both"/>
        <w:ind w:left="2"/>
        <w:spacing w:after="0" w:line="200" w:lineRule="exact"/>
        <w:rPr>
          <w:sz w:val="20"/>
          <w:szCs w:val="20"/>
          <w:color w:val="auto"/>
        </w:rPr>
      </w:pPr>
      <w:r>
        <w:rPr>
          <w:rFonts w:ascii="Arial" w:cs="Arial" w:eastAsia="Arial" w:hAnsi="Arial"/>
          <w:sz w:val="15"/>
          <w:szCs w:val="15"/>
          <w:color w:val="auto"/>
        </w:rPr>
        <w:t>We have acted as counsel to SI-BONE,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in connection with the filing of a Registration Statement on Form S</w:t>
      </w:r>
      <w:r>
        <w:rPr>
          <w:rFonts w:ascii="MS PGothic" w:cs="MS PGothic" w:eastAsia="MS PGothic" w:hAnsi="MS PGothic"/>
          <w:sz w:val="15"/>
          <w:szCs w:val="15"/>
          <w:color w:val="auto"/>
        </w:rPr>
        <w:t>‑</w:t>
      </w:r>
      <w:r>
        <w:rPr>
          <w:rFonts w:ascii="Arial" w:cs="Arial" w:eastAsia="Arial" w:hAnsi="Arial"/>
          <w:sz w:val="15"/>
          <w:szCs w:val="15"/>
          <w:color w:val="auto"/>
        </w:rPr>
        <w:t>3 (the “</w:t>
      </w:r>
      <w:r>
        <w:rPr>
          <w:rFonts w:ascii="Arial" w:cs="Arial" w:eastAsia="Arial" w:hAnsi="Arial"/>
          <w:sz w:val="15"/>
          <w:szCs w:val="15"/>
          <w:b w:val="1"/>
          <w:bCs w:val="1"/>
          <w:i w:val="1"/>
          <w:iCs w:val="1"/>
          <w:color w:val="auto"/>
        </w:rPr>
        <w:t>Registration Statement</w:t>
      </w:r>
      <w:r>
        <w:rPr>
          <w:rFonts w:ascii="Arial" w:cs="Arial" w:eastAsia="Arial" w:hAnsi="Arial"/>
          <w:sz w:val="15"/>
          <w:szCs w:val="15"/>
          <w:color w:val="auto"/>
        </w:rPr>
        <w:t>”) by the Company under the Securities Act of 1933, as amended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The Registration Statement includes a prospectus (the “</w:t>
      </w:r>
      <w:r>
        <w:rPr>
          <w:rFonts w:ascii="Arial" w:cs="Arial" w:eastAsia="Arial" w:hAnsi="Arial"/>
          <w:sz w:val="15"/>
          <w:szCs w:val="15"/>
          <w:b w:val="1"/>
          <w:bCs w:val="1"/>
          <w:i w:val="1"/>
          <w:iCs w:val="1"/>
          <w:color w:val="auto"/>
        </w:rPr>
        <w:t>Base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Prospectus</w:t>
      </w:r>
      <w:r>
        <w:rPr>
          <w:rFonts w:ascii="Arial" w:cs="Arial" w:eastAsia="Arial" w:hAnsi="Arial"/>
          <w:sz w:val="15"/>
          <w:szCs w:val="15"/>
          <w:color w:val="auto"/>
        </w:rPr>
        <w:t>”) that provides it will be supplemented in the future by one or more prospectus supplements (each, a “</w:t>
      </w:r>
      <w:r>
        <w:rPr>
          <w:rFonts w:ascii="Arial" w:cs="Arial" w:eastAsia="Arial" w:hAnsi="Arial"/>
          <w:sz w:val="15"/>
          <w:szCs w:val="15"/>
          <w:b w:val="1"/>
          <w:bCs w:val="1"/>
          <w:i w:val="1"/>
          <w:iCs w:val="1"/>
          <w:color w:val="auto"/>
        </w:rPr>
        <w:t>Prospectus Supplement</w:t>
      </w:r>
      <w:r>
        <w:rPr>
          <w:rFonts w:ascii="Arial" w:cs="Arial" w:eastAsia="Arial" w:hAnsi="Arial"/>
          <w:sz w:val="15"/>
          <w:szCs w:val="15"/>
          <w:color w:val="auto"/>
        </w:rPr>
        <w:t>”). The Registration Statement,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the Base Prospectus (as supplemented from time to time by one or more Prospectus Supplements), will provide for the registration by the Company of:</w:t>
      </w:r>
    </w:p>
    <w:p>
      <w:pPr>
        <w:spacing w:after="0" w:line="236" w:lineRule="exact"/>
        <w:rPr>
          <w:sz w:val="20"/>
          <w:szCs w:val="20"/>
          <w:color w:val="auto"/>
        </w:rPr>
      </w:pPr>
    </w:p>
    <w:p>
      <w:pPr>
        <w:ind w:left="262" w:hanging="262"/>
        <w:spacing w:after="0"/>
        <w:tabs>
          <w:tab w:leader="none" w:pos="26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shares of common stock, par value $0.0001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ind w:left="262" w:hanging="262"/>
        <w:spacing w:after="0"/>
        <w:tabs>
          <w:tab w:leader="none" w:pos="26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shares of preferred stock, par value $0.0001 per share, of the Company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jc w:val="both"/>
        <w:ind w:left="262" w:hanging="262"/>
        <w:spacing w:after="0" w:line="296" w:lineRule="auto"/>
        <w:tabs>
          <w:tab w:leader="none" w:pos="262" w:val="left"/>
        </w:tabs>
        <w:numPr>
          <w:ilvl w:val="0"/>
          <w:numId w:val="115"/>
        </w:numPr>
        <w:rPr>
          <w:rFonts w:ascii="Arial" w:cs="Arial" w:eastAsia="Arial" w:hAnsi="Arial"/>
          <w:sz w:val="15"/>
          <w:szCs w:val="15"/>
          <w:color w:val="auto"/>
        </w:rPr>
      </w:pPr>
      <w:r>
        <w:rPr>
          <w:rFonts w:ascii="Arial" w:cs="Arial" w:eastAsia="Arial" w:hAnsi="Arial"/>
          <w:sz w:val="15"/>
          <w:szCs w:val="15"/>
          <w:color w:val="auto"/>
        </w:rPr>
        <w:t>debt securities, in one or more series (the “</w:t>
      </w:r>
      <w:r>
        <w:rPr>
          <w:rFonts w:ascii="Arial" w:cs="Arial" w:eastAsia="Arial" w:hAnsi="Arial"/>
          <w:sz w:val="15"/>
          <w:szCs w:val="15"/>
          <w:b w:val="1"/>
          <w:bCs w:val="1"/>
          <w:i w:val="1"/>
          <w:iCs w:val="1"/>
          <w:color w:val="auto"/>
        </w:rPr>
        <w:t>Debt Securities</w:t>
      </w:r>
      <w:r>
        <w:rPr>
          <w:rFonts w:ascii="Arial" w:cs="Arial" w:eastAsia="Arial" w:hAnsi="Arial"/>
          <w:sz w:val="15"/>
          <w:szCs w:val="15"/>
          <w:color w:val="auto"/>
        </w:rPr>
        <w:t>”), which may be issued pursuant to an indenture to be dated on or about the date of the first issuance of Debt Securities thereunder, by and between a trustee to be selected by the Company (the “</w:t>
      </w:r>
      <w:r>
        <w:rPr>
          <w:rFonts w:ascii="Arial" w:cs="Arial" w:eastAsia="Arial" w:hAnsi="Arial"/>
          <w:sz w:val="15"/>
          <w:szCs w:val="15"/>
          <w:b w:val="1"/>
          <w:bCs w:val="1"/>
          <w:i w:val="1"/>
          <w:iCs w:val="1"/>
          <w:color w:val="auto"/>
        </w:rPr>
        <w:t>Trustee</w:t>
      </w:r>
      <w:r>
        <w:rPr>
          <w:rFonts w:ascii="Arial" w:cs="Arial" w:eastAsia="Arial" w:hAnsi="Arial"/>
          <w:sz w:val="15"/>
          <w:szCs w:val="15"/>
          <w:color w:val="auto"/>
        </w:rPr>
        <w:t>”) and the Company, in the form filed as Exhibit 4.5 to the Registration Statement and one or more indentures supplemental thereto with respect to any particular series of Debt Securities (the “</w:t>
      </w:r>
      <w:r>
        <w:rPr>
          <w:rFonts w:ascii="Arial" w:cs="Arial" w:eastAsia="Arial" w:hAnsi="Arial"/>
          <w:sz w:val="15"/>
          <w:szCs w:val="15"/>
          <w:b w:val="1"/>
          <w:bCs w:val="1"/>
          <w:i w:val="1"/>
          <w:iCs w:val="1"/>
          <w:color w:val="auto"/>
        </w:rPr>
        <w:t>Indenture</w:t>
      </w:r>
      <w:r>
        <w:rPr>
          <w:rFonts w:ascii="Arial" w:cs="Arial" w:eastAsia="Arial" w:hAnsi="Arial"/>
          <w:sz w:val="15"/>
          <w:szCs w:val="15"/>
          <w:color w:val="auto"/>
        </w:rPr>
        <w:t>”); and</w:t>
      </w:r>
    </w:p>
    <w:p>
      <w:pPr>
        <w:jc w:val="both"/>
        <w:ind w:left="262" w:hanging="262"/>
        <w:spacing w:after="0" w:line="272" w:lineRule="auto"/>
        <w:tabs>
          <w:tab w:leader="none" w:pos="26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warrants to purchase Common Stock, Preferred Stock, or Debt Securities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which may be issued under one or more warrant agreements, to be dated on or about the date of the first issuance of the Warrants thereunder, by and between a warrant agent to be selected by the Company (the “</w:t>
      </w:r>
      <w:r>
        <w:rPr>
          <w:rFonts w:ascii="Arial" w:cs="Arial" w:eastAsia="Arial" w:hAnsi="Arial"/>
          <w:sz w:val="16"/>
          <w:szCs w:val="16"/>
          <w:b w:val="1"/>
          <w:bCs w:val="1"/>
          <w:i w:val="1"/>
          <w:iCs w:val="1"/>
          <w:color w:val="auto"/>
        </w:rPr>
        <w:t>Warrant Agent</w:t>
      </w:r>
      <w:r>
        <w:rPr>
          <w:rFonts w:ascii="Arial" w:cs="Arial" w:eastAsia="Arial" w:hAnsi="Arial"/>
          <w:sz w:val="16"/>
          <w:szCs w:val="16"/>
          <w:color w:val="auto"/>
        </w:rPr>
        <w:t>”) and the Company, in the forms filed as Exhibits 4.6, 4.7 and 4.8 to the Registration Statement, respectively (each, a “</w:t>
      </w:r>
      <w:r>
        <w:rPr>
          <w:rFonts w:ascii="Arial" w:cs="Arial" w:eastAsia="Arial" w:hAnsi="Arial"/>
          <w:sz w:val="16"/>
          <w:szCs w:val="16"/>
          <w:b w:val="1"/>
          <w:bCs w:val="1"/>
          <w:i w:val="1"/>
          <w:iCs w:val="1"/>
          <w:color w:val="auto"/>
        </w:rPr>
        <w:t>Warrant Agreement</w:t>
      </w:r>
      <w:r>
        <w:rPr>
          <w:rFonts w:ascii="Arial" w:cs="Arial" w:eastAsia="Arial" w:hAnsi="Arial"/>
          <w:sz w:val="16"/>
          <w:szCs w:val="16"/>
          <w:color w:val="auto"/>
        </w:rPr>
        <w:t>”).</w:t>
      </w:r>
    </w:p>
    <w:p>
      <w:pPr>
        <w:spacing w:after="0" w:line="112" w:lineRule="exact"/>
        <w:rPr>
          <w:sz w:val="20"/>
          <w:szCs w:val="20"/>
          <w:color w:val="auto"/>
        </w:rPr>
      </w:pPr>
    </w:p>
    <w:p>
      <w:pPr>
        <w:jc w:val="both"/>
        <w:ind w:left="2"/>
        <w:spacing w:after="0" w:line="266" w:lineRule="auto"/>
        <w:rPr>
          <w:sz w:val="20"/>
          <w:szCs w:val="20"/>
          <w:color w:val="auto"/>
        </w:rPr>
      </w:pPr>
      <w:r>
        <w:rPr>
          <w:rFonts w:ascii="Arial" w:cs="Arial" w:eastAsia="Arial" w:hAnsi="Arial"/>
          <w:sz w:val="16"/>
          <w:szCs w:val="16"/>
          <w:color w:val="auto"/>
        </w:rPr>
        <w:t>The Common Stock, the Preferred Stock, the Debt Securities and the Warrants, plus any additional Common Stock, Preferred Stock, Debt Securities and Warrants that may be registered pursuant to any registration statement that the Company may hereafter file with the Securities and Exchange Commission pursuant to Rule 462(b) under the Securities Act in connection with an offering by the Company pursuant to the Registration Statement, are collectively referred to herein as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The Securities are being registered for offer and sale from time to time pursuant to Rule 415 under the Securities Act.</w:t>
      </w:r>
    </w:p>
    <w:p>
      <w:pPr>
        <w:spacing w:after="0" w:line="168" w:lineRule="exact"/>
        <w:rPr>
          <w:sz w:val="20"/>
          <w:szCs w:val="20"/>
          <w:color w:val="auto"/>
        </w:rPr>
      </w:pPr>
    </w:p>
    <w:p>
      <w:pPr>
        <w:jc w:val="both"/>
        <w:ind w:left="2"/>
        <w:spacing w:after="0" w:line="272" w:lineRule="auto"/>
        <w:rPr>
          <w:sz w:val="20"/>
          <w:szCs w:val="20"/>
          <w:color w:val="auto"/>
        </w:rPr>
      </w:pPr>
      <w:r>
        <w:rPr>
          <w:rFonts w:ascii="Arial" w:cs="Arial" w:eastAsia="Arial" w:hAnsi="Arial"/>
          <w:sz w:val="16"/>
          <w:szCs w:val="16"/>
          <w:color w:val="auto"/>
        </w:rPr>
        <w:t>In connection with this opinion, we have examined and relied upon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61" w:lineRule="exact"/>
        <w:rPr>
          <w:sz w:val="20"/>
          <w:szCs w:val="20"/>
          <w:color w:val="auto"/>
        </w:rPr>
      </w:pPr>
    </w:p>
    <w:p>
      <w:pPr>
        <w:jc w:val="both"/>
        <w:ind w:left="2"/>
        <w:spacing w:after="0" w:line="298" w:lineRule="auto"/>
        <w:rPr>
          <w:sz w:val="20"/>
          <w:szCs w:val="20"/>
          <w:color w:val="auto"/>
        </w:rPr>
      </w:pPr>
      <w:r>
        <w:rPr>
          <w:rFonts w:ascii="Arial" w:cs="Arial" w:eastAsia="Arial" w:hAnsi="Arial"/>
          <w:sz w:val="15"/>
          <w:szCs w:val="15"/>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w:t>
      </w:r>
    </w:p>
    <w:p>
      <w:pPr>
        <w:sectPr>
          <w:pgSz w:w="11900" w:h="16838" w:orient="portrait"/>
          <w:cols w:equalWidth="0" w:num="1">
            <w:col w:w="11422"/>
          </w:cols>
          <w:pgMar w:left="238" w:top="541" w:right="239" w:bottom="1440" w:gutter="0" w:footer="0" w:header="0"/>
        </w:sectPr>
      </w:pPr>
    </w:p>
    <w:bookmarkStart w:id="115" w:name="page116"/>
    <w:bookmarkEnd w:id="115"/>
    <w:p>
      <w:pPr>
        <w:jc w:val="both"/>
        <w:ind w:left="2"/>
        <w:spacing w:after="0" w:line="278" w:lineRule="auto"/>
        <w:rPr>
          <w:sz w:val="20"/>
          <w:szCs w:val="20"/>
          <w:color w:val="auto"/>
        </w:rPr>
      </w:pPr>
      <w:r>
        <w:rPr>
          <w:rFonts w:ascii="Arial" w:cs="Arial" w:eastAsia="Arial" w:hAnsi="Arial"/>
          <w:sz w:val="15"/>
          <w:szCs w:val="15"/>
          <w:color w:val="auto"/>
        </w:rPr>
        <w:t>With respect to our opinion as to the Common Stock, we have assumed that, at the time of issuance and sale, a sufficient number of shares of Common Stock is authorized and available for issuance and that the consideration for the issuance and sale of the Common Stock (or Preferred Stock or Debt Securities convertible into, or Warrants exercisable for, Common Stock) is in an amount that is not less than the par value of the Common Stock. With respect to our opinion as to the Preferred Stock, we have assumed that, at the time of issuance and sale, a sufficient number of shares of Preferred Stock is authorized, designated and available for issuance and that the consideration for the issuance and sale of the Preferred Stock (or Debt Securities convertible into, or Warrants exercisable for, Preferred Stock) is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59" w:lineRule="exact"/>
        <w:rPr>
          <w:sz w:val="20"/>
          <w:szCs w:val="20"/>
          <w:color w:val="auto"/>
        </w:rPr>
      </w:pPr>
    </w:p>
    <w:p>
      <w:pPr>
        <w:jc w:val="both"/>
        <w:ind w:left="2"/>
        <w:spacing w:after="0" w:line="266" w:lineRule="auto"/>
        <w:rPr>
          <w:sz w:val="20"/>
          <w:szCs w:val="20"/>
          <w:color w:val="auto"/>
        </w:rPr>
      </w:pPr>
      <w:r>
        <w:rPr>
          <w:rFonts w:ascii="Arial" w:cs="Arial" w:eastAsia="Arial" w:hAnsi="Arial"/>
          <w:sz w:val="16"/>
          <w:szCs w:val="16"/>
          <w:color w:val="auto"/>
        </w:rPr>
        <w:t>Our opinion herein is expressed solely with respect to the General Corporation Law of the State of Delaware and, as to the Debt Securities and the Warrants constituting valid and legally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6"/>
          <w:szCs w:val="16"/>
          <w:color w:val="auto"/>
        </w:rPr>
        <w:t>On the basis of the foregoing and in reliance thereon, and subject to the qualifications herein stated, we are of the opinion that:</w:t>
      </w:r>
    </w:p>
    <w:p>
      <w:pPr>
        <w:spacing w:after="0" w:line="209" w:lineRule="exact"/>
        <w:rPr>
          <w:sz w:val="20"/>
          <w:szCs w:val="20"/>
          <w:color w:val="auto"/>
        </w:rPr>
      </w:pPr>
    </w:p>
    <w:p>
      <w:pPr>
        <w:jc w:val="both"/>
        <w:ind w:left="2" w:hanging="2"/>
        <w:spacing w:after="0" w:line="300" w:lineRule="auto"/>
        <w:tabs>
          <w:tab w:leader="none" w:pos="371" w:val="left"/>
        </w:tabs>
        <w:numPr>
          <w:ilvl w:val="0"/>
          <w:numId w:val="116"/>
        </w:numPr>
        <w:rPr>
          <w:rFonts w:ascii="Arial" w:cs="Arial" w:eastAsia="Arial" w:hAnsi="Arial"/>
          <w:sz w:val="14"/>
          <w:szCs w:val="14"/>
          <w:b w:val="1"/>
          <w:bCs w:val="1"/>
          <w:color w:val="auto"/>
        </w:rPr>
      </w:pPr>
      <w:r>
        <w:rPr>
          <w:rFonts w:ascii="Arial" w:cs="Arial" w:eastAsia="Arial" w:hAnsi="Arial"/>
          <w:sz w:val="14"/>
          <w:szCs w:val="14"/>
          <w:color w:val="auto"/>
        </w:rPr>
        <w:t>With respect to the Common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issuance of the Common Stock has been duly authorized by all necessary corporate action on the part of the Company; (iii) the issuance and sale of the Common Stock do not violate any applicable law, are in conformity with the Company’s then operative certificate of incorporation (the “</w:t>
      </w:r>
      <w:r>
        <w:rPr>
          <w:rFonts w:ascii="Arial" w:cs="Arial" w:eastAsia="Arial" w:hAnsi="Arial"/>
          <w:sz w:val="14"/>
          <w:szCs w:val="14"/>
          <w:b w:val="1"/>
          <w:bCs w:val="1"/>
          <w:i w:val="1"/>
          <w:iCs w:val="1"/>
          <w:color w:val="auto"/>
        </w:rPr>
        <w:t>Certificate</w:t>
      </w:r>
      <w:r>
        <w:rPr>
          <w:rFonts w:ascii="Arial" w:cs="Arial" w:eastAsia="Arial" w:hAnsi="Arial"/>
          <w:sz w:val="14"/>
          <w:szCs w:val="14"/>
          <w:color w:val="auto"/>
        </w:rPr>
        <w:t xml:space="preserve"> </w:t>
      </w:r>
      <w:r>
        <w:rPr>
          <w:rFonts w:ascii="Arial" w:cs="Arial" w:eastAsia="Arial" w:hAnsi="Arial"/>
          <w:sz w:val="14"/>
          <w:szCs w:val="14"/>
          <w:b w:val="1"/>
          <w:bCs w:val="1"/>
          <w:i w:val="1"/>
          <w:iCs w:val="1"/>
          <w:color w:val="auto"/>
        </w:rPr>
        <w:t>of Incorporation</w:t>
      </w:r>
      <w:r>
        <w:rPr>
          <w:rFonts w:ascii="Arial" w:cs="Arial" w:eastAsia="Arial" w:hAnsi="Arial"/>
          <w:sz w:val="14"/>
          <w:szCs w:val="14"/>
          <w:color w:val="auto"/>
        </w:rPr>
        <w:t>”) and bylaws (the “</w:t>
      </w:r>
      <w:r>
        <w:rPr>
          <w:rFonts w:ascii="Arial" w:cs="Arial" w:eastAsia="Arial" w:hAnsi="Arial"/>
          <w:sz w:val="14"/>
          <w:szCs w:val="14"/>
          <w:b w:val="1"/>
          <w:bCs w:val="1"/>
          <w:i w:val="1"/>
          <w:iCs w:val="1"/>
          <w:color w:val="auto"/>
        </w:rPr>
        <w:t>Bylaws</w:t>
      </w:r>
      <w:r>
        <w:rPr>
          <w:rFonts w:ascii="Arial" w:cs="Arial" w:eastAsia="Arial" w:hAnsi="Arial"/>
          <w:sz w:val="14"/>
          <w:szCs w:val="14"/>
          <w:color w:val="auto"/>
        </w:rPr>
        <w:t>”), do not result in a default under or breach of any agreement or instrument binding upon the Company and comply with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applicable requirement or restriction imposed by any court or governmental body having jurisdiction over the Company; and (iv) the certificates, if any, for the Common Stock have been duly executed by the Company, countersigned by the transfer agent therefor and duly delivered to the purchasers thereof against payment therefor, then the Common Stock, when issued and sold as contemplated in the Registration Statement, the Base Prospectus and the related Prospectus Supplement(s) and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spacing w:after="0" w:line="150" w:lineRule="exact"/>
        <w:rPr>
          <w:rFonts w:ascii="Arial" w:cs="Arial" w:eastAsia="Arial" w:hAnsi="Arial"/>
          <w:sz w:val="14"/>
          <w:szCs w:val="14"/>
          <w:b w:val="1"/>
          <w:bCs w:val="1"/>
          <w:color w:val="auto"/>
        </w:rPr>
      </w:pPr>
    </w:p>
    <w:p>
      <w:pPr>
        <w:jc w:val="both"/>
        <w:ind w:left="2" w:hanging="2"/>
        <w:spacing w:after="0" w:line="279" w:lineRule="auto"/>
        <w:tabs>
          <w:tab w:leader="none" w:pos="371" w:val="left"/>
        </w:tabs>
        <w:numPr>
          <w:ilvl w:val="0"/>
          <w:numId w:val="116"/>
        </w:numPr>
        <w:rPr>
          <w:rFonts w:ascii="Arial" w:cs="Arial" w:eastAsia="Arial" w:hAnsi="Arial"/>
          <w:sz w:val="15"/>
          <w:szCs w:val="15"/>
          <w:b w:val="1"/>
          <w:bCs w:val="1"/>
          <w:color w:val="auto"/>
        </w:rPr>
      </w:pPr>
      <w:r>
        <w:rPr>
          <w:rFonts w:ascii="Arial" w:cs="Arial" w:eastAsia="Arial" w:hAnsi="Arial"/>
          <w:sz w:val="15"/>
          <w:szCs w:val="15"/>
          <w:color w:val="auto"/>
        </w:rPr>
        <w:t>With respect to the Preferred Stock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terms and issuance of the Preferred Stock have been duly authorized by all necessary corporate action on the part of the Company; (iii) the terms of the shares of Preferred Stock and their issuance and sale do not violate any applicable law, are in conformity with the Certificate of Incorporation and Bylaws, do not result in a default under or breach of any agreement or instrument binding upon the Company and comply with any applicable requirement or restriction imposed by any court or governmental body having jurisdiction over the Company; and (iv) the certificates, if any, for the Preferred Stock have been duly executed by the Company, countersigned by the transfer agent therefor and duly delivered to the purchasers thereof against payment therefor, then the Preferred Stock, when issued and sold as contemplated in the Registration Statement, the Base Prospectus and the related Prospectus Supplement(s) and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ectPr>
          <w:pgSz w:w="11900" w:h="16838" w:orient="portrait"/>
          <w:cols w:equalWidth="0" w:num="1">
            <w:col w:w="11422"/>
          </w:cols>
          <w:pgMar w:left="238" w:top="545" w:right="239" w:bottom="1440" w:gutter="0" w:footer="0" w:header="0"/>
        </w:sectPr>
      </w:pPr>
    </w:p>
    <w:bookmarkStart w:id="116" w:name="page117"/>
    <w:bookmarkEnd w:id="116"/>
    <w:p>
      <w:pPr>
        <w:jc w:val="both"/>
        <w:ind w:left="2" w:hanging="2"/>
        <w:spacing w:after="0" w:line="277" w:lineRule="auto"/>
        <w:tabs>
          <w:tab w:leader="none" w:pos="365" w:val="left"/>
        </w:tabs>
        <w:numPr>
          <w:ilvl w:val="0"/>
          <w:numId w:val="117"/>
        </w:numPr>
        <w:rPr>
          <w:rFonts w:ascii="Arial" w:cs="Arial" w:eastAsia="Arial" w:hAnsi="Arial"/>
          <w:sz w:val="15"/>
          <w:szCs w:val="15"/>
          <w:b w:val="1"/>
          <w:bCs w:val="1"/>
          <w:color w:val="auto"/>
        </w:rPr>
      </w:pPr>
      <w:r>
        <w:rPr>
          <w:rFonts w:ascii="Arial" w:cs="Arial" w:eastAsia="Arial" w:hAnsi="Arial"/>
          <w:sz w:val="15"/>
          <w:szCs w:val="15"/>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in substantially the form filed as an exhibit to the Registration Statement, has been duly executed and delivered by the Company and the Trustee and has been qualified under the Trust Indenture Act of 1939, as amended; (iv) the issuance and terms of the Debt Securities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valid and legally binding obligations of the Company, 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w:t>
      </w:r>
    </w:p>
    <w:p>
      <w:pPr>
        <w:spacing w:after="0" w:line="162" w:lineRule="exact"/>
        <w:rPr>
          <w:rFonts w:ascii="Arial" w:cs="Arial" w:eastAsia="Arial" w:hAnsi="Arial"/>
          <w:sz w:val="15"/>
          <w:szCs w:val="15"/>
          <w:b w:val="1"/>
          <w:bCs w:val="1"/>
          <w:color w:val="auto"/>
        </w:rPr>
      </w:pPr>
    </w:p>
    <w:p>
      <w:pPr>
        <w:jc w:val="both"/>
        <w:ind w:left="2" w:hanging="2"/>
        <w:spacing w:after="0" w:line="277" w:lineRule="auto"/>
        <w:tabs>
          <w:tab w:leader="none" w:pos="366" w:val="left"/>
        </w:tabs>
        <w:numPr>
          <w:ilvl w:val="0"/>
          <w:numId w:val="117"/>
        </w:numPr>
        <w:rPr>
          <w:rFonts w:ascii="Arial" w:cs="Arial" w:eastAsia="Arial" w:hAnsi="Arial"/>
          <w:sz w:val="15"/>
          <w:szCs w:val="15"/>
          <w:b w:val="1"/>
          <w:bCs w:val="1"/>
          <w:color w:val="auto"/>
        </w:rPr>
      </w:pPr>
      <w:r>
        <w:rPr>
          <w:rFonts w:ascii="Arial" w:cs="Arial" w:eastAsia="Arial" w:hAnsi="Arial"/>
          <w:sz w:val="15"/>
          <w:szCs w:val="15"/>
          <w:color w:val="auto"/>
        </w:rPr>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Warrant Agreement has been duly authorized by the Company and the Warrant Agent by all necessary corporate action; (iii) the Warrant Agreement has been duly executed and delivered by the Company and the Warrant Agent; (iv) the issuance and terms of the Warrants have been duly authorized by the Company by all necessary corporate action; (v) the terms of the Warrants and of their issuance and sale have been duly established in conformity with the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Bylaws, and so as to comply with any requirement or restriction imposed by any court or governmental body having jurisdiction over the Company; and (vi) the Warrants have been duly executed and delivered by the Company and authenticated by the Warrant Agent pursuant to the Warrant Agreement and delivered against payment therefor, then the Warrants, when issued and sold as contemplated in the Registration Statement, the Base Prospectus and the Prospectus Supplement(s) and in accordance with the Warrant Agreement and a duly authorized, executed and delivered purchase, underwriting or similar agreement, will be valid and legally binding obligations of the Company, enforceable against the Company in accordance with their terms, except as enforcement thereof may be limited by bankruptcy, insolvency, reorganization, moratorium or other similar laws relating to or affecting creditors’ rights generally, and by general equitable principles (regardless of whether such enforceability is considered in a proceeding at law or in equity).</w:t>
      </w:r>
    </w:p>
    <w:p>
      <w:pPr>
        <w:spacing w:after="0" w:line="16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w:t>
      </w:r>
    </w:p>
    <w:p>
      <w:pPr>
        <w:spacing w:after="0" w:line="209" w:lineRule="exact"/>
        <w:rPr>
          <w:sz w:val="20"/>
          <w:szCs w:val="20"/>
          <w:color w:val="auto"/>
        </w:rPr>
      </w:pPr>
    </w:p>
    <w:p>
      <w:pPr>
        <w:jc w:val="both"/>
        <w:ind w:left="2"/>
        <w:spacing w:after="0" w:line="272"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w:t>
      </w:r>
    </w:p>
    <w:p>
      <w:pPr>
        <w:spacing w:after="0" w:line="161" w:lineRule="exact"/>
        <w:rPr>
          <w:sz w:val="20"/>
          <w:szCs w:val="20"/>
          <w:color w:val="auto"/>
        </w:rPr>
      </w:pPr>
    </w:p>
    <w:p>
      <w:pPr>
        <w:jc w:val="both"/>
        <w:ind w:left="2"/>
        <w:spacing w:after="0" w:line="272" w:lineRule="auto"/>
        <w:rPr>
          <w:sz w:val="20"/>
          <w:szCs w:val="20"/>
          <w:color w:val="auto"/>
        </w:rPr>
      </w:pPr>
      <w:r>
        <w:rPr>
          <w:rFonts w:ascii="Arial" w:cs="Arial" w:eastAsia="Arial" w:hAnsi="Arial"/>
          <w:sz w:val="16"/>
          <w:szCs w:val="16"/>
          <w:color w:val="auto"/>
        </w:rPr>
        <w:t>Our opinion set forth above is limited to the matters expressly set forth in this letter, and no opinion is implied or may be inferred beyond the matters expressly stated. This opinion speaks only as to law and facts in effect or existing as of the date hereof, and we undertake no obligation or responsibility to update or supplement this opinion to reflect any facts or circumstances that may hereafter come to our attention or any changes in law that may hereafter occur.</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16"/>
          <w:szCs w:val="16"/>
          <w:color w:val="auto"/>
        </w:rPr>
        <w:t>Very truly yours,</w:t>
      </w: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Cooley LLP</w:t>
      </w:r>
    </w:p>
    <w:p>
      <w:pPr>
        <w:spacing w:after="0" w:line="361" w:lineRule="exact"/>
        <w:rPr>
          <w:sz w:val="20"/>
          <w:szCs w:val="20"/>
          <w:color w:val="auto"/>
        </w:rPr>
      </w:pPr>
    </w:p>
    <w:p>
      <w:pPr>
        <w:ind w:left="22"/>
        <w:spacing w:after="0"/>
        <w:tabs>
          <w:tab w:leader="none" w:pos="661"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Matthew B. Hemington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31750</wp:posOffset>
            </wp:positionV>
            <wp:extent cx="254444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2544445" cy="7620"/>
                    </a:xfrm>
                    <a:prstGeom prst="rect">
                      <a:avLst/>
                    </a:prstGeom>
                    <a:noFill/>
                  </pic:spPr>
                </pic:pic>
              </a:graphicData>
            </a:graphic>
          </wp:anchor>
        </w:drawing>
      </w:r>
    </w:p>
    <w:p>
      <w:pPr>
        <w:spacing w:after="0" w:line="54" w:lineRule="exact"/>
        <w:rPr>
          <w:sz w:val="20"/>
          <w:szCs w:val="20"/>
          <w:color w:val="auto"/>
        </w:rPr>
      </w:pPr>
    </w:p>
    <w:p>
      <w:pPr>
        <w:ind w:left="682"/>
        <w:spacing w:after="0"/>
        <w:rPr>
          <w:sz w:val="20"/>
          <w:szCs w:val="20"/>
          <w:color w:val="auto"/>
        </w:rPr>
      </w:pPr>
      <w:r>
        <w:rPr>
          <w:rFonts w:ascii="Arial" w:cs="Arial" w:eastAsia="Arial" w:hAnsi="Arial"/>
          <w:sz w:val="16"/>
          <w:szCs w:val="16"/>
          <w:color w:val="auto"/>
        </w:rPr>
        <w:t>Matthew B. Hemington</w:t>
      </w:r>
    </w:p>
    <w:p>
      <w:pPr>
        <w:sectPr>
          <w:pgSz w:w="11900" w:h="16838" w:orient="portrait"/>
          <w:cols w:equalWidth="0" w:num="1">
            <w:col w:w="11422"/>
          </w:cols>
          <w:pgMar w:left="238" w:top="54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b w:val="1"/>
          <w:bCs w:val="1"/>
          <w:color w:val="auto"/>
        </w:rPr>
        <w:t>Exhibit 23.1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hereby consent to the incorporation by reference in this Registration Statement on Form S-3 of SI-BONE, Inc. of our report dated March 14, 2019, relating to the financial statements, which appears in SI-BONE, Inc.'s, Annual Report on Form 10-K for the year ended December 31, 2018. We also consent to the reference to us under the heading “Experts” in such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November 13, 2019</w:t>
      </w:r>
    </w:p>
    <w:sectPr>
      <w:pgSz w:w="11900" w:h="16838" w:orient="portrait"/>
      <w:cols w:equalWidth="0" w:num="1">
        <w:col w:w="11420"/>
      </w:cols>
      <w:pgMar w:left="240" w:top="5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1)"/>
      <w:numFmt w:val="decimal"/>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1)"/>
      <w:numFmt w:val="decimal"/>
      <w:start w:val="1"/>
    </w:lvl>
    <w:lvl w:ilvl="1">
      <w:lvlJc w:val="left"/>
      <w:lvlText w:val="(%2)"/>
      <w:numFmt w:val="lowerRoman"/>
      <w:start w:val="1"/>
    </w:lvl>
  </w:abstractNum>
  <w:abstractNum w:abstractNumId="36">
    <w:nsid w:val="11447B73"/>
    <w:multiLevelType w:val="hybridMultilevel"/>
    <w:lvl w:ilvl="0">
      <w:lvlJc w:val="left"/>
      <w:lvlText w:val="(%1)"/>
      <w:numFmt w:val="decimal"/>
      <w:start w:val="2"/>
    </w:lvl>
    <w:lvl w:ilvl="1">
      <w:lvlJc w:val="left"/>
      <w:lvlText w:val="(%2)"/>
      <w:numFmt w:val="lowerRoman"/>
      <w:start w:val="1"/>
    </w:lvl>
  </w:abstractNum>
  <w:abstractNum w:abstractNumId="37">
    <w:nsid w:val="42963E5A"/>
    <w:multiLevelType w:val="hybridMultilevel"/>
    <w:lvl w:ilvl="0">
      <w:lvlJc w:val="left"/>
      <w:lvlText w:val="%1"/>
      <w:numFmt w:val="decimal"/>
      <w:start w:val="1"/>
    </w:lvl>
    <w:lvl w:ilvl="1">
      <w:lvlJc w:val="left"/>
      <w:lvlText w:val="(%2)"/>
      <w:numFmt w:val="lowerRoman"/>
      <w:start w:val="1"/>
    </w:lvl>
  </w:abstractNum>
  <w:abstractNum w:abstractNumId="38">
    <w:nsid w:val="A0382C5"/>
    <w:multiLevelType w:val="hybridMultilevel"/>
    <w:lvl w:ilvl="0">
      <w:lvlJc w:val="left"/>
      <w:lvlText w:val="(%1)"/>
      <w:numFmt w:val="decimal"/>
      <w:start w:val="6"/>
    </w:lvl>
    <w:lvl w:ilvl="1">
      <w:lvlJc w:val="left"/>
      <w:lvlText w:val="%2"/>
      <w:numFmt w:val="lowerRoman"/>
      <w:start w:val="1"/>
    </w:lvl>
  </w:abstractNum>
  <w:abstractNum w:abstractNumId="39">
    <w:nsid w:val="8F2B15E"/>
    <w:multiLevelType w:val="hybridMultilevel"/>
    <w:lvl w:ilvl="0">
      <w:lvlJc w:val="left"/>
      <w:lvlText w:val="(%1)"/>
      <w:numFmt w:val="lowerLetter"/>
      <w:start w:val="1"/>
    </w:lvl>
    <w:lvl w:ilvl="1">
      <w:lvlJc w:val="left"/>
      <w:lvlText w:val="(%2)"/>
      <w:numFmt w:val="decimal"/>
      <w:start w:val="1"/>
    </w:lvl>
  </w:abstractNum>
  <w:abstractNum w:abstractNumId="40">
    <w:nsid w:val="1A32234B"/>
    <w:multiLevelType w:val="hybridMultilevel"/>
    <w:lvl w:ilvl="0">
      <w:lvlJc w:val="left"/>
      <w:lvlText w:val="(%1)"/>
      <w:numFmt w:val="decimal"/>
      <w:start w:val="15"/>
    </w:lvl>
  </w:abstractNum>
  <w:abstractNum w:abstractNumId="41">
    <w:nsid w:val="3B0FD379"/>
    <w:multiLevelType w:val="hybridMultilevel"/>
    <w:lvl w:ilvl="0">
      <w:lvlJc w:val="left"/>
      <w:lvlText w:val="(%1)"/>
      <w:numFmt w:val="decimal"/>
      <w:start w:val="1"/>
    </w:lvl>
  </w:abstractNum>
  <w:abstractNum w:abstractNumId="42">
    <w:nsid w:val="68EB2F63"/>
    <w:multiLevelType w:val="hybridMultilevel"/>
    <w:lvl w:ilvl="0">
      <w:lvlJc w:val="left"/>
      <w:lvlText w:val="(%1)"/>
      <w:numFmt w:val="lowerLetter"/>
      <w:start w:val="1"/>
    </w:lvl>
  </w:abstractNum>
  <w:abstractNum w:abstractNumId="43">
    <w:nsid w:val="4962813B"/>
    <w:multiLevelType w:val="hybridMultilevel"/>
    <w:lvl w:ilvl="0">
      <w:lvlJc w:val="left"/>
      <w:lvlText w:val="(%1)"/>
      <w:numFmt w:val="lowerLetter"/>
      <w:start w:val="3"/>
    </w:lvl>
  </w:abstractNum>
  <w:abstractNum w:abstractNumId="44">
    <w:nsid w:val="60B6DF70"/>
    <w:multiLevelType w:val="hybridMultilevel"/>
    <w:lvl w:ilvl="0">
      <w:lvlJc w:val="left"/>
      <w:lvlText w:val="%1"/>
      <w:numFmt w:val="lowerLetter"/>
      <w:start w:val="1"/>
    </w:lvl>
    <w:lvl w:ilvl="1">
      <w:lvlJc w:val="left"/>
      <w:lvlText w:val="(%2)"/>
      <w:numFmt w:val="lowerLetter"/>
      <w:start w:val="1"/>
    </w:lvl>
  </w:abstractNum>
  <w:abstractNum w:abstractNumId="45">
    <w:nsid w:val="6A5EE64"/>
    <w:multiLevelType w:val="hybridMultilevel"/>
    <w:lvl w:ilvl="0">
      <w:lvlJc w:val="left"/>
      <w:lvlText w:val="(%1)"/>
      <w:numFmt w:val="lowerLetter"/>
      <w:start w:val="61"/>
    </w:lvl>
    <w:lvl w:ilvl="1">
      <w:lvlJc w:val="left"/>
      <w:lvlText w:val="(%2)"/>
      <w:numFmt w:val="lowerLetter"/>
      <w:start w:val="2"/>
    </w:lvl>
  </w:abstractNum>
  <w:abstractNum w:abstractNumId="46">
    <w:nsid w:val="14330624"/>
    <w:multiLevelType w:val="hybridMultilevel"/>
    <w:lvl w:ilvl="0">
      <w:lvlJc w:val="left"/>
      <w:lvlText w:val="(%1)"/>
      <w:numFmt w:val="lowerLetter"/>
      <w:start w:val="3"/>
    </w:lvl>
  </w:abstractNum>
  <w:abstractNum w:abstractNumId="47">
    <w:nsid w:val="7FFFCA11"/>
    <w:multiLevelType w:val="hybridMultilevel"/>
    <w:lvl w:ilvl="0">
      <w:lvlJc w:val="left"/>
      <w:lvlText w:val="(%1)"/>
      <w:numFmt w:val="lowerLetter"/>
      <w:start w:val="1"/>
    </w:lvl>
  </w:abstractNum>
  <w:abstractNum w:abstractNumId="48">
    <w:nsid w:val="1A27709E"/>
    <w:multiLevelType w:val="hybridMultilevel"/>
    <w:lvl w:ilvl="0">
      <w:lvlJc w:val="left"/>
      <w:lvlText w:val="(%1)"/>
      <w:numFmt w:val="lowerLetter"/>
      <w:start w:val="2"/>
    </w:lvl>
  </w:abstractNum>
  <w:abstractNum w:abstractNumId="49">
    <w:nsid w:val="71EA1109"/>
    <w:multiLevelType w:val="hybridMultilevel"/>
    <w:lvl w:ilvl="0">
      <w:lvlJc w:val="left"/>
      <w:lvlText w:val="(%1)"/>
      <w:numFmt w:val="lowerLetter"/>
      <w:start w:val="1"/>
    </w:lvl>
  </w:abstractNum>
  <w:abstractNum w:abstractNumId="50">
    <w:nsid w:val="100F59DC"/>
    <w:multiLevelType w:val="hybridMultilevel"/>
    <w:lvl w:ilvl="0">
      <w:lvlJc w:val="left"/>
      <w:lvlText w:val="(%1)"/>
      <w:numFmt w:val="lowerLetter"/>
      <w:start w:val="1"/>
    </w:lvl>
    <w:lvl w:ilvl="1">
      <w:lvlJc w:val="left"/>
      <w:lvlText w:val="(%2)"/>
      <w:numFmt w:val="decimal"/>
      <w:start w:val="1"/>
    </w:lvl>
  </w:abstractNum>
  <w:abstractNum w:abstractNumId="51">
    <w:nsid w:val="7FB7E0AA"/>
    <w:multiLevelType w:val="hybridMultilevel"/>
    <w:lvl w:ilvl="0">
      <w:lvlJc w:val="left"/>
      <w:lvlText w:val="(%1)"/>
      <w:numFmt w:val="lowerLetter"/>
      <w:start w:val="2"/>
    </w:lvl>
  </w:abstractNum>
  <w:abstractNum w:abstractNumId="52">
    <w:nsid w:val="6EB5BD4"/>
    <w:multiLevelType w:val="hybridMultilevel"/>
    <w:lvl w:ilvl="0">
      <w:lvlJc w:val="left"/>
      <w:lvlText w:val="(%1)"/>
      <w:numFmt w:val="lowerLetter"/>
      <w:start w:val="1"/>
    </w:lvl>
  </w:abstractNum>
  <w:abstractNum w:abstractNumId="53">
    <w:nsid w:val="6F6DD9AC"/>
    <w:multiLevelType w:val="hybridMultilevel"/>
    <w:lvl w:ilvl="0">
      <w:lvlJc w:val="left"/>
      <w:lvlText w:val="(%1)"/>
      <w:numFmt w:val="lowerLetter"/>
      <w:start w:val="1"/>
    </w:lvl>
  </w:abstractNum>
  <w:abstractNum w:abstractNumId="54">
    <w:nsid w:val="94211F2"/>
    <w:multiLevelType w:val="hybridMultilevel"/>
    <w:lvl w:ilvl="0">
      <w:lvlJc w:val="left"/>
      <w:lvlText w:val="(%1)"/>
      <w:numFmt w:val="lowerLetter"/>
      <w:start w:val="1"/>
    </w:lvl>
  </w:abstractNum>
  <w:abstractNum w:abstractNumId="55">
    <w:nsid w:val="885E1B"/>
    <w:multiLevelType w:val="hybridMultilevel"/>
    <w:lvl w:ilvl="0">
      <w:lvlJc w:val="left"/>
      <w:lvlText w:val="(%1)"/>
      <w:numFmt w:val="lowerLetter"/>
      <w:start w:val="1"/>
    </w:lvl>
    <w:lvl w:ilvl="1">
      <w:lvlJc w:val="left"/>
      <w:lvlText w:val="(%2)"/>
      <w:numFmt w:val="decimal"/>
      <w:start w:val="1"/>
    </w:lvl>
  </w:abstractNum>
  <w:abstractNum w:abstractNumId="56">
    <w:nsid w:val="7627211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57">
    <w:nsid w:val="4C04A8AF"/>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58">
    <w:nsid w:val="1716703B"/>
    <w:multiLevelType w:val="hybridMultilevel"/>
    <w:lvl w:ilvl="0">
      <w:lvlJc w:val="left"/>
      <w:lvlText w:val="(%1)"/>
      <w:numFmt w:val="lowerLetter"/>
      <w:start w:val="4"/>
    </w:lvl>
  </w:abstractNum>
  <w:abstractNum w:abstractNumId="59">
    <w:nsid w:val="14E17E33"/>
    <w:multiLevelType w:val="hybridMultilevel"/>
    <w:lvl w:ilvl="0">
      <w:lvlJc w:val="left"/>
      <w:lvlText w:val="(%1)"/>
      <w:numFmt w:val="lowerLetter"/>
      <w:start w:val="1"/>
    </w:lvl>
  </w:abstractNum>
  <w:abstractNum w:abstractNumId="60">
    <w:nsid w:val="3222E7CD"/>
    <w:multiLevelType w:val="hybridMultilevel"/>
    <w:lvl w:ilvl="0">
      <w:lvlJc w:val="left"/>
      <w:lvlText w:val="(%1)"/>
      <w:numFmt w:val="lowerLetter"/>
      <w:start w:val="2"/>
    </w:lvl>
  </w:abstractNum>
  <w:abstractNum w:abstractNumId="61">
    <w:nsid w:val="74DE0EE3"/>
    <w:multiLevelType w:val="hybridMultilevel"/>
    <w:lvl w:ilvl="0">
      <w:lvlJc w:val="left"/>
      <w:lvlText w:val="(%1)"/>
      <w:numFmt w:val="lowerLetter"/>
      <w:start w:val="1"/>
    </w:lvl>
  </w:abstractNum>
  <w:abstractNum w:abstractNumId="62">
    <w:nsid w:val="68EBC550"/>
    <w:multiLevelType w:val="hybridMultilevel"/>
    <w:lvl w:ilvl="0">
      <w:lvlJc w:val="left"/>
      <w:lvlText w:val="(%1)"/>
      <w:numFmt w:val="lowerLetter"/>
      <w:start w:val="1"/>
    </w:lvl>
  </w:abstractNum>
  <w:abstractNum w:abstractNumId="63">
    <w:nsid w:val="2DF6D648"/>
    <w:multiLevelType w:val="hybridMultilevel"/>
    <w:lvl w:ilvl="0">
      <w:lvlJc w:val="left"/>
      <w:lvlText w:val="(%1)"/>
      <w:numFmt w:val="lowerRoman"/>
      <w:start w:val="1"/>
    </w:lvl>
    <w:lvl w:ilvl="1">
      <w:lvlJc w:val="left"/>
      <w:lvlText w:val="(%2)"/>
      <w:numFmt w:val="upperLetter"/>
      <w:start w:val="1"/>
    </w:lvl>
  </w:abstractNum>
  <w:abstractNum w:abstractNumId="64">
    <w:nsid w:val="46B7D447"/>
    <w:multiLevelType w:val="hybridMultilevel"/>
    <w:lvl w:ilvl="0">
      <w:lvlJc w:val="left"/>
      <w:lvlText w:val="(%1)"/>
      <w:numFmt w:val="lowerRoman"/>
      <w:start w:val="6"/>
    </w:lvl>
  </w:abstractNum>
  <w:abstractNum w:abstractNumId="65">
    <w:nsid w:val="4A2AC315"/>
    <w:multiLevelType w:val="hybridMultilevel"/>
    <w:lvl w:ilvl="0">
      <w:lvlJc w:val="left"/>
      <w:lvlText w:val="(%1)"/>
      <w:numFmt w:val="lowerLetter"/>
      <w:start w:val="1"/>
    </w:lvl>
  </w:abstractNum>
  <w:abstractNum w:abstractNumId="66">
    <w:nsid w:val="39EE015C"/>
    <w:multiLevelType w:val="hybridMultilevel"/>
    <w:lvl w:ilvl="0">
      <w:lvlJc w:val="left"/>
      <w:lvlText w:val="(%1)"/>
      <w:numFmt w:val="lowerLetter"/>
      <w:start w:val="10"/>
    </w:lvl>
  </w:abstractNum>
  <w:abstractNum w:abstractNumId="67">
    <w:nsid w:val="57FC4FBB"/>
    <w:multiLevelType w:val="hybridMultilevel"/>
    <w:lvl w:ilvl="0">
      <w:lvlJc w:val="left"/>
      <w:lvlText w:val="(%1)"/>
      <w:numFmt w:val="lowerLetter"/>
      <w:start w:val="1"/>
    </w:lvl>
  </w:abstractNum>
  <w:abstractNum w:abstractNumId="68">
    <w:nsid w:val="CC1016F"/>
    <w:multiLevelType w:val="hybridMultilevel"/>
    <w:lvl w:ilvl="0">
      <w:lvlJc w:val="left"/>
      <w:lvlText w:val="(%1)"/>
      <w:numFmt w:val="lowerLetter"/>
      <w:start w:val="1"/>
    </w:lvl>
  </w:abstractNum>
  <w:abstractNum w:abstractNumId="69">
    <w:nsid w:val="43F18422"/>
    <w:multiLevelType w:val="hybridMultilevel"/>
    <w:lvl w:ilvl="0">
      <w:lvlJc w:val="left"/>
      <w:lvlText w:val="(%1)"/>
      <w:numFmt w:val="lowerLetter"/>
      <w:start w:val="2"/>
    </w:lvl>
  </w:abstractNum>
  <w:abstractNum w:abstractNumId="70">
    <w:nsid w:val="60EF0119"/>
    <w:multiLevelType w:val="hybridMultilevel"/>
    <w:lvl w:ilvl="0">
      <w:lvlJc w:val="left"/>
      <w:lvlText w:val="(%1)"/>
      <w:numFmt w:val="lowerLetter"/>
      <w:start w:val="1"/>
    </w:lvl>
  </w:abstractNum>
  <w:abstractNum w:abstractNumId="71">
    <w:nsid w:val="26F324BA"/>
    <w:multiLevelType w:val="hybridMultilevel"/>
    <w:lvl w:ilvl="0">
      <w:lvlJc w:val="left"/>
      <w:lvlText w:val="(%1)"/>
      <w:numFmt w:val="lowerLetter"/>
      <w:start w:val="2"/>
    </w:lvl>
    <w:lvl w:ilvl="1">
      <w:lvlJc w:val="left"/>
      <w:lvlText w:val="(%2)"/>
      <w:numFmt w:val="lowerRoman"/>
      <w:start w:val="1"/>
    </w:lvl>
  </w:abstractNum>
  <w:abstractNum w:abstractNumId="72">
    <w:nsid w:val="7F01579B"/>
    <w:multiLevelType w:val="hybridMultilevel"/>
    <w:lvl w:ilvl="0">
      <w:lvlJc w:val="left"/>
      <w:lvlText w:val="(%1)"/>
      <w:numFmt w:val="lowerLetter"/>
      <w:start w:val="3"/>
    </w:lvl>
  </w:abstractNum>
  <w:abstractNum w:abstractNumId="73">
    <w:nsid w:val="49DA307D"/>
    <w:multiLevelType w:val="hybridMultilevel"/>
    <w:lvl w:ilvl="0">
      <w:lvlJc w:val="left"/>
      <w:lvlText w:val="(%1)"/>
      <w:numFmt w:val="lowerLetter"/>
      <w:start w:val="1"/>
    </w:lvl>
  </w:abstractNum>
  <w:abstractNum w:abstractNumId="74">
    <w:nsid w:val="7055A5F5"/>
    <w:multiLevelType w:val="hybridMultilevel"/>
    <w:lvl w:ilvl="0">
      <w:lvlJc w:val="left"/>
      <w:lvlText w:val="(%1)"/>
      <w:numFmt w:val="lowerLetter"/>
      <w:start w:val="3"/>
    </w:lvl>
  </w:abstractNum>
  <w:abstractNum w:abstractNumId="75">
    <w:nsid w:val="5FB8370B"/>
    <w:multiLevelType w:val="hybridMultilevel"/>
    <w:lvl w:ilvl="0">
      <w:lvlJc w:val="left"/>
      <w:lvlText w:val="(%1)"/>
      <w:numFmt w:val="lowerLetter"/>
      <w:start w:val="1"/>
    </w:lvl>
  </w:abstractNum>
  <w:abstractNum w:abstractNumId="76">
    <w:nsid w:val="50801EE1"/>
    <w:multiLevelType w:val="hybridMultilevel"/>
    <w:lvl w:ilvl="0">
      <w:lvlJc w:val="left"/>
      <w:lvlText w:val="(%1)"/>
      <w:numFmt w:val="lowerLetter"/>
      <w:start w:val="1"/>
    </w:lvl>
  </w:abstractNum>
  <w:abstractNum w:abstractNumId="77">
    <w:nsid w:val="488AC1A"/>
    <w:multiLevelType w:val="hybridMultilevel"/>
    <w:lvl w:ilvl="0">
      <w:lvlJc w:val="left"/>
      <w:lvlText w:val="(%1)"/>
      <w:numFmt w:val="lowerLetter"/>
      <w:start w:val="1"/>
    </w:lvl>
  </w:abstractNum>
  <w:abstractNum w:abstractNumId="78">
    <w:nsid w:val="5FB8011C"/>
    <w:multiLevelType w:val="hybridMultilevel"/>
    <w:lvl w:ilvl="0">
      <w:lvlJc w:val="left"/>
      <w:lvlText w:val="(%1)"/>
      <w:numFmt w:val="lowerLetter"/>
      <w:start w:val="1"/>
    </w:lvl>
  </w:abstractNum>
  <w:abstractNum w:abstractNumId="79">
    <w:nsid w:val="6AA78F7F"/>
    <w:multiLevelType w:val="hybridMultilevel"/>
    <w:lvl w:ilvl="0">
      <w:lvlJc w:val="left"/>
      <w:lvlText w:val="(%1)"/>
      <w:numFmt w:val="decimal"/>
      <w:start w:val="1"/>
    </w:lvl>
  </w:abstractNum>
  <w:abstractNum w:abstractNumId="80">
    <w:nsid w:val="7672BD23"/>
    <w:multiLevelType w:val="hybridMultilevel"/>
    <w:lvl w:ilvl="0">
      <w:lvlJc w:val="left"/>
      <w:lvlText w:val="[●]"/>
      <w:numFmt w:val="bullet"/>
      <w:start w:val="1"/>
    </w:lvl>
  </w:abstractNum>
  <w:abstractNum w:abstractNumId="81">
    <w:nsid w:val="6FC75AF8"/>
    <w:multiLevelType w:val="hybridMultilevel"/>
    <w:lvl w:ilvl="0">
      <w:lvlJc w:val="left"/>
      <w:lvlText w:val="(%1)"/>
      <w:numFmt w:val="lowerLetter"/>
      <w:start w:val="1"/>
    </w:lvl>
  </w:abstractNum>
  <w:abstractNum w:abstractNumId="82">
    <w:nsid w:val="6A5F7029"/>
    <w:multiLevelType w:val="hybridMultilevel"/>
    <w:lvl w:ilvl="0">
      <w:lvlJc w:val="left"/>
      <w:lvlText w:val="(%1)"/>
      <w:numFmt w:val="lowerLetter"/>
      <w:start w:val="4"/>
    </w:lvl>
  </w:abstractNum>
  <w:abstractNum w:abstractNumId="83">
    <w:nsid w:val="7D5E18F8"/>
    <w:multiLevelType w:val="hybridMultilevel"/>
    <w:lvl w:ilvl="0">
      <w:lvlJc w:val="left"/>
      <w:lvlText w:val="(%1)"/>
      <w:numFmt w:val="lowerLetter"/>
      <w:start w:val="1"/>
    </w:lvl>
    <w:lvl w:ilvl="1">
      <w:lvlJc w:val="left"/>
      <w:lvlText w:val="(%2)"/>
      <w:numFmt w:val="lowerRoman"/>
      <w:start w:val="1"/>
    </w:lvl>
  </w:abstractNum>
  <w:abstractNum w:abstractNumId="84">
    <w:nsid w:val="5F3534A4"/>
    <w:multiLevelType w:val="hybridMultilevel"/>
    <w:lvl w:ilvl="0">
      <w:lvlJc w:val="left"/>
      <w:lvlText w:val="%1"/>
      <w:numFmt w:val="lowerLetter"/>
      <w:start w:val="1"/>
    </w:lvl>
    <w:lvl w:ilvl="1">
      <w:lvlJc w:val="left"/>
      <w:lvlText w:val="(%2)"/>
      <w:numFmt w:val="lowerRoman"/>
      <w:start w:val="3"/>
    </w:lvl>
  </w:abstractNum>
  <w:abstractNum w:abstractNumId="85">
    <w:nsid w:val="73A1821B"/>
    <w:multiLevelType w:val="hybridMultilevel"/>
    <w:lvl w:ilvl="0">
      <w:lvlJc w:val="left"/>
      <w:lvlText w:val="(%1)"/>
      <w:numFmt w:val="lowerLetter"/>
      <w:start w:val="3"/>
    </w:lvl>
    <w:lvl w:ilvl="1">
      <w:lvlJc w:val="left"/>
      <w:lvlText w:val="%2"/>
      <w:numFmt w:val="lowerRoman"/>
      <w:start w:val="1"/>
    </w:lvl>
  </w:abstractNum>
  <w:abstractNum w:abstractNumId="86">
    <w:nsid w:val="7DE67713"/>
    <w:multiLevelType w:val="hybridMultilevel"/>
    <w:lvl w:ilvl="0">
      <w:lvlJc w:val="left"/>
      <w:lvlText w:val="(%1)"/>
      <w:numFmt w:val="lowerLetter"/>
      <w:start w:val="6"/>
    </w:lvl>
  </w:abstractNum>
  <w:abstractNum w:abstractNumId="87">
    <w:nsid w:val="555C55B5"/>
    <w:multiLevelType w:val="hybridMultilevel"/>
    <w:lvl w:ilvl="0">
      <w:lvlJc w:val="left"/>
      <w:lvlText w:val="(%1)"/>
      <w:numFmt w:val="lowerLetter"/>
      <w:start w:val="3"/>
    </w:lvl>
  </w:abstractNum>
  <w:abstractNum w:abstractNumId="88">
    <w:nsid w:val="3FA62ACA"/>
    <w:multiLevelType w:val="hybridMultilevel"/>
    <w:lvl w:ilvl="0">
      <w:lvlJc w:val="left"/>
      <w:lvlText w:val="(%1)"/>
      <w:numFmt w:val="lowerLetter"/>
      <w:start w:val="1"/>
    </w:lvl>
  </w:abstractNum>
  <w:abstractNum w:abstractNumId="89">
    <w:nsid w:val="14FCE74E"/>
    <w:multiLevelType w:val="hybridMultilevel"/>
    <w:lvl w:ilvl="0">
      <w:lvlJc w:val="left"/>
      <w:lvlText w:val="(%1)"/>
      <w:numFmt w:val="lowerLetter"/>
      <w:start w:val="4"/>
    </w:lvl>
  </w:abstractNum>
  <w:abstractNum w:abstractNumId="90">
    <w:nsid w:val="6A3DD3E8"/>
    <w:multiLevelType w:val="hybridMultilevel"/>
    <w:lvl w:ilvl="0">
      <w:lvlJc w:val="left"/>
      <w:lvlText w:val="(%1)"/>
      <w:numFmt w:val="lowerLetter"/>
      <w:start w:val="1"/>
    </w:lvl>
  </w:abstractNum>
  <w:abstractNum w:abstractNumId="91">
    <w:nsid w:val="71C91298"/>
    <w:multiLevelType w:val="hybridMultilevel"/>
    <w:lvl w:ilvl="0">
      <w:lvlJc w:val="left"/>
      <w:lvlText w:val="(%1)"/>
      <w:numFmt w:val="lowerLetter"/>
      <w:start w:val="1"/>
    </w:lvl>
  </w:abstractNum>
  <w:abstractNum w:abstractNumId="92">
    <w:nsid w:val="9DAF632"/>
    <w:multiLevelType w:val="hybridMultilevel"/>
    <w:lvl w:ilvl="0">
      <w:lvlJc w:val="left"/>
      <w:lvlText w:val="(%1)"/>
      <w:numFmt w:val="lowerLetter"/>
      <w:start w:val="2"/>
    </w:lvl>
  </w:abstractNum>
  <w:abstractNum w:abstractNumId="93">
    <w:nsid w:val="53299938"/>
    <w:multiLevelType w:val="hybridMultilevel"/>
    <w:lvl w:ilvl="0">
      <w:lvlJc w:val="left"/>
      <w:lvlText w:val="[●]"/>
      <w:numFmt w:val="bullet"/>
      <w:start w:val="1"/>
    </w:lvl>
  </w:abstractNum>
  <w:abstractNum w:abstractNumId="94">
    <w:nsid w:val="1FBFE8E0"/>
    <w:multiLevelType w:val="hybridMultilevel"/>
    <w:lvl w:ilvl="0">
      <w:lvlJc w:val="left"/>
      <w:lvlText w:val="(%1)"/>
      <w:numFmt w:val="lowerLetter"/>
      <w:start w:val="1"/>
    </w:lvl>
  </w:abstractNum>
  <w:abstractNum w:abstractNumId="95">
    <w:nsid w:val="5092CA79"/>
    <w:multiLevelType w:val="hybridMultilevel"/>
    <w:lvl w:ilvl="0">
      <w:lvlJc w:val="left"/>
      <w:lvlText w:val="(%1)"/>
      <w:numFmt w:val="lowerLetter"/>
      <w:start w:val="5"/>
    </w:lvl>
  </w:abstractNum>
  <w:abstractNum w:abstractNumId="96">
    <w:nsid w:val="1D545C4D"/>
    <w:multiLevelType w:val="hybridMultilevel"/>
    <w:lvl w:ilvl="0">
      <w:lvlJc w:val="left"/>
      <w:lvlText w:val="(%1)"/>
      <w:numFmt w:val="lowerLetter"/>
      <w:start w:val="1"/>
    </w:lvl>
    <w:lvl w:ilvl="1">
      <w:lvlJc w:val="left"/>
      <w:lvlText w:val="(%2)"/>
      <w:numFmt w:val="lowerRoman"/>
      <w:start w:val="1"/>
    </w:lvl>
  </w:abstractNum>
  <w:abstractNum w:abstractNumId="97">
    <w:nsid w:val="59ADEA3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98">
    <w:nsid w:val="288F1A34"/>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99">
    <w:nsid w:val="2A155DBC"/>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100">
    <w:nsid w:val="1D9F6E5F"/>
    <w:multiLevelType w:val="hybridMultilevel"/>
    <w:lvl w:ilvl="0">
      <w:lvlJc w:val="left"/>
      <w:lvlText w:val="(%1)"/>
      <w:numFmt w:val="lowerLetter"/>
      <w:start w:val="7"/>
    </w:lvl>
  </w:abstractNum>
  <w:abstractNum w:abstractNumId="101">
    <w:nsid w:val="97E1B4E"/>
    <w:multiLevelType w:val="hybridMultilevel"/>
    <w:lvl w:ilvl="0">
      <w:lvlJc w:val="left"/>
      <w:lvlText w:val="(%1)"/>
      <w:numFmt w:val="lowerLetter"/>
      <w:start w:val="3"/>
    </w:lvl>
  </w:abstractNum>
  <w:abstractNum w:abstractNumId="102">
    <w:nsid w:val="51088277"/>
    <w:multiLevelType w:val="hybridMultilevel"/>
    <w:lvl w:ilvl="0">
      <w:lvlJc w:val="left"/>
      <w:lvlText w:val="(%1)"/>
      <w:numFmt w:val="lowerLetter"/>
      <w:start w:val="1"/>
    </w:lvl>
  </w:abstractNum>
  <w:abstractNum w:abstractNumId="103">
    <w:nsid w:val="1CA0C5FA"/>
    <w:multiLevelType w:val="hybridMultilevel"/>
    <w:lvl w:ilvl="0">
      <w:lvlJc w:val="left"/>
      <w:lvlText w:val="(%1)"/>
      <w:numFmt w:val="lowerLetter"/>
      <w:start w:val="1"/>
    </w:lvl>
  </w:abstractNum>
  <w:abstractNum w:abstractNumId="104">
    <w:nsid w:val="53584BCB"/>
    <w:multiLevelType w:val="hybridMultilevel"/>
    <w:lvl w:ilvl="0">
      <w:lvlJc w:val="left"/>
      <w:lvlText w:val="(%1)"/>
      <w:numFmt w:val="lowerLetter"/>
      <w:start w:val="3"/>
    </w:lvl>
  </w:abstractNum>
  <w:abstractNum w:abstractNumId="105">
    <w:nsid w:val="415E286C"/>
    <w:multiLevelType w:val="hybridMultilevel"/>
    <w:lvl w:ilvl="0">
      <w:lvlJc w:val="left"/>
      <w:lvlText w:val="(%1)"/>
      <w:numFmt w:val="lowerLetter"/>
      <w:start w:val="1"/>
    </w:lvl>
  </w:abstractNum>
  <w:abstractNum w:abstractNumId="106">
    <w:nsid w:val="7C58FD05"/>
    <w:multiLevelType w:val="hybridMultilevel"/>
    <w:lvl w:ilvl="0">
      <w:lvlJc w:val="left"/>
      <w:lvlText w:val="(%1)"/>
      <w:numFmt w:val="lowerLetter"/>
      <w:start w:val="4"/>
    </w:lvl>
  </w:abstractNum>
  <w:abstractNum w:abstractNumId="107">
    <w:nsid w:val="23D86AAC"/>
    <w:multiLevelType w:val="hybridMultilevel"/>
    <w:lvl w:ilvl="0">
      <w:lvlJc w:val="left"/>
      <w:lvlText w:val="[●]"/>
      <w:numFmt w:val="bullet"/>
      <w:start w:val="1"/>
    </w:lvl>
  </w:abstractNum>
  <w:abstractNum w:abstractNumId="108">
    <w:nsid w:val="45E6D486"/>
    <w:multiLevelType w:val="hybridMultilevel"/>
    <w:lvl w:ilvl="0">
      <w:lvlJc w:val="left"/>
      <w:lvlText w:val="(%1)"/>
      <w:numFmt w:val="lowerLetter"/>
      <w:start w:val="1"/>
    </w:lvl>
  </w:abstractNum>
  <w:abstractNum w:abstractNumId="109">
    <w:nsid w:val="5C10FE21"/>
    <w:multiLevelType w:val="hybridMultilevel"/>
    <w:lvl w:ilvl="0">
      <w:lvlJc w:val="left"/>
      <w:lvlText w:val="(%1)"/>
      <w:numFmt w:val="lowerLetter"/>
      <w:start w:val="2"/>
    </w:lvl>
  </w:abstractNum>
  <w:abstractNum w:abstractNumId="110">
    <w:nsid w:val="E7FFA2B"/>
    <w:multiLevelType w:val="hybridMultilevel"/>
    <w:lvl w:ilvl="0">
      <w:lvlJc w:val="left"/>
      <w:lvlText w:val="(%1)"/>
      <w:numFmt w:val="lowerLetter"/>
      <w:start w:val="1"/>
    </w:lvl>
  </w:abstractNum>
  <w:abstractNum w:abstractNumId="111">
    <w:nsid w:val="3C5991AA"/>
    <w:multiLevelType w:val="hybridMultilevel"/>
    <w:lvl w:ilvl="0">
      <w:lvlJc w:val="left"/>
      <w:lvlText w:val="(%1)"/>
      <w:numFmt w:val="lowerRoman"/>
      <w:start w:val="1"/>
    </w:lvl>
  </w:abstractNum>
  <w:abstractNum w:abstractNumId="112">
    <w:nsid w:val="4BD8591A"/>
    <w:multiLevelType w:val="hybridMultilevel"/>
    <w:lvl w:ilvl="0">
      <w:lvlJc w:val="left"/>
      <w:lvlText w:val="(%1)"/>
      <w:numFmt w:val="lowerLetter"/>
      <w:start w:val="1"/>
    </w:lvl>
  </w:abstractNum>
  <w:abstractNum w:abstractNumId="113">
    <w:nsid w:val="78DF6A55"/>
    <w:multiLevelType w:val="hybridMultilevel"/>
    <w:lvl w:ilvl="0">
      <w:lvlJc w:val="left"/>
      <w:lvlText w:val="%1:"/>
      <w:numFmt w:val="upperLetter"/>
      <w:start w:val="20"/>
    </w:lvl>
  </w:abstractNum>
  <w:abstractNum w:abstractNumId="114">
    <w:nsid w:val="39B7AAA2"/>
    <w:multiLevelType w:val="hybridMultilevel"/>
    <w:lvl w:ilvl="0">
      <w:lvlJc w:val="left"/>
      <w:lvlText w:val="•"/>
      <w:numFmt w:val="bullet"/>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pn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jpeg"/><Relationship Id="rId144" Type="http://schemas.openxmlformats.org/officeDocument/2006/relationships/image" Target="media/image124.png"/><Relationship Id="rId24" Type="http://schemas.openxmlformats.org/officeDocument/2006/relationships/hyperlink" Target="http://www.sec.gov/Archives/edgar/data/1459839/000145983919000011/sibn1231201810-k.htm" TargetMode="External"/><Relationship Id="rId25" Type="http://schemas.openxmlformats.org/officeDocument/2006/relationships/hyperlink" Target="http://www.sec.gov/Archives/edgar/data/1459839/000145983919000026/sibn331201910-q.htm" TargetMode="External"/><Relationship Id="rId26" Type="http://schemas.openxmlformats.org/officeDocument/2006/relationships/hyperlink" Target="http://www.sec.gov/Archives/edgar/data/1459839/000145983919000035/sibn630201910-q.htm" TargetMode="External"/><Relationship Id="rId27" Type="http://schemas.openxmlformats.org/officeDocument/2006/relationships/hyperlink" Target="http://www.sec.gov/Archives/edgar/data/1459839/000145983919000044/sibn930201910-q.htm" TargetMode="External"/><Relationship Id="rId28" Type="http://schemas.openxmlformats.org/officeDocument/2006/relationships/hyperlink" Target="http://www.sec.gov/Archives/edgar/data/1459839/000145983919000004/sibn-8xkbonusplan.htm" TargetMode="External"/><Relationship Id="rId29" Type="http://schemas.openxmlformats.org/officeDocument/2006/relationships/hyperlink" Target="http://www.sec.gov/Archives/edgar/data/1459839/000145983919000017/sibn-8xkbodchange.htm" TargetMode="External"/><Relationship Id="rId30" Type="http://schemas.openxmlformats.org/officeDocument/2006/relationships/hyperlink" Target="http://www.sec.gov/Archives/edgar/data/1459839/000145983919000028/sibn8-k.htm" TargetMode="External"/><Relationship Id="rId31" Type="http://schemas.openxmlformats.org/officeDocument/2006/relationships/hyperlink" Target="http://www.sec.gov/Archives/edgar/data/1459839/000145983919000033/sibn630198-k.htm" TargetMode="External"/><Relationship Id="rId32" Type="http://schemas.openxmlformats.org/officeDocument/2006/relationships/hyperlink" Target="http://www.sec.gov/Archives/edgar/data/1459839/000145983919000037/sibn8-k8132019bodresignati.htm" TargetMode="External"/><Relationship Id="rId33" Type="http://schemas.openxmlformats.org/officeDocument/2006/relationships/hyperlink" Target="http://www.sec.gov/Archives/edgar/data/1459839/000119312518297571/d486750d8a12b.htm" TargetMode="External"/><Relationship Id="rId34" Type="http://schemas.openxmlformats.org/officeDocument/2006/relationships/hyperlink" Target="http://www.sec.gov/Archives/edgar/data/1459839/000119312518303020/d641574dex31.htm" TargetMode="External"/><Relationship Id="rId35" Type="http://schemas.openxmlformats.org/officeDocument/2006/relationships/hyperlink" Target="http://www.sec.gov/Archives/edgar/data/1459839/000119312518293978/d452987dex34.htm" TargetMode="External"/><Relationship Id="rId36" Type="http://schemas.openxmlformats.org/officeDocument/2006/relationships/hyperlink" Target="http://www.sec.gov/Archives/edgar/data/1459839/000119312518293978/d4529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2019-11-28T08:12:07Z</dcterms:created>
  <dcterms:modified xsi:type="dcterms:W3CDTF">2019-11-28T08:12:07Z</dcterms:modified>
</cp:coreProperties>
</file>