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(Amendment No.__)</w:t>
      </w:r>
    </w:p>
    <w:p>
      <w:pPr>
        <w:spacing w:after="0" w:line="237"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right="3919" w:firstLine="8"/>
        <w:spacing w:after="0" w:line="23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147955</wp:posOffset>
            </wp:positionV>
            <wp:extent cx="2202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125730</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0"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8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INVITATION TO 2023 ANNUAL MEETING OF STOCKHOLDERS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Friday, June 9, 2023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8:30 a.m., Pacific Time</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It is my pleasure to invite you to attend SI-BONE's Annual Meeting of Stockholders (the "Annual Meeting") on Friday, June 9, 2023 at 8:30 a.m., Pacific Time. The attached Notice of Annual Meeting of Stockholders and Proxy Statement will serve as your guide to the business we will conduct at the Annual Meeting.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significant and measurable progress since last year’s annual meeting of stockholders, including the following:</w:t>
      </w:r>
    </w:p>
    <w:p>
      <w:pPr>
        <w:spacing w:after="0" w:line="2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worldwide revenue of $106.4 million</w:t>
      </w:r>
      <w:r>
        <w:rPr>
          <w:rFonts w:ascii="Times New Roman" w:cs="Times New Roman" w:eastAsia="Times New Roman" w:hAnsi="Times New Roman"/>
          <w:sz w:val="18"/>
          <w:szCs w:val="18"/>
          <w:color w:val="auto"/>
        </w:rPr>
        <w:t xml:space="preserve"> for the full year 2022, representing an increase of 18% over the year 2021</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revenue 10%, 15%, 19% and 27% in Q1, Q2, Q3 and Q4, as compared with the prior year periods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Surpassed </w:t>
      </w:r>
      <w:r>
        <w:rPr>
          <w:rFonts w:ascii="Times New Roman" w:cs="Times New Roman" w:eastAsia="Times New Roman" w:hAnsi="Times New Roman"/>
          <w:sz w:val="18"/>
          <w:szCs w:val="18"/>
          <w:b w:val="1"/>
          <w:bCs w:val="1"/>
          <w:color w:val="auto"/>
        </w:rPr>
        <w:t>80,000 procedures</w:t>
      </w:r>
      <w:r>
        <w:rPr>
          <w:rFonts w:ascii="Times New Roman" w:cs="Times New Roman" w:eastAsia="Times New Roman" w:hAnsi="Times New Roman"/>
          <w:sz w:val="18"/>
          <w:szCs w:val="18"/>
          <w:color w:val="auto"/>
        </w:rPr>
        <w:t xml:space="preserve"> performed by over </w:t>
      </w:r>
      <w:r>
        <w:rPr>
          <w:rFonts w:ascii="Times New Roman" w:cs="Times New Roman" w:eastAsia="Times New Roman" w:hAnsi="Times New Roman"/>
          <w:sz w:val="18"/>
          <w:szCs w:val="18"/>
          <w:b w:val="1"/>
          <w:bCs w:val="1"/>
          <w:color w:val="auto"/>
        </w:rPr>
        <w:t>3,000 surgeons</w:t>
      </w:r>
      <w:r>
        <w:rPr>
          <w:rFonts w:ascii="Times New Roman" w:cs="Times New Roman" w:eastAsia="Times New Roman" w:hAnsi="Times New Roman"/>
          <w:sz w:val="18"/>
          <w:szCs w:val="18"/>
          <w:color w:val="auto"/>
        </w:rPr>
        <w:t xml:space="preserve"> worldwide since inception</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Finished the year with over </w:t>
      </w:r>
      <w:r>
        <w:rPr>
          <w:rFonts w:ascii="Times New Roman" w:cs="Times New Roman" w:eastAsia="Times New Roman" w:hAnsi="Times New Roman"/>
          <w:sz w:val="18"/>
          <w:szCs w:val="18"/>
          <w:b w:val="1"/>
          <w:bCs w:val="1"/>
          <w:color w:val="auto"/>
        </w:rPr>
        <w:t>920 active surgeons</w:t>
      </w:r>
      <w:r>
        <w:rPr>
          <w:rFonts w:ascii="Times New Roman" w:cs="Times New Roman" w:eastAsia="Times New Roman" w:hAnsi="Times New Roman"/>
          <w:sz w:val="18"/>
          <w:szCs w:val="18"/>
          <w:color w:val="auto"/>
        </w:rPr>
        <w:t xml:space="preserve"> in the fourth quarter 2022, an approximately 33% increase over the prior year period</w:t>
      </w:r>
    </w:p>
    <w:p>
      <w:pPr>
        <w:spacing w:after="0" w:line="2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gross margins of 85%</w:t>
      </w:r>
      <w:r>
        <w:rPr>
          <w:rFonts w:ascii="Times New Roman" w:cs="Times New Roman" w:eastAsia="Times New Roman" w:hAnsi="Times New Roman"/>
          <w:sz w:val="18"/>
          <w:szCs w:val="18"/>
          <w:color w:val="auto"/>
        </w:rPr>
        <w:t xml:space="preserve"> for the full year 2022</w:t>
      </w:r>
    </w:p>
    <w:p>
      <w:pPr>
        <w:spacing w:after="0" w:line="27" w:lineRule="exact"/>
        <w:rPr>
          <w:rFonts w:ascii="Times New Roman" w:cs="Times New Roman" w:eastAsia="Times New Roman" w:hAnsi="Times New Roman"/>
          <w:sz w:val="18"/>
          <w:szCs w:val="18"/>
          <w:color w:val="auto"/>
        </w:rPr>
      </w:pPr>
    </w:p>
    <w:p>
      <w:pPr>
        <w:ind w:left="1300" w:hanging="644"/>
        <w:spacing w:after="0" w:line="27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b w:val="1"/>
          <w:bCs w:val="1"/>
          <w:color w:val="auto"/>
        </w:rPr>
        <w:t>iFuse Bedrock Granite</w:t>
      </w:r>
      <w:r>
        <w:rPr>
          <w:rFonts w:ascii="Times New Roman" w:cs="Times New Roman" w:eastAsia="Times New Roman" w:hAnsi="Times New Roman"/>
          <w:sz w:val="18"/>
          <w:szCs w:val="18"/>
          <w:color w:val="auto"/>
        </w:rPr>
        <w:t xml:space="preserve">®, designated by the FDA as </w:t>
      </w:r>
      <w:r>
        <w:rPr>
          <w:rFonts w:ascii="Times New Roman" w:cs="Times New Roman" w:eastAsia="Times New Roman" w:hAnsi="Times New Roman"/>
          <w:sz w:val="18"/>
          <w:szCs w:val="18"/>
          <w:b w:val="1"/>
          <w:bCs w:val="1"/>
          <w:color w:val="auto"/>
        </w:rPr>
        <w:t>a breakthrough device</w:t>
      </w:r>
      <w:r>
        <w:rPr>
          <w:rFonts w:ascii="Times New Roman" w:cs="Times New Roman" w:eastAsia="Times New Roman" w:hAnsi="Times New Roman"/>
          <w:sz w:val="18"/>
          <w:szCs w:val="18"/>
          <w:color w:val="auto"/>
        </w:rPr>
        <w:t xml:space="preserve"> targeting adult spinal deformity and eligible for a </w:t>
      </w:r>
      <w:r>
        <w:rPr>
          <w:rFonts w:ascii="Times New Roman" w:cs="Times New Roman" w:eastAsia="Times New Roman" w:hAnsi="Times New Roman"/>
          <w:sz w:val="18"/>
          <w:szCs w:val="18"/>
          <w:b w:val="1"/>
          <w:bCs w:val="1"/>
          <w:color w:val="auto"/>
        </w:rPr>
        <w:t>New Technology Add-on Payment</w:t>
      </w:r>
      <w:r>
        <w:rPr>
          <w:rFonts w:ascii="Times New Roman" w:cs="Times New Roman" w:eastAsia="Times New Roman" w:hAnsi="Times New Roman"/>
          <w:sz w:val="18"/>
          <w:szCs w:val="18"/>
          <w:color w:val="auto"/>
        </w:rPr>
        <w:t xml:space="preserve"> (NTAP) of up to $9,800 in Medicare procedures</w:t>
      </w: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FDA clearance for promotion of </w:t>
      </w:r>
      <w:r>
        <w:rPr>
          <w:rFonts w:ascii="Times New Roman" w:cs="Times New Roman" w:eastAsia="Times New Roman" w:hAnsi="Times New Roman"/>
          <w:sz w:val="18"/>
          <w:szCs w:val="18"/>
          <w:b w:val="1"/>
          <w:bCs w:val="1"/>
          <w:color w:val="auto"/>
        </w:rPr>
        <w:t>general rod compatibility for iFuse Bedrock Granite</w:t>
      </w:r>
      <w:r>
        <w:rPr>
          <w:rFonts w:ascii="Times New Roman" w:cs="Times New Roman" w:eastAsia="Times New Roman" w:hAnsi="Times New Roman"/>
          <w:sz w:val="18"/>
          <w:szCs w:val="18"/>
          <w:color w:val="auto"/>
        </w:rPr>
        <w:t xml:space="preserve"> for adult deformity procedures</w:t>
      </w:r>
    </w:p>
    <w:p>
      <w:pPr>
        <w:spacing w:after="0" w:line="27" w:lineRule="exact"/>
        <w:rPr>
          <w:rFonts w:ascii="Times New Roman" w:cs="Times New Roman" w:eastAsia="Times New Roman" w:hAnsi="Times New Roman"/>
          <w:sz w:val="18"/>
          <w:szCs w:val="18"/>
          <w:color w:val="auto"/>
        </w:rPr>
      </w:pPr>
    </w:p>
    <w:p>
      <w:pPr>
        <w:jc w:val="both"/>
        <w:ind w:left="1300" w:hanging="644"/>
        <w:spacing w:after="0" w:line="27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Expanded our indications for iFuse-TORQ® to include the </w:t>
      </w:r>
      <w:r>
        <w:rPr>
          <w:rFonts w:ascii="Times New Roman" w:cs="Times New Roman" w:eastAsia="Times New Roman" w:hAnsi="Times New Roman"/>
          <w:sz w:val="18"/>
          <w:szCs w:val="18"/>
          <w:b w:val="1"/>
          <w:bCs w:val="1"/>
          <w:color w:val="auto"/>
        </w:rPr>
        <w:t>Bedrock approach</w:t>
      </w:r>
      <w:r>
        <w:rPr>
          <w:rFonts w:ascii="Times New Roman" w:cs="Times New Roman" w:eastAsia="Times New Roman" w:hAnsi="Times New Roman"/>
          <w:sz w:val="18"/>
          <w:szCs w:val="18"/>
          <w:color w:val="auto"/>
        </w:rPr>
        <w:t xml:space="preserve">, allowing the promotion of iFuse-TORQ to complement iFuse-Bedrock Granite as a second point of fixation in the Sacro-Alar-Iliac trajectory, and for </w:t>
      </w:r>
      <w:r>
        <w:rPr>
          <w:rFonts w:ascii="Times New Roman" w:cs="Times New Roman" w:eastAsia="Times New Roman" w:hAnsi="Times New Roman"/>
          <w:sz w:val="18"/>
          <w:szCs w:val="18"/>
          <w:b w:val="1"/>
          <w:bCs w:val="1"/>
          <w:color w:val="auto"/>
        </w:rPr>
        <w:t>an expanded trauma indication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includes fixation of pelvic fragility and sacral insufficiency fractures</w:t>
      </w:r>
    </w:p>
    <w:p>
      <w:pPr>
        <w:ind w:left="1300" w:right="20" w:hanging="644"/>
        <w:spacing w:after="0" w:line="27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Completed patient enrollment for SILVIA</w:t>
      </w:r>
      <w:r>
        <w:rPr>
          <w:rFonts w:ascii="Times New Roman" w:cs="Times New Roman" w:eastAsia="Times New Roman" w:hAnsi="Times New Roman"/>
          <w:sz w:val="18"/>
          <w:szCs w:val="18"/>
          <w:color w:val="auto"/>
        </w:rPr>
        <w:t>, a two-year prospective international multi-center randomized controlled trial of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methods for pelvic fixation in adult patients</w:t>
      </w:r>
    </w:p>
    <w:p>
      <w:pPr>
        <w:ind w:left="1300" w:hanging="644"/>
        <w:spacing w:after="0" w:line="307"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Enrolled the first patient in SAFFRON</w:t>
      </w:r>
      <w:r>
        <w:rPr>
          <w:rFonts w:ascii="Times New Roman" w:cs="Times New Roman" w:eastAsia="Times New Roman" w:hAnsi="Times New Roman"/>
          <w:sz w:val="18"/>
          <w:szCs w:val="18"/>
          <w:color w:val="auto"/>
        </w:rPr>
        <w:t>, a prospective randomized clinical trial of surgery using iFuse-TORQ versus non-surgical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 patients with stable but debilitating sacral insufficiency fractures</w:t>
      </w:r>
    </w:p>
    <w:p>
      <w:pPr>
        <w:spacing w:after="0" w:line="18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will once again hold the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Finally, I continue to be humbled by the exceptional performance of the entire SI-BONE team, despite the unpredictable and unprecedented challenges we have faced in the past several years. On behalf of the Board, management team and employees, thank you for your continued confidence and support as we advance our mission to help patients rise up and reach for the stars. We look forward to your participation in this year’s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3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Laura Francis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77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9,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You are cordially invited to attend the virtual Annual Meeting of Stockholders of SI-BONE, Inc., a Delaware corporation. The meeting will be a completely virtual meeting of stockholders and will be held on Friday, June 9, 2023 at 8:30 a.m. Pacific Time by live webcast as described in the proxy statement accompanying this notice. The Annual Meeting is being held for the following purposes:</w:t>
      </w:r>
    </w:p>
    <w:p>
      <w:pPr>
        <w:spacing w:after="0" w:line="211" w:lineRule="exact"/>
        <w:rPr>
          <w:sz w:val="20"/>
          <w:szCs w:val="20"/>
          <w:color w:val="auto"/>
        </w:rPr>
      </w:pPr>
    </w:p>
    <w:p>
      <w:pPr>
        <w:ind w:right="20" w:firstLine="8"/>
        <w:spacing w:after="0" w:line="24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three nominees for director to serve until the 2026 Annual Meeting of Stockholders or until their successors are elected and qualified.</w:t>
      </w:r>
    </w:p>
    <w:p>
      <w:pPr>
        <w:ind w:firstLine="8"/>
        <w:spacing w:after="0" w:line="234" w:lineRule="auto"/>
        <w:tabs>
          <w:tab w:leader="none" w:pos="2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2023.</w:t>
      </w:r>
    </w:p>
    <w:p>
      <w:pPr>
        <w:spacing w:after="0" w:line="1" w:lineRule="exact"/>
        <w:rPr>
          <w:rFonts w:ascii="Times New Roman" w:cs="Times New Roman" w:eastAsia="Times New Roman" w:hAnsi="Times New Roman"/>
          <w:sz w:val="18"/>
          <w:szCs w:val="18"/>
          <w:color w:val="auto"/>
        </w:rPr>
      </w:pPr>
    </w:p>
    <w:p>
      <w:pPr>
        <w:ind w:left="180" w:hanging="172"/>
        <w:spacing w:after="0" w:line="234"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You will be able to attend the virtual Annual Meeting and submit your questions and vote your shares online during the meeting by visiting www.virtualshareholdermeeting.com/SIBN2023 and using your 16-digit control number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stockholder list will also be available during the Annual Meeting at www.virtualshareholdermeeting.com/SIBN2023. Instructions on how stockholders of record can view the stockholder list during the Annual Meeting are posted at www.virtualshareholdermeeting.com/SIBN2023. The record date for the Annual Meeting is April 14, 2023.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2023 Stockholders’ Meeting to Be Held on June 9, 2023 via live webcast at www.virtualshareholdermeeting.com/SIBN2023. You will need the 16-digit control number provided on the proxy or information card in order to gain access to the Annual Meeting by live webcast.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56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A. Pisetsky</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9,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9, 2023</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and our 2023 Annual Report to Stockholders, which includes our Annual Report on Form 10-K for the fiscal year ended December 31, 2022, are available on our website at https://investor.si-bone.com/financial-information/annual-reports and www.proxyvote.com. We intend to mail these proxy materials on or about April 27, 2023 to all stockholders of record entitled to vote at the Annual Meeting.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AGENDA</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Proposal</w:t>
      </w:r>
    </w:p>
    <w:p>
      <w:pPr>
        <w:ind w:left="1000"/>
        <w:spacing w:after="0"/>
        <w:tabs>
          <w:tab w:leader="none" w:pos="36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8890</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2040" w:right="40" w:hanging="788"/>
        <w:spacing w:after="0" w:line="224" w:lineRule="auto"/>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three nominees for director to serve until the 2026 Annual Meeting of Stockholders or until their successors are elected and qualified.</w:t>
      </w:r>
    </w:p>
    <w:p>
      <w:pPr>
        <w:spacing w:after="0" w:line="64" w:lineRule="exact"/>
        <w:rPr>
          <w:sz w:val="20"/>
          <w:szCs w:val="20"/>
          <w:color w:val="auto"/>
        </w:rPr>
      </w:pPr>
    </w:p>
    <w:p>
      <w:pPr>
        <w:ind w:left="2040" w:hanging="788"/>
        <w:spacing w:after="0" w:line="220" w:lineRule="auto"/>
        <w:tabs>
          <w:tab w:leader="none" w:pos="2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2023.</w:t>
      </w:r>
    </w:p>
    <w:p>
      <w:pPr>
        <w:spacing w:after="0" w:line="10" w:lineRule="exact"/>
        <w:rPr>
          <w:sz w:val="20"/>
          <w:szCs w:val="20"/>
          <w:color w:val="auto"/>
        </w:rPr>
      </w:pPr>
    </w:p>
    <w:p>
      <w:pPr>
        <w:ind w:left="2040" w:hanging="788"/>
        <w:spacing w:after="0" w:line="231" w:lineRule="auto"/>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21590</wp:posOffset>
            </wp:positionV>
            <wp:extent cx="2408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3" w:lineRule="exact"/>
        <w:rPr>
          <w:sz w:val="20"/>
          <w:szCs w:val="20"/>
          <w:color w:val="auto"/>
        </w:rPr>
      </w:pPr>
    </w:p>
    <w:p>
      <w:pPr>
        <w:ind w:right="1520"/>
        <w:spacing w:after="0" w:line="236" w:lineRule="auto"/>
        <w:rPr>
          <w:sz w:val="20"/>
          <w:szCs w:val="20"/>
          <w:color w:val="auto"/>
        </w:rPr>
      </w:pPr>
      <w:r>
        <w:rPr>
          <w:rFonts w:ascii="Times New Roman" w:cs="Times New Roman" w:eastAsia="Times New Roman" w:hAnsi="Times New Roman"/>
          <w:sz w:val="17"/>
          <w:szCs w:val="17"/>
          <w:color w:val="auto"/>
        </w:rPr>
        <w:t>The three nominees receiving the most “For” votes will be elected; withheld votes will have no</w:t>
      </w: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46" w:lineRule="exact"/>
        <w:rPr>
          <w:sz w:val="20"/>
          <w:szCs w:val="20"/>
          <w:color w:val="auto"/>
        </w:rPr>
      </w:pPr>
    </w:p>
    <w:p>
      <w:pPr>
        <w:ind w:right="2080"/>
        <w:spacing w:after="0" w:line="222" w:lineRule="auto"/>
        <w:rPr>
          <w:sz w:val="20"/>
          <w:szCs w:val="20"/>
          <w:color w:val="auto"/>
        </w:rPr>
      </w:pPr>
      <w:r>
        <w:rPr>
          <w:rFonts w:ascii="Times New Roman" w:cs="Times New Roman" w:eastAsia="Times New Roman" w:hAnsi="Times New Roman"/>
          <w:sz w:val="18"/>
          <w:szCs w:val="18"/>
          <w:color w:val="auto"/>
        </w:rPr>
        <w:t>“For” votes from the holders of a majority of shares present, via webcast or</w:t>
      </w:r>
    </w:p>
    <w:p>
      <w:pPr>
        <w:spacing w:after="0" w:line="2" w:lineRule="exact"/>
        <w:rPr>
          <w:sz w:val="20"/>
          <w:szCs w:val="20"/>
          <w:color w:val="auto"/>
        </w:rPr>
      </w:pPr>
    </w:p>
    <w:p>
      <w:pPr>
        <w:ind w:right="1640"/>
        <w:spacing w:after="0" w:line="226" w:lineRule="auto"/>
        <w:rPr>
          <w:sz w:val="20"/>
          <w:szCs w:val="20"/>
          <w:color w:val="auto"/>
        </w:rPr>
      </w:pPr>
      <w:r>
        <w:rPr>
          <w:rFonts w:ascii="Times New Roman" w:cs="Times New Roman" w:eastAsia="Times New Roman" w:hAnsi="Times New Roman"/>
          <w:sz w:val="18"/>
          <w:szCs w:val="18"/>
          <w:color w:val="auto"/>
        </w:rPr>
        <w:t>represented by proxy and entitled to vote on the matter</w:t>
      </w:r>
    </w:p>
    <w:p>
      <w:pPr>
        <w:spacing w:after="0" w:line="184" w:lineRule="exact"/>
        <w:rPr>
          <w:sz w:val="20"/>
          <w:szCs w:val="20"/>
          <w:color w:val="auto"/>
        </w:rPr>
      </w:pPr>
    </w:p>
    <w:p>
      <w:pPr>
        <w:ind w:right="1400"/>
        <w:spacing w:after="0" w:line="222" w:lineRule="auto"/>
        <w:rPr>
          <w:sz w:val="20"/>
          <w:szCs w:val="20"/>
          <w:color w:val="auto"/>
        </w:rPr>
      </w:pPr>
      <w:r>
        <w:rPr>
          <w:rFonts w:ascii="Times New Roman" w:cs="Times New Roman" w:eastAsia="Times New Roman" w:hAnsi="Times New Roman"/>
          <w:sz w:val="18"/>
          <w:szCs w:val="18"/>
          <w:color w:val="auto"/>
        </w:rPr>
        <w:t>“For” votes from the holders of a majority of shares present via webcast or represented by proxy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entitled to vote on the matter.</w:t>
      </w:r>
    </w:p>
    <w:p>
      <w:pPr>
        <w:sectPr>
          <w:pgSz w:w="11900" w:h="16838" w:orient="portrait"/>
          <w:cols w:equalWidth="0" w:num="2">
            <w:col w:w="5600" w:space="560"/>
            <w:col w:w="5080"/>
          </w:cols>
          <w:pgMar w:left="320" w:top="914" w:right="339" w:bottom="1440" w:gutter="0" w:footer="0" w:header="0"/>
          <w:type w:val="continuous"/>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364"/>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QUESTIONS AND ANSWERS ABOUT THESE PROXY MATERIALS AND VOTING</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rPr>
              <w:t>PROPOSAL NO. 1 ELECTION OF DIRECTORS</w:t>
            </w:r>
          </w:p>
        </w:tc>
        <w:tc>
          <w:tcPr>
            <w:tcW w:w="25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NOMINEES FOR ELECTION FOR A THREE-YEAR TERM EXPIRING AT THE 2026 ANNUAL MEETING</w:t>
            </w:r>
          </w:p>
        </w:tc>
        <w:tc>
          <w:tcPr>
            <w:tcW w:w="600" w:type="dxa"/>
            <w:vAlign w:val="bottom"/>
            <w:gridSpan w:val="2"/>
            <w:vMerge w:val="restart"/>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DIRECTORS CONTINUING IN OFFICE UNTIL THE 2024 ANNUAL MEETING</w:t>
            </w: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0" w:type="dxa"/>
            <w:vAlign w:val="bottom"/>
            <w:tcBorders>
              <w:top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144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Independence of the Board of Directors</w:t>
            </w:r>
          </w:p>
        </w:tc>
        <w:tc>
          <w:tcPr>
            <w:tcW w:w="5600" w:type="dxa"/>
            <w:vAlign w:val="bottom"/>
            <w:gridSpan w:val="21"/>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Term of Service of Directors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Board Skills and Attributes</w:t>
            </w:r>
          </w:p>
        </w:tc>
        <w:tc>
          <w:tcPr>
            <w:tcW w:w="6480" w:type="dxa"/>
            <w:vAlign w:val="bottom"/>
            <w:gridSpan w:val="36"/>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Board Leadership Structure</w:t>
            </w:r>
          </w:p>
        </w:tc>
        <w:tc>
          <w:tcPr>
            <w:tcW w:w="6460" w:type="dxa"/>
            <w:vAlign w:val="bottom"/>
            <w:gridSpan w:val="3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Role of the Board in Risk Oversight</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580" w:type="dxa"/>
            <w:vAlign w:val="bottom"/>
            <w:gridSpan w:val="17"/>
          </w:tcPr>
          <w:p>
            <w:pPr>
              <w:spacing w:after="0"/>
              <w:rPr>
                <w:sz w:val="18"/>
                <w:szCs w:val="18"/>
                <w:color w:val="auto"/>
              </w:rPr>
            </w:pPr>
          </w:p>
        </w:tc>
        <w:tc>
          <w:tcPr>
            <w:tcW w:w="5860" w:type="dxa"/>
            <w:vAlign w:val="bottom"/>
            <w:gridSpan w:val="26"/>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Meetings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Board Committees and Meetings</w:t>
            </w:r>
          </w:p>
        </w:tc>
        <w:tc>
          <w:tcPr>
            <w:tcW w:w="5920" w:type="dxa"/>
            <w:vAlign w:val="bottom"/>
            <w:gridSpan w:val="2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2"/>
              </w:rPr>
              <w:t>Audit Committee</w:t>
            </w:r>
          </w:p>
        </w:tc>
        <w:tc>
          <w:tcPr>
            <w:tcW w:w="1120" w:type="dxa"/>
            <w:vAlign w:val="bottom"/>
            <w:gridSpan w:val="12"/>
          </w:tcPr>
          <w:p>
            <w:pPr>
              <w:spacing w:after="0"/>
              <w:rPr>
                <w:sz w:val="18"/>
                <w:szCs w:val="18"/>
                <w:color w:val="auto"/>
              </w:rPr>
            </w:pPr>
          </w:p>
        </w:tc>
        <w:tc>
          <w:tcPr>
            <w:tcW w:w="6120" w:type="dxa"/>
            <w:vAlign w:val="bottom"/>
            <w:gridSpan w:val="3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Compensation Committee</w:t>
            </w:r>
          </w:p>
        </w:tc>
        <w:tc>
          <w:tcPr>
            <w:tcW w:w="4340" w:type="dxa"/>
            <w:vAlign w:val="bottom"/>
            <w:gridSpan w:val="1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w w:val="99"/>
              </w:rPr>
              <w:t>Nominating and Corporate Governance Committee</w:t>
            </w:r>
          </w:p>
        </w:tc>
        <w:tc>
          <w:tcPr>
            <w:tcW w:w="474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4160" w:type="dxa"/>
            <w:vAlign w:val="bottom"/>
            <w:gridSpan w:val="1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5740" w:type="dxa"/>
            <w:vAlign w:val="bottom"/>
            <w:gridSpan w:val="2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Hedging and Pledging Prohibition</w:t>
            </w:r>
          </w:p>
        </w:tc>
        <w:tc>
          <w:tcPr>
            <w:tcW w:w="5980" w:type="dxa"/>
            <w:vAlign w:val="bottom"/>
            <w:gridSpan w:val="2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Stock Ownership Guidelines</w:t>
            </w:r>
          </w:p>
        </w:tc>
        <w:tc>
          <w:tcPr>
            <w:tcW w:w="400" w:type="dxa"/>
            <w:vAlign w:val="bottom"/>
            <w:gridSpan w:val="6"/>
          </w:tcPr>
          <w:p>
            <w:pPr>
              <w:spacing w:after="0"/>
              <w:rPr>
                <w:sz w:val="18"/>
                <w:szCs w:val="18"/>
                <w:color w:val="auto"/>
              </w:rPr>
            </w:pPr>
          </w:p>
        </w:tc>
        <w:tc>
          <w:tcPr>
            <w:tcW w:w="5980" w:type="dxa"/>
            <w:vAlign w:val="bottom"/>
            <w:gridSpan w:val="2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Environmental, Social, and Governance (ESG) Oversight and Activities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PROPOSAL NO. 2 RATIFICATION OF SELECTION OF INDEPENDENT REGISTERED PUBLIC ACCOUNTING</w:t>
            </w:r>
          </w:p>
        </w:tc>
        <w:tc>
          <w:tcPr>
            <w:tcW w:w="60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0" w:type="dxa"/>
            <w:vAlign w:val="bottom"/>
            <w:tcBorders>
              <w:top w:val="single" w:sz="8" w:color="0000FF"/>
            </w:tcBorders>
            <w:gridSpan w:val="47"/>
          </w:tcPr>
          <w:p>
            <w:pPr>
              <w:spacing w:after="0" w:line="169" w:lineRule="exact"/>
              <w:rPr>
                <w:sz w:val="20"/>
                <w:szCs w:val="20"/>
                <w:color w:val="auto"/>
              </w:rPr>
            </w:pPr>
            <w:r>
              <w:rPr>
                <w:rFonts w:ascii="Times New Roman" w:cs="Times New Roman" w:eastAsia="Times New Roman" w:hAnsi="Times New Roman"/>
                <w:sz w:val="18"/>
                <w:szCs w:val="18"/>
                <w:color w:val="0000FF"/>
              </w:rPr>
              <w:t>FIRM</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Pre-Approval Policies and Procedures</w:t>
            </w:r>
          </w:p>
        </w:tc>
        <w:tc>
          <w:tcPr>
            <w:tcW w:w="560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w w:val="99"/>
              </w:rPr>
              <w:t>PROPOSAL NO. 3: ADVISORY VOTE ON EXECUTIVE COMPENSATION</w:t>
            </w:r>
          </w:p>
        </w:tc>
        <w:tc>
          <w:tcPr>
            <w:tcW w:w="3240" w:type="dxa"/>
            <w:vAlign w:val="bottom"/>
            <w:gridSpan w:val="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MANAGEMENT</w:t>
            </w:r>
          </w:p>
        </w:tc>
        <w:tc>
          <w:tcPr>
            <w:tcW w:w="5480" w:type="dxa"/>
            <w:vAlign w:val="bottom"/>
            <w:gridSpan w:val="41"/>
          </w:tcPr>
          <w:p>
            <w:pPr>
              <w:spacing w:after="0"/>
              <w:rPr>
                <w:sz w:val="18"/>
                <w:szCs w:val="18"/>
                <w:color w:val="auto"/>
              </w:rPr>
            </w:pPr>
          </w:p>
        </w:tc>
        <w:tc>
          <w:tcPr>
            <w:tcW w:w="2260" w:type="dxa"/>
            <w:vAlign w:val="bottom"/>
            <w:gridSpan w:val="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Executive Compensation Narrative</w:t>
            </w:r>
          </w:p>
        </w:tc>
        <w:tc>
          <w:tcPr>
            <w:tcW w:w="5920" w:type="dxa"/>
            <w:vAlign w:val="bottom"/>
            <w:gridSpan w:val="2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2"/>
              </w:rPr>
              <w:t>Overview</w:t>
            </w:r>
          </w:p>
        </w:tc>
        <w:tc>
          <w:tcPr>
            <w:tcW w:w="1820" w:type="dxa"/>
            <w:vAlign w:val="bottom"/>
            <w:gridSpan w:val="18"/>
          </w:tcPr>
          <w:p>
            <w:pPr>
              <w:spacing w:after="0"/>
              <w:rPr>
                <w:sz w:val="18"/>
                <w:szCs w:val="18"/>
                <w:color w:val="auto"/>
              </w:rPr>
            </w:pPr>
          </w:p>
        </w:tc>
        <w:tc>
          <w:tcPr>
            <w:tcW w:w="5920" w:type="dxa"/>
            <w:vAlign w:val="bottom"/>
            <w:gridSpan w:val="2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Compensation Philosophy and Guiding Principles</w:t>
            </w:r>
          </w:p>
        </w:tc>
        <w:tc>
          <w:tcPr>
            <w:tcW w:w="4840" w:type="dxa"/>
            <w:vAlign w:val="bottom"/>
            <w:gridSpan w:val="16"/>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Compensation-Setting Process</w:t>
            </w:r>
          </w:p>
        </w:tc>
        <w:tc>
          <w:tcPr>
            <w:tcW w:w="1400" w:type="dxa"/>
            <w:vAlign w:val="bottom"/>
            <w:gridSpan w:val="16"/>
          </w:tcPr>
          <w:p>
            <w:pPr>
              <w:spacing w:after="0"/>
              <w:rPr>
                <w:sz w:val="18"/>
                <w:szCs w:val="18"/>
                <w:color w:val="auto"/>
              </w:rPr>
            </w:pPr>
          </w:p>
        </w:tc>
        <w:tc>
          <w:tcPr>
            <w:tcW w:w="4840" w:type="dxa"/>
            <w:vAlign w:val="bottom"/>
            <w:gridSpan w:val="16"/>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Compensation Elements</w:t>
            </w:r>
          </w:p>
        </w:tc>
        <w:tc>
          <w:tcPr>
            <w:tcW w:w="6240" w:type="dxa"/>
            <w:vAlign w:val="bottom"/>
            <w:gridSpan w:val="3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SI-BONE, Inc. Severance Benefit Plan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Employment Arrangements</w:t>
            </w:r>
          </w:p>
        </w:tc>
        <w:tc>
          <w:tcPr>
            <w:tcW w:w="566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Compensation Policies</w:t>
            </w:r>
          </w:p>
        </w:tc>
        <w:tc>
          <w:tcPr>
            <w:tcW w:w="6220" w:type="dxa"/>
            <w:vAlign w:val="bottom"/>
            <w:gridSpan w:val="3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Tax and Accounting Considerations</w:t>
            </w:r>
          </w:p>
        </w:tc>
        <w:tc>
          <w:tcPr>
            <w:tcW w:w="5840" w:type="dxa"/>
            <w:vAlign w:val="bottom"/>
            <w:gridSpan w:val="2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Summary Compensation Table</w:t>
            </w:r>
          </w:p>
        </w:tc>
        <w:tc>
          <w:tcPr>
            <w:tcW w:w="380" w:type="dxa"/>
            <w:vAlign w:val="bottom"/>
            <w:gridSpan w:val="6"/>
          </w:tcPr>
          <w:p>
            <w:pPr>
              <w:spacing w:after="0"/>
              <w:rPr>
                <w:sz w:val="18"/>
                <w:szCs w:val="18"/>
                <w:color w:val="auto"/>
              </w:rPr>
            </w:pPr>
          </w:p>
        </w:tc>
        <w:tc>
          <w:tcPr>
            <w:tcW w:w="5840" w:type="dxa"/>
            <w:vAlign w:val="bottom"/>
            <w:gridSpan w:val="2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8"/>
              </w:rPr>
              <w:t>Outstanding Equity Awards at December 31, 2022</w:t>
            </w:r>
          </w:p>
        </w:tc>
        <w:tc>
          <w:tcPr>
            <w:tcW w:w="4820" w:type="dxa"/>
            <w:vAlign w:val="bottom"/>
            <w:gridSpan w:val="1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Pension Benefits</w:t>
            </w:r>
          </w:p>
        </w:tc>
        <w:tc>
          <w:tcPr>
            <w:tcW w:w="4820" w:type="dxa"/>
            <w:vAlign w:val="bottom"/>
            <w:gridSpan w:val="1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Nonqualified Deferred Compensation</w:t>
            </w:r>
          </w:p>
        </w:tc>
        <w:tc>
          <w:tcPr>
            <w:tcW w:w="5580" w:type="dxa"/>
            <w:vAlign w:val="bottom"/>
            <w:gridSpan w:val="2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Compensation of Non-Employee Board Members</w:t>
            </w:r>
          </w:p>
        </w:tc>
        <w:tc>
          <w:tcPr>
            <w:tcW w:w="1380" w:type="dxa"/>
            <w:vAlign w:val="bottom"/>
            <w:gridSpan w:val="8"/>
          </w:tcPr>
          <w:p>
            <w:pPr>
              <w:spacing w:after="0"/>
              <w:rPr>
                <w:sz w:val="18"/>
                <w:szCs w:val="18"/>
                <w:color w:val="auto"/>
              </w:rPr>
            </w:pPr>
          </w:p>
        </w:tc>
        <w:tc>
          <w:tcPr>
            <w:tcW w:w="3480" w:type="dxa"/>
            <w:vAlign w:val="bottom"/>
            <w:gridSpan w:val="9"/>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100" w:type="dxa"/>
            <w:vAlign w:val="bottom"/>
            <w:gridSpan w:val="3"/>
          </w:tcPr>
          <w:p>
            <w:pPr>
              <w:spacing w:after="0"/>
              <w:rPr>
                <w:sz w:val="18"/>
                <w:szCs w:val="18"/>
                <w:color w:val="auto"/>
              </w:rPr>
            </w:pPr>
          </w:p>
        </w:tc>
        <w:tc>
          <w:tcPr>
            <w:tcW w:w="4760" w:type="dxa"/>
            <w:vAlign w:val="bottom"/>
            <w:gridSpan w:val="1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Pay vs. Performance</w:t>
            </w:r>
          </w:p>
        </w:tc>
        <w:tc>
          <w:tcPr>
            <w:tcW w:w="4760" w:type="dxa"/>
            <w:vAlign w:val="bottom"/>
            <w:gridSpan w:val="1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4"/>
          </w:tcPr>
          <w:p>
            <w:pPr>
              <w:spacing w:after="0" w:line="20" w:lineRule="exact"/>
              <w:rPr>
                <w:sz w:val="1"/>
                <w:szCs w:val="1"/>
                <w:color w:val="auto"/>
              </w:rPr>
            </w:pPr>
          </w:p>
        </w:tc>
        <w:tc>
          <w:tcPr>
            <w:tcW w:w="1400" w:type="dxa"/>
            <w:vAlign w:val="bottom"/>
            <w:gridSpan w:val="14"/>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500" w:type="dxa"/>
            <w:vAlign w:val="bottom"/>
            <w:gridSpan w:val="1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4"/>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Related Person Transactions Policy and Procedures</w:t>
            </w:r>
          </w:p>
        </w:tc>
        <w:tc>
          <w:tcPr>
            <w:tcW w:w="3500" w:type="dxa"/>
            <w:vAlign w:val="bottom"/>
            <w:gridSpan w:val="1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4"/>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5580" w:type="dxa"/>
            <w:vAlign w:val="bottom"/>
            <w:gridSpan w:val="20"/>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Certain Related Person Transactions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4"/>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580" w:type="dxa"/>
            <w:vAlign w:val="bottom"/>
            <w:gridSpan w:val="2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INDEMNIFICATION AGREEMENTS</w:t>
            </w:r>
          </w:p>
        </w:tc>
        <w:tc>
          <w:tcPr>
            <w:tcW w:w="6120" w:type="dxa"/>
            <w:vAlign w:val="bottom"/>
            <w:gridSpan w:val="3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4"/>
            <w:shd w:val="clear" w:color="auto" w:fill="0000FF"/>
          </w:tcPr>
          <w:p>
            <w:pPr>
              <w:spacing w:after="0" w:line="20" w:lineRule="exact"/>
              <w:rPr>
                <w:sz w:val="1"/>
                <w:szCs w:val="1"/>
                <w:color w:val="auto"/>
              </w:rPr>
            </w:pPr>
          </w:p>
        </w:tc>
        <w:tc>
          <w:tcPr>
            <w:tcW w:w="1400" w:type="dxa"/>
            <w:vAlign w:val="bottom"/>
            <w:gridSpan w:val="14"/>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5580" w:type="dxa"/>
            <w:vAlign w:val="bottom"/>
            <w:gridSpan w:val="2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4"/>
            <w:shd w:val="clear" w:color="auto" w:fill="0000FF"/>
          </w:tcPr>
          <w:p>
            <w:pPr>
              <w:spacing w:after="0" w:line="20" w:lineRule="exact"/>
              <w:rPr>
                <w:sz w:val="1"/>
                <w:szCs w:val="1"/>
                <w:color w:val="auto"/>
              </w:rPr>
            </w:pPr>
          </w:p>
        </w:tc>
        <w:tc>
          <w:tcPr>
            <w:tcW w:w="1940" w:type="dxa"/>
            <w:vAlign w:val="bottom"/>
            <w:gridSpan w:val="24"/>
            <w:shd w:val="clear" w:color="auto" w:fill="0000FF"/>
          </w:tcPr>
          <w:p>
            <w:pPr>
              <w:spacing w:after="0" w:line="20" w:lineRule="exact"/>
              <w:rPr>
                <w:sz w:val="1"/>
                <w:szCs w:val="1"/>
                <w:color w:val="auto"/>
              </w:rPr>
            </w:pPr>
          </w:p>
        </w:tc>
        <w:tc>
          <w:tcPr>
            <w:tcW w:w="5580" w:type="dxa"/>
            <w:vAlign w:val="bottom"/>
            <w:gridSpan w:val="2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580" w:type="dxa"/>
            <w:vAlign w:val="bottom"/>
            <w:gridSpan w:val="2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960" w:top="122" w:right="1219" w:bottom="1054"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sent you these proxy materials because our Board of Directors (the “Board” or “Board of Directors”) is soliciting your proxy to vote at the 2023 Annual Meeting of Stockholders, including at any adjournments or postponements of the meeting. You are invited to attend the virtual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on the internet.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mail these proxy materials on or about April 27, 2023 to all stockholders of record entitled to vote at the Annual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252" w:lineRule="exact"/>
        <w:rPr>
          <w:sz w:val="20"/>
          <w:szCs w:val="20"/>
          <w:color w:val="auto"/>
        </w:rPr>
      </w:pPr>
    </w:p>
    <w:p>
      <w:pPr>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 Annual Meeting, the voting process, corporate governance, the compensation of our directors and certain executive officers, and other required information;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2022 Annual Report to Stockholders, which is our Annual Report on Form 10-K for the fiscal year ending December 31, 2022; and</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Annual Meeting.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Annual Meeting will be held on Friday, June 9, 2023 at 8:30 a.m. Pacific Time by live webcast. There will not be a physical meeting location and you will not be able to attend the meeting in-person physically. We invite you to attend the Annual Meeting by live webcast.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www.virtualshareholdermeeting.com/SIBN2023.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 as a Guest</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Guests may enter the Annual Meeting in “listen-only” mode by entering the Annual Meeting at www.virtualshareholdermeeting.com/SIBN2023 and entering the information requested in the “Guest Login” section. Guests will not have the ability to vote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SI-BONE having a virtual Annual Meeting?</w:t>
      </w:r>
    </w:p>
    <w:p>
      <w:pPr>
        <w:spacing w:after="0" w:line="22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To facilitate stockholder participation in the Annual Meeting, this year’s Annual Meeting of our stockholders will be held virtually via the internet. Stockholders attending virtually via the internet will be able to listen and vote via the internet at www.virtualshareholdermeeting.com/SIBN2023 by using the 16-digit control number included on your proxy card or information card and the instructions that accompanied your proxy materials.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14, 2023 will be entitled to vote at the Annual Meeting. On this record date, there were 35,138,820 shares of common stock outstanding and entitled to vote.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on April 14, 2023, your shares were registered directly in your name with our transfer agent, American Stock Transfer &amp; Trust Company, LLC, then you are a stockholder of record. As a stockholder of record, you may vote via webcast at the meeting or vote by proxy. Whether or not you plan to attend the meeting via webcast, we urge you to fill out and return the enclosed proxy card or vote by proxy over the telephone or on the internet as instructed below to ensure your vote is counted.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on April 14, 2023,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w:t>
      </w:r>
      <w:r>
        <w:rPr>
          <w:rFonts w:ascii="Times New Roman" w:cs="Times New Roman" w:eastAsia="Times New Roman" w:hAnsi="Times New Roman"/>
          <w:sz w:val="18"/>
          <w:szCs w:val="18"/>
          <w:color w:val="3F3F3F"/>
        </w:rPr>
        <w:t>Many stockholders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F3F3F"/>
        </w:rPr>
        <w:t xml:space="preserve">record will provide you with a 16-digit control number via email or in your Notice of Availability or voting instruction form in order to attend and vote your shares at the virtual Annual Meeting. If you did not receive a 16-digit control number via email or on your Notice of Availability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w:t>
      </w:r>
      <w:r>
        <w:rPr>
          <w:rFonts w:ascii="Times New Roman" w:cs="Times New Roman" w:eastAsia="Times New Roman" w:hAnsi="Times New Roman"/>
          <w:sz w:val="18"/>
          <w:szCs w:val="18"/>
          <w:color w:val="000000"/>
        </w:rPr>
        <w:t>bank or other stockholder of record to do 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ask questions at the Annual Meeting?</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you are attending the Annual Meeting as a stockholder of record or as a beneficial owner, questions can be submitted by accessing the meeting center at www.virtualshareholdermeeting.com/SIBN2023, entering your 16-digit control number and following the instructions. Instructions on how to ask questions and participate in the Annual Meeting are posted at www.virtualshareholdermeeting.com/SIBN2023. Guests will not have the ability to ask questions during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list of stockholders entitled to vote at the Annual Meeting will be available for examination for any purpose germane to the Annual Meeting during normal business hours for ten days prior to the Annual Meeting at our corporate headquarters. Please email us at StockholderCommunications@si-bone.com to arrange a time to review. The stockholder list will also be available during the Annual Meeting at www.virtualshareholdermeeting.com/SIBN2023. Instructions on how stockholders of record can view the stockholder list during the Annual Meeting are posted at www.virtualshareholdermeeting.com/SIBN2023.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Election of three directors (Proposal No. 1);</w:t>
      </w:r>
    </w:p>
    <w:p>
      <w:pPr>
        <w:spacing w:after="0" w:line="49"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Ratification of selection by the Audit Committee of the Board of Directors of PricewaterhouseCoopers LLP as independent registered public accounting firm of SI-BONE for its fiscal year ending December 31, 2023 (Proposal No. 2); and</w:t>
      </w:r>
    </w:p>
    <w:p>
      <w:pPr>
        <w:spacing w:after="0" w:line="22" w:lineRule="exact"/>
        <w:rPr>
          <w:rFonts w:ascii="Arial" w:cs="Arial" w:eastAsia="Arial" w:hAnsi="Arial"/>
          <w:sz w:val="22"/>
          <w:szCs w:val="22"/>
          <w:color w:val="auto"/>
        </w:rPr>
      </w:pPr>
    </w:p>
    <w:p>
      <w:pPr>
        <w:ind w:left="660" w:hanging="328"/>
        <w:spacing w:after="0" w:line="275"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 rules (Proposal No. 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77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the Exchange Act, in accordance with their best judgment.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2023, and the advisory approval of the compensation of our named executive officers, as disclosed in this proxy statement in accordance with SEC rules, you may vote “For” or “Against” or abstain from voting. For any of the other matters to be voted on, you may vote “For” or “Against” or abstain from voting.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you are a stockholder of record, you may vote via webcast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via webcast even if you have already voted by proxy.</w:t>
      </w:r>
    </w:p>
    <w:p>
      <w:pPr>
        <w:spacing w:after="0" w:line="164" w:lineRule="exact"/>
        <w:rPr>
          <w:sz w:val="20"/>
          <w:szCs w:val="20"/>
          <w:color w:val="auto"/>
        </w:rPr>
      </w:pPr>
    </w:p>
    <w:p>
      <w:pPr>
        <w:ind w:left="660" w:right="14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during the meeting at the live webcast, if you are a stockholder of record as of the record date, follow the instructions at www.virtualshareholdermeeting.com/SIBN2023. You will need the 16-digit control number provided on the proxy card in order to gain access to the Annual Meeting via webcast.</w:t>
      </w:r>
    </w:p>
    <w:p>
      <w:pPr>
        <w:ind w:left="660" w:right="460" w:hanging="328"/>
        <w:spacing w:after="0" w:line="24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control number from the enclosed proxy card. Your telephone vote must be received by 8:59 p.m., Pacific Time on June 8, 2023, to be counted.</w:t>
      </w:r>
    </w:p>
    <w:p>
      <w:pPr>
        <w:spacing w:after="0" w:line="1"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control number from the enclosed proxy card. Your internet vote must be received by 8:59 p.m., Pacific Time on June 8, 2023 to be counted.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at the live webcast, you may be able to do so if your broker has provided you with a 16-digit control number, or if you have otherwise received a valid proxy. See “Who can vote at the Annual Meeting? - Stockholder of Record: Shares Registered in Your Name” above. To receive a valid proxy, follow the instructions from your broker or bank included with these proxy materials, or contact your broker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7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April 14, 2023.</w:t>
      </w:r>
    </w:p>
    <w:p>
      <w:pPr>
        <w:spacing w:after="0" w:line="24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via webcast at the Annual Meeting, your shares will not be voted.</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independent registered public accounting firm of SI-BONE for its fiscal year ending December 31, 2023, and “For” the advisory approval of the compensation of our named executive officers, as disclosed in this proxy statement in accordance with SEC rules. If any other matter is properly presented at the meeting, your proxy holder (one of the individuals named on your proxy card) will vote your shares using his or her best judgment.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3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attention of our General Counsel and Secretary at 471 El Camino Real, Suite 101, Santa Clara, California 95050.</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via webcast. Simply attending the meeting will not, by itself, revoke your proxy.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7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4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29, 2023, to SI-BONE, Inc., Attn: General Counsel, 471 El Camino Real, Suite 101, Santa Clara, California 95050; provided, however, that if the 2024 annual meeting of stockholders is held before May 10, 2024 or after July 9, 2024, then your proposal must be submitted in writing a reasonable amount of time before the 2024 annual meeting of stockholders.</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11, 2024, nor earlier than the close of business on February 10, 2024; provided, however, that in the event that the date of the annual meeting is held earlier than May 10, 2024, or held later than July 9, 2024, notice by the stockholder to be timely must be so received no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April 10, 2024; provided, however, that, in the event that the Annual Meeting is held before May 10, 2024, or after July 9, 2024, for your notice to be timely, it must be so received by the Secretary not earlier than the close of business on the date the later of sixty (60) days prior to such annual meeting and the tenth (10th) day following the day on which public announcement of the date of such meeting is first made by us.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Stockholders wishing to make stockholder proposals or nominations for directors should consult our bylaws and Rule 14a-19 under the Exchange Act, which contain additional requirements and information regarding these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(a) for the proposal to elect directors, votes “For,” votes “Withheld” and broker non-votes, (b) with respect to the ratification of selection by the Audit Committee of the Board of Directors of PricewaterhouseCoopers LLP as independent registered public accounting firm of SI-BONE for its fiscal year ending December 31, 2023, and the advisory approval of the compensation of our named executive officers, as disclosed in this proxy statement in accordance with SEC rules, votes “For” and “Against,” abstentions and, if applicable, broker non-votes, and (c) for any other proposals, votes “For” and “Against,” abstentions and, if applicable, broker non-votes.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Abstentions will be counted towards the vote total for each of Proposals No. 2 and No. 3, and will have the same effect as “Against” votes. Broker non-votes on Proposals 1 and 3 will have no effect and will not be counted towards the vote total for any of those proposals. As Proposal No. 2 is a “routine” matter we do not expect there to be any broker non-votes, but if there are broker non-votes, they will have no effect and will not be counted towards the vote total.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7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Proposal</w:t>
            </w:r>
          </w:p>
        </w:tc>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0" w:type="dxa"/>
            <w:vAlign w:val="bottom"/>
          </w:tcPr>
          <w:p>
            <w:pPr>
              <w:spacing w:after="0"/>
              <w:rPr>
                <w:sz w:val="1"/>
                <w:szCs w:val="1"/>
                <w:color w:val="auto"/>
              </w:rPr>
            </w:pPr>
          </w:p>
        </w:tc>
      </w:tr>
      <w:tr>
        <w:trPr>
          <w:trHeight w:val="162"/>
        </w:trPr>
        <w:tc>
          <w:tcPr>
            <w:tcW w:w="1120" w:type="dxa"/>
            <w:vAlign w:val="bottom"/>
            <w:gridSpan w:val="2"/>
            <w:vMerge w:val="continue"/>
          </w:tcPr>
          <w:p>
            <w:pPr>
              <w:spacing w:after="0"/>
              <w:rPr>
                <w:sz w:val="14"/>
                <w:szCs w:val="14"/>
                <w:color w:val="auto"/>
              </w:rPr>
            </w:pPr>
          </w:p>
        </w:tc>
        <w:tc>
          <w:tcPr>
            <w:tcW w:w="38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Proposal Description</w:t>
            </w:r>
          </w:p>
        </w:tc>
        <w:tc>
          <w:tcPr>
            <w:tcW w:w="3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tc>
        <w:tc>
          <w:tcPr>
            <w:tcW w:w="1520" w:type="dxa"/>
            <w:vAlign w:val="bottom"/>
            <w:gridSpan w:val="2"/>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Broker Non-</w:t>
            </w: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840" w:type="dxa"/>
            <w:vAlign w:val="bottom"/>
            <w:gridSpan w:val="2"/>
            <w:vMerge w:val="continue"/>
          </w:tcPr>
          <w:p>
            <w:pPr>
              <w:spacing w:after="0"/>
              <w:rPr>
                <w:sz w:val="18"/>
                <w:szCs w:val="18"/>
                <w:color w:val="auto"/>
              </w:rPr>
            </w:pPr>
          </w:p>
        </w:tc>
        <w:tc>
          <w:tcPr>
            <w:tcW w:w="3600" w:type="dxa"/>
            <w:vAlign w:val="bottom"/>
            <w:gridSpan w:val="2"/>
            <w:vMerge w:val="continue"/>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Votes</w:t>
            </w: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Pr>
          <w:p>
            <w:pPr>
              <w:spacing w:after="0"/>
              <w:rPr>
                <w:sz w:val="14"/>
                <w:szCs w:val="14"/>
                <w:color w:val="auto"/>
              </w:rPr>
            </w:pPr>
          </w:p>
        </w:tc>
        <w:tc>
          <w:tcPr>
            <w:tcW w:w="35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Election of Directors</w:t>
            </w:r>
          </w:p>
        </w:tc>
        <w:tc>
          <w:tcPr>
            <w:tcW w:w="260" w:type="dxa"/>
            <w:vAlign w:val="bottom"/>
          </w:tcPr>
          <w:p>
            <w:pPr>
              <w:spacing w:after="0"/>
              <w:rPr>
                <w:sz w:val="14"/>
                <w:szCs w:val="14"/>
                <w:color w:val="auto"/>
              </w:rPr>
            </w:pPr>
          </w:p>
        </w:tc>
        <w:tc>
          <w:tcPr>
            <w:tcW w:w="3340" w:type="dxa"/>
            <w:vAlign w:val="bottom"/>
            <w:tcBorders>
              <w:top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color w:val="auto"/>
              </w:rPr>
              <w:t>The three nominees receiving the most</w:t>
            </w:r>
          </w:p>
        </w:tc>
        <w:tc>
          <w:tcPr>
            <w:tcW w:w="26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Not applicable</w:t>
            </w:r>
          </w:p>
        </w:tc>
        <w:tc>
          <w:tcPr>
            <w:tcW w:w="260" w:type="dxa"/>
            <w:vAlign w:val="bottom"/>
          </w:tcPr>
          <w:p>
            <w:pPr>
              <w:spacing w:after="0"/>
              <w:rPr>
                <w:sz w:val="14"/>
                <w:szCs w:val="14"/>
                <w:color w:val="auto"/>
              </w:rPr>
            </w:pPr>
          </w:p>
        </w:tc>
        <w:tc>
          <w:tcPr>
            <w:tcW w:w="10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 votes will be elected; withheld votes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 have no effect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9" w:right="339" w:bottom="1440" w:gutter="0" w:footer="0" w:header="0"/>
        </w:sectPr>
      </w:pPr>
    </w:p>
    <w:p>
      <w:pPr>
        <w:spacing w:after="0" w:line="47" w:lineRule="exact"/>
        <w:rPr>
          <w:sz w:val="20"/>
          <w:szCs w:val="20"/>
          <w:color w:val="auto"/>
        </w:rPr>
      </w:pPr>
    </w:p>
    <w:p>
      <w:pPr>
        <w:ind w:left="1200" w:hanging="764"/>
        <w:spacing w:after="0" w:line="224"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PricewaterhouseCoopers LLP as SI-BONE’s independent registered public accounting firm for the fiscal year ending December 31, 2023</w:t>
      </w:r>
    </w:p>
    <w:p>
      <w:pPr>
        <w:spacing w:after="0" w:line="2" w:lineRule="exact"/>
        <w:rPr>
          <w:sz w:val="20"/>
          <w:szCs w:val="20"/>
          <w:color w:val="auto"/>
        </w:rPr>
      </w:pPr>
    </w:p>
    <w:p>
      <w:pPr>
        <w:ind w:left="1200" w:right="280" w:hanging="764"/>
        <w:spacing w:after="0" w:line="234"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our named executive officers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3600" w:val="left"/>
          <w:tab w:leader="none" w:pos="5020" w:val="left"/>
        </w:tabs>
        <w:rPr>
          <w:sz w:val="20"/>
          <w:szCs w:val="20"/>
          <w:color w:val="auto"/>
        </w:rPr>
      </w:pPr>
      <w:r>
        <w:rPr>
          <w:rFonts w:ascii="Times New Roman" w:cs="Times New Roman" w:eastAsia="Times New Roman" w:hAnsi="Times New Roman"/>
          <w:sz w:val="18"/>
          <w:szCs w:val="18"/>
          <w:color w:val="auto"/>
        </w:rPr>
        <w:t>“For” votes from the holders of a majority</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No effect</w:t>
      </w:r>
    </w:p>
    <w:p>
      <w:pPr>
        <w:spacing w:after="0" w:line="203" w:lineRule="auto"/>
        <w:rPr>
          <w:sz w:val="20"/>
          <w:szCs w:val="20"/>
          <w:color w:val="auto"/>
        </w:rPr>
      </w:pPr>
      <w:r>
        <w:rPr>
          <w:rFonts w:ascii="Times New Roman" w:cs="Times New Roman" w:eastAsia="Times New Roman" w:hAnsi="Times New Roman"/>
          <w:sz w:val="18"/>
          <w:szCs w:val="18"/>
          <w:color w:val="auto"/>
        </w:rPr>
        <w:t>of shares present via webcast or</w:t>
      </w:r>
    </w:p>
    <w:p>
      <w:pPr>
        <w:spacing w:after="0" w:line="219" w:lineRule="auto"/>
        <w:rPr>
          <w:sz w:val="20"/>
          <w:szCs w:val="20"/>
          <w:color w:val="auto"/>
        </w:rPr>
      </w:pPr>
      <w:r>
        <w:rPr>
          <w:rFonts w:ascii="Times New Roman" w:cs="Times New Roman" w:eastAsia="Times New Roman" w:hAnsi="Times New Roman"/>
          <w:sz w:val="18"/>
          <w:szCs w:val="18"/>
          <w:color w:val="auto"/>
        </w:rPr>
        <w:t>represented by proxy and entitled to vote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matter</w:t>
      </w:r>
    </w:p>
    <w:p>
      <w:pPr>
        <w:spacing w:after="0" w:line="229" w:lineRule="auto"/>
        <w:tabs>
          <w:tab w:leader="none" w:pos="3600" w:val="left"/>
          <w:tab w:leader="none" w:pos="5020" w:val="left"/>
        </w:tabs>
        <w:rPr>
          <w:sz w:val="20"/>
          <w:szCs w:val="20"/>
          <w:color w:val="auto"/>
        </w:rPr>
      </w:pPr>
      <w:r>
        <w:rPr>
          <w:rFonts w:ascii="Times New Roman" w:cs="Times New Roman" w:eastAsia="Times New Roman" w:hAnsi="Times New Roman"/>
          <w:sz w:val="18"/>
          <w:szCs w:val="18"/>
          <w:color w:val="auto"/>
        </w:rPr>
        <w:t>“For” votes from the holders of a majority</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No effect</w:t>
      </w:r>
    </w:p>
    <w:p>
      <w:pPr>
        <w:spacing w:after="0" w:line="204" w:lineRule="auto"/>
        <w:rPr>
          <w:sz w:val="20"/>
          <w:szCs w:val="20"/>
          <w:color w:val="auto"/>
        </w:rPr>
      </w:pPr>
      <w:r>
        <w:rPr>
          <w:rFonts w:ascii="Times New Roman" w:cs="Times New Roman" w:eastAsia="Times New Roman" w:hAnsi="Times New Roman"/>
          <w:sz w:val="18"/>
          <w:szCs w:val="18"/>
          <w:color w:val="auto"/>
        </w:rPr>
        <w:t>of shares present via webcast or represented</w:t>
      </w:r>
    </w:p>
    <w:p>
      <w:pPr>
        <w:spacing w:after="0"/>
        <w:rPr>
          <w:sz w:val="20"/>
          <w:szCs w:val="20"/>
          <w:color w:val="auto"/>
        </w:rPr>
      </w:pPr>
      <w:r>
        <w:rPr>
          <w:rFonts w:ascii="Times New Roman" w:cs="Times New Roman" w:eastAsia="Times New Roman" w:hAnsi="Times New Roman"/>
          <w:sz w:val="18"/>
          <w:szCs w:val="18"/>
          <w:color w:val="auto"/>
        </w:rPr>
        <w:t>by proxy and entitled to vote on the matter</w:t>
      </w:r>
    </w:p>
    <w:p>
      <w:pPr>
        <w:spacing w:after="0" w:line="580" w:lineRule="exact"/>
        <w:rPr>
          <w:sz w:val="20"/>
          <w:szCs w:val="20"/>
          <w:color w:val="auto"/>
        </w:rPr>
      </w:pPr>
    </w:p>
    <w:p>
      <w:pPr>
        <w:sectPr>
          <w:pgSz w:w="11900" w:h="16838" w:orient="portrait"/>
          <w:cols w:equalWidth="0" w:num="2">
            <w:col w:w="4520" w:space="580"/>
            <w:col w:w="6140"/>
          </w:cols>
          <w:pgMar w:left="320" w:top="779" w:right="339" w:bottom="1440" w:gutter="0" w:footer="0" w:header="0"/>
          <w:type w:val="continuous"/>
        </w:sectPr>
      </w:pPr>
    </w:p>
    <w:p>
      <w:pPr>
        <w:spacing w:after="0" w:line="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35,138,820 shares outstanding and entitled to vote. Thus, the holders of 17,569,410 shares must be present via webcast or represented by proxy at the meeting to have a quorum.</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Annual Report to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tockholders are available at www.proxyvote.com</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779" w:right="339" w:bottom="1440" w:gutter="0" w:footer="0" w:header="0"/>
          <w:type w:val="continuous"/>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Board of Directors currently has nine members. There are three directors in Class II, the class the term of which expires in 2023: Jeffrey W. Dunn, John G. Freund, M.D. and Gregory K. Hinckley. Each is currently a member of our Board of Directors. If elected at the Annual Meeting, each of the three nominees would serve until the 2026 annual meeting and until his successor has been duly elected and qualified, or, if sooner, until the director’s death, resignation or removal. It is our policy to encourage directors and nominees for director to attend the Annual Meeting. All nine of our directors attended our 2022 annual meeting of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Mr. Dunn, Dr. Freund and Mr. Hinckley were previously elected by our stockholders.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23"/>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Jeffrey W. Dunn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29"/>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G. Freund, M.D.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29"/>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Gregory K. Hinckley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Helen Loh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29"/>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Mika Nishimura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Keith C. Valentine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Timothy "Ted" Davis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Laura A. Francis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CEO</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29"/>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Jeryl L. Hilleman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2026 ANNUAL MEETING</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W. Dunn </w:t>
      </w:r>
      <w:r>
        <w:rPr>
          <w:rFonts w:ascii="Times New Roman" w:cs="Times New Roman" w:eastAsia="Times New Roman" w:hAnsi="Times New Roman"/>
          <w:sz w:val="18"/>
          <w:szCs w:val="18"/>
          <w:color w:val="auto"/>
        </w:rPr>
        <w:t>has served as our Executive Chairman since April 2021, as Chairman of our Board of Directors since our inception in April 2008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2021, and as our President and Chief Executive Officer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G. Freund, M.D. </w:t>
      </w:r>
      <w:r>
        <w:rPr>
          <w:rFonts w:ascii="Times New Roman" w:cs="Times New Roman" w:eastAsia="Times New Roman" w:hAnsi="Times New Roman"/>
          <w:sz w:val="18"/>
          <w:szCs w:val="18"/>
          <w:color w:val="auto"/>
        </w:rPr>
        <w:t>has served as a member of our Board of Directors since January 2013. Dr. Freund founded Skyline Ventures, a venture capital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October 1997 and has served as a Managing Director of Skyline since then. In 2016, Dr. Freund co-founded and was Chief Executive Officer of Arixa Pharmaceuticals, Inc. an antibiotic company, which was acquired by Pfizer in October 2020.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w:t>
      </w:r>
    </w:p>
    <w:p>
      <w:pPr>
        <w:spacing w:after="0" w:line="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Co., an investment banking company, where he co-founded the Healthcare Group in the Corporate Finance Department in 1983. Dr. Freund has served on the board of directors of each of Collegium Pharmaceuticals, Inc., a specialty pharmaceutical company, and Sutro Biopharma, Inc., a biotechnology company, since February 2014. Dr. Freund also serves on the board of directors of fourteen U.S. registered investment funds managed by affiliates of the Capital Group, Inc. He also previously served on the board of directors of a number of publicly traded companies, including Tetraphase Pharmaceuticals, Inc., a biopharmaceutical company, Map Pharmaceuticals, Inc., a biopharmaceutical company, MAKO Surgical Corp., a medical device company, Proteon Therapeutics, Inc., a biotechnology company, Concert Pharmaceuticals, Inc., a biopharmaceutical company and XenoPort, Inc., a biopharmaceutical company where he served as Chairman.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K. Hinckley </w:t>
      </w:r>
      <w:r>
        <w:rPr>
          <w:rFonts w:ascii="Times New Roman" w:cs="Times New Roman" w:eastAsia="Times New Roman" w:hAnsi="Times New Roman"/>
          <w:sz w:val="18"/>
          <w:szCs w:val="18"/>
          <w:color w:val="auto"/>
        </w:rPr>
        <w:t>has served as a member of our Board of Directors since January 2011. Mr. Hinckley served as President of Mentor Graphics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Intermec, Inc., a developer of automated identification and data collection solutions, from July 2004 to September 2013; and Amkor Technology, a semiconductor test and assembly company, from November 1997 to July 2007. From August 1992 to January 1997, Mr. Hinckley served as Senior Vice President, Finance of VLSI Technology, Inc., a designer and manufacturer of custom and semi-custom integrated circuits. From January 1989 to November 1991, he served as Senior Vice President and</w:t>
      </w:r>
    </w:p>
    <w:p>
      <w:pPr>
        <w:sectPr>
          <w:pgSz w:w="11900" w:h="16838" w:orient="portrait"/>
          <w:cols w:equalWidth="0" w:num="1">
            <w:col w:w="11240"/>
          </w:cols>
          <w:pgMar w:left="320" w:top="779" w:right="339" w:bottom="0" w:gutter="0" w:footer="0" w:header="0"/>
        </w:sectPr>
      </w:pPr>
    </w:p>
    <w:bookmarkStart w:id="12" w:name="page13"/>
    <w:bookmarkEnd w:id="12"/>
    <w:p>
      <w:pPr>
        <w:jc w:val="both"/>
        <w:spacing w:after="0" w:line="237" w:lineRule="auto"/>
        <w:rPr>
          <w:sz w:val="20"/>
          <w:szCs w:val="20"/>
          <w:color w:val="auto"/>
        </w:rPr>
      </w:pPr>
      <w:r>
        <w:rPr>
          <w:rFonts w:ascii="Times New Roman" w:cs="Times New Roman" w:eastAsia="Times New Roman" w:hAnsi="Times New Roman"/>
          <w:sz w:val="18"/>
          <w:szCs w:val="18"/>
          <w:color w:val="auto"/>
        </w:rPr>
        <w:t>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EACH NAMED NOMINEE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Helen Loh </w:t>
      </w:r>
      <w:r>
        <w:rPr>
          <w:rFonts w:ascii="Times New Roman" w:cs="Times New Roman" w:eastAsia="Times New Roman" w:hAnsi="Times New Roman"/>
          <w:sz w:val="18"/>
          <w:szCs w:val="18"/>
          <w:color w:val="auto"/>
        </w:rPr>
        <w:t>has served as a member of our Board of Directors since April 2021. Since 2004, Ms. Loh has served as a marketing executive at Charles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Schwab, most recently as Managing Director, Digital, Education &amp; Client Marketing. From 1999 to 2004, Ms. Loh served as Vice President of Marketing and Product at seeUthere Technologies, an enterprise event management software company. Earlier in her career, Ms. Loh held marketing roles at SINA Corporation, MySoftware Company, and the Clorox Company. Ms. Loh began her career as a management consultant at Marakon, a global strategy consulting firm. Ms. Loh has served on the board of directors of the Charles Schwab Foundation since November 2014. Ms. Loh received a B.S. in Industrial Engineering from Stanford University, and a M.B.A. from Stanford Business School. We believe that Ms. Loh’s experience with digital and consumer marketing will enable her to make valuable contributions to our Board of Directors.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Mika Nishimura </w:t>
      </w:r>
      <w:r>
        <w:rPr>
          <w:rFonts w:ascii="Times New Roman" w:cs="Times New Roman" w:eastAsia="Times New Roman" w:hAnsi="Times New Roman"/>
          <w:sz w:val="18"/>
          <w:szCs w:val="18"/>
          <w:color w:val="auto"/>
        </w:rPr>
        <w:t>has served as a member of our Board of Directors since March 2021. Since 2011, Ms. Nishimura has served as an Operational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Gilde Healthcare Partners, a life-science venture fund. Ms. Nishimura has served as a board member and the chair of the Nominating and Corporate Governance Committee for Accuray, Incorporated, a radiation therapy company since August 2021, and has served as a board advisor to Tristel, plc, a UK-based company since January 2021. Since June 2022, Ms. Nishimura has served as a member of the board of directors and the Audit, Compensation, Nominating, and Healthcare Compliance Committees of HOYA Corporation.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 2015. Earlier in her career, Ms. Nishimura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C. Valentine </w:t>
      </w:r>
      <w:r>
        <w:rPr>
          <w:rFonts w:ascii="Times New Roman" w:cs="Times New Roman" w:eastAsia="Times New Roman" w:hAnsi="Times New Roman"/>
          <w:sz w:val="18"/>
          <w:szCs w:val="18"/>
          <w:color w:val="auto"/>
        </w:rPr>
        <w:t>has served as a member of our Board of Directors since August 2015. Mr. Valentine was appointed as President,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 member of the board of directors of Orthofix Medical Inc., a medical device company, in January 2023 following its merger with SeaSpine Holdings Corporation, a global medical technology company, where Mr. Valentine served as President, Chief Executive Officer and a member of the board since May 2015.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Sofamer Danek including Vice President of Marketing for the Rods Division and Group Director for the BMP Biologics program, Interbody Sales Development, and International Sales and Marketing. Mr. Valentine received a B.B.A. in Management and Biomedical Sciences from Western Michigan University. We believe Mr. Valentine’s experience working with medical device companies in the orthopedics and spine surgery fields and his knowledge of our company enable him to make valuable contributions to our Board of Directors.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2025 ANNUAL MEETING</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E. Davis, Jr. </w:t>
      </w:r>
      <w:r>
        <w:rPr>
          <w:rFonts w:ascii="Times New Roman" w:cs="Times New Roman" w:eastAsia="Times New Roman" w:hAnsi="Times New Roman"/>
          <w:sz w:val="18"/>
          <w:szCs w:val="18"/>
          <w:color w:val="auto"/>
        </w:rPr>
        <w:t>has served as a member of our Board of Directors since our inception in April 2008. Mr. Davis has served 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BioTissue Holdings Inc., a privately held company focusing on the development and clinical application of human birth tissue-based products for the ocular and surgical clinical markets, since January 2022. From February 2017 through December 2021, Mr. Davis served as President and Chief Executive Officer of Active Implants, LLC, a company that provides orthopedic implant solutions.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his experience in compensation matters, and his knowledge of our company enable him to make valuable contributions to our Board of Directors.</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Laura A. Francis </w:t>
      </w:r>
      <w:r>
        <w:rPr>
          <w:rFonts w:ascii="Times New Roman" w:cs="Times New Roman" w:eastAsia="Times New Roman" w:hAnsi="Times New Roman"/>
          <w:sz w:val="18"/>
          <w:szCs w:val="18"/>
          <w:color w:val="auto"/>
        </w:rPr>
        <w:t>has served as our Chief Executive Officer and as a member of our Board of Directors since April 2021. Previously, she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including serving as chair of its audit committee and on its compensation committee.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L. Hilleman </w:t>
      </w:r>
      <w:r>
        <w:rPr>
          <w:rFonts w:ascii="Times New Roman" w:cs="Times New Roman" w:eastAsia="Times New Roman" w:hAnsi="Times New Roman"/>
          <w:sz w:val="18"/>
          <w:szCs w:val="18"/>
          <w:color w:val="auto"/>
        </w:rPr>
        <w:t>has served as a member of our Board of Directors since December 2019. Ms. Hilleman brings extensive experience in life sciences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public company CFO for close to 20 years. Most recently, from June 2014 to November 2019, Ms. Hilleman served as the Chief Financial</w:t>
      </w:r>
    </w:p>
    <w:p>
      <w:pPr>
        <w:sectPr>
          <w:pgSz w:w="11900" w:h="16838" w:orient="portrait"/>
          <w:cols w:equalWidth="0" w:num="1">
            <w:col w:w="11240"/>
          </w:cols>
          <w:pgMar w:left="320" w:top="108" w:right="339" w:bottom="0" w:gutter="0" w:footer="0" w:header="0"/>
        </w:sectPr>
      </w:pPr>
    </w:p>
    <w:bookmarkStart w:id="13" w:name="page14"/>
    <w:bookmarkEnd w:id="13"/>
    <w:p>
      <w:pPr>
        <w:jc w:val="both"/>
        <w:spacing w:after="0" w:line="237" w:lineRule="auto"/>
        <w:rPr>
          <w:sz w:val="20"/>
          <w:szCs w:val="20"/>
          <w:color w:val="auto"/>
        </w:rPr>
      </w:pPr>
      <w:r>
        <w:rPr>
          <w:rFonts w:ascii="Times New Roman" w:cs="Times New Roman" w:eastAsia="Times New Roman" w:hAnsi="Times New Roman"/>
          <w:sz w:val="18"/>
          <w:szCs w:val="18"/>
          <w:color w:val="auto"/>
        </w:rPr>
        <w:t>Officer for Intersect ENT, Inc., a commercial drug delivery company focusing on patients with ear, nose and throat conditions. Prior to Intersect ENT, Ms. Hilleman served as Chief Financial Officer of other public healthcare companies including Ocera Therapeutics, Inc., a biopharmaceutical company; Amyris, Inc., a renewable products company; and Symyx Technologies, a life sciences automation company. Ms. Hilleman has served as a member of the board of directors and the chair of the Audit Committee of NovoCure, Limited and Minerva Neurosciences, Inc. since July 2018, and of Talis Biomedical from July 2018 to June 2022. Ms. Hilleman has served as a member of the board of directors and the Compensation Committee of HilleVax, Inc., a biopharmaceutical company, since April 2021. From January 2005 to July 2016, Ms. Hilleman served as a member of the board of directors of Xenoport, Inc., a biopharmaceutical company.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directors, other than Mr. Dunn and Ms. Francis, is independent as defined under the Nasdaq Global Market listing standards. See “Independence of the Board of Directors” immediately below.</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required under the Nasdaq Global Market (“Nasdaq”) listing standards, a majority of the members of a listed company’s Board of Directors must qualify as “independent,” as affirmatively determined by the Board of Directors. The Board of Directors consults with SI-BONE’s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SI-BONE, its senior management and its independent auditors, the Board of Directors has affirmatively determined that the following seven directors are independent directors within the meaning of the applicable Nasdaq listing standards: Mr. Davis, Dr. Freund, Ms. Hilleman, Mr. Hinckley, Ms. Loh, Ms. Nishimura and Mr. Valentine. In making this determination, the Board of Directors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w:t>
      </w:r>
    </w:p>
    <w:p>
      <w:pPr>
        <w:spacing w:after="0" w:line="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Officer, and Ms. Francis is not independent given her position as our Chief Executive Officer. The Board made its decision with respect to Mr. Valentine after considering that he serves as the President, Chief Executive Officer and a member of the board of directors of SeaSpine Orthopedics Corporation (“SeaSpine”), a company with which we have a joint development agreement, and determined that this relationship would not impair his independence. Accordingly, a majority of our directors are independent, as required under applicable Nasdaq listing rules.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Service of Directors</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Proposal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among our compensation peer groups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simple majority voting to amend our certificate of incorporation or bylaws, we have not generally encountered significant or specific objections to the corporate governance decisions we have made.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Attributes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following matrix provides information regarding the members of our Board of Directors, including certain types of knowledge, skills, experiences and attributes possessed by one or more of our directors which our Board of Directors believes are relevant to our business and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p>
      <w:pPr>
        <w:sectPr>
          <w:pgSz w:w="11900" w:h="16838" w:orient="portrait"/>
          <w:cols w:equalWidth="0" w:num="1">
            <w:col w:w="11240"/>
          </w:cols>
          <w:pgMar w:left="320" w:top="995" w:right="339" w:bottom="1440" w:gutter="0" w:footer="0" w:header="0"/>
        </w:sectPr>
      </w:pPr>
    </w:p>
    <w:bookmarkStart w:id="15" w:name="page16"/>
    <w:bookmarkEnd w:id="15"/>
    <w:p>
      <w:pPr>
        <w:spacing w:after="0" w:line="39"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2600" w:type="dxa"/>
            <w:vAlign w:val="bottom"/>
            <w:gridSpan w:val="2"/>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Knowledge, Skills, Experience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Davis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Dunn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Freund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Hilleman</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Hinckley</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Loh</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Nishimura</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Valentine</w:t>
            </w:r>
          </w:p>
        </w:tc>
        <w:tc>
          <w:tcPr>
            <w:tcW w:w="0" w:type="dxa"/>
            <w:vAlign w:val="bottom"/>
          </w:tcPr>
          <w:p>
            <w:pPr>
              <w:spacing w:after="0"/>
              <w:rPr>
                <w:sz w:val="1"/>
                <w:szCs w:val="1"/>
                <w:color w:val="auto"/>
              </w:rPr>
            </w:pPr>
          </w:p>
        </w:tc>
      </w:tr>
      <w:tr>
        <w:trPr>
          <w:trHeight w:val="141"/>
        </w:trPr>
        <w:tc>
          <w:tcPr>
            <w:tcW w:w="17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Public Company</w:t>
            </w:r>
          </w:p>
        </w:tc>
        <w:tc>
          <w:tcPr>
            <w:tcW w:w="8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CEO/Exec Chair (last 5</w:t>
            </w:r>
          </w:p>
        </w:tc>
        <w:tc>
          <w:tcPr>
            <w:tcW w:w="8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years)</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Public Company CFO</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Senior Executive</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Leadership</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Financial</w:t>
            </w: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Literacy/Expertise</w:t>
            </w: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Medical Device Industry</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Experience</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Corporate Governance</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Digital Marketing;</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DTP/DTC Marketing</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Reimbursement/Payors</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Clinical/Medical</w:t>
            </w: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14"/>
        </w:trPr>
        <w:tc>
          <w:tcPr>
            <w:tcW w:w="17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R&amp;D</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Business</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Development/M&amp;A</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Strategic Planning</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Relations</w:t>
            </w: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 Management</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Cybersecurity</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Legal/Compliance/Risk</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Human Resources</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matrices provide race/ethnicity, as well as gender, of the members of our Board of Directors, as self-identified by members of the Board of Directors.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20" w:type="dxa"/>
            <w:vAlign w:val="bottom"/>
            <w:tcBorders>
              <w:bottom w:val="single" w:sz="8" w:color="auto"/>
            </w:tcBorders>
            <w:gridSpan w:val="3"/>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14, 2023)</w:t>
            </w:r>
          </w:p>
        </w:tc>
      </w:tr>
      <w:tr>
        <w:trPr>
          <w:trHeight w:val="223"/>
        </w:trPr>
        <w:tc>
          <w:tcPr>
            <w:tcW w:w="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5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7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183"/>
        </w:trPr>
        <w:tc>
          <w:tcPr>
            <w:tcW w:w="20" w:type="dxa"/>
            <w:vAlign w:val="bottom"/>
          </w:tcPr>
          <w:p>
            <w:pPr>
              <w:spacing w:after="0"/>
              <w:rPr>
                <w:sz w:val="15"/>
                <w:szCs w:val="15"/>
                <w:color w:val="auto"/>
              </w:rPr>
            </w:pPr>
          </w:p>
        </w:tc>
        <w:tc>
          <w:tcPr>
            <w:tcW w:w="20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2900" w:type="dxa"/>
            <w:vAlign w:val="bottom"/>
            <w:tcBorders>
              <w:bottom w:val="single" w:sz="8" w:color="auto"/>
            </w:tcBorders>
            <w:gridSpan w:val="2"/>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4</w:t>
            </w:r>
          </w:p>
        </w:tc>
        <w:tc>
          <w:tcPr>
            <w:tcW w:w="27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5</w:t>
            </w:r>
          </w:p>
        </w:tc>
      </w:tr>
      <w:tr>
        <w:trPr>
          <w:trHeight w:val="183"/>
        </w:trPr>
        <w:tc>
          <w:tcPr>
            <w:tcW w:w="20" w:type="dxa"/>
            <w:vAlign w:val="bottom"/>
          </w:tcPr>
          <w:p>
            <w:pPr>
              <w:spacing w:after="0"/>
              <w:rPr>
                <w:sz w:val="15"/>
                <w:szCs w:val="15"/>
                <w:color w:val="auto"/>
              </w:rPr>
            </w:pPr>
          </w:p>
        </w:tc>
        <w:tc>
          <w:tcPr>
            <w:tcW w:w="498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2900" w:type="dxa"/>
            <w:vAlign w:val="bottom"/>
            <w:gridSpan w:val="2"/>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2</w:t>
            </w:r>
          </w:p>
        </w:tc>
        <w:tc>
          <w:tcPr>
            <w:tcW w:w="27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2900" w:type="dxa"/>
            <w:vAlign w:val="bottom"/>
            <w:tcBorders>
              <w:bottom w:val="single" w:sz="8" w:color="auto"/>
            </w:tcBorders>
            <w:gridSpan w:val="2"/>
          </w:tcPr>
          <w:p>
            <w:pPr>
              <w:jc w:val="center"/>
              <w:ind w:left="1490"/>
              <w:spacing w:after="0"/>
              <w:rPr>
                <w:sz w:val="20"/>
                <w:szCs w:val="20"/>
                <w:color w:val="auto"/>
              </w:rPr>
            </w:pPr>
            <w:r>
              <w:rPr>
                <w:rFonts w:ascii="Times New Roman" w:cs="Times New Roman" w:eastAsia="Times New Roman" w:hAnsi="Times New Roman"/>
                <w:sz w:val="18"/>
                <w:szCs w:val="18"/>
                <w:color w:val="auto"/>
                <w:w w:val="88"/>
              </w:rPr>
              <w:t>2</w:t>
            </w:r>
          </w:p>
        </w:tc>
        <w:tc>
          <w:tcPr>
            <w:tcW w:w="27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Davis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Dunn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Hilleman</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Hinckley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Loh</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Nishimura</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Valentine</w:t>
            </w:r>
          </w:p>
        </w:tc>
      </w:tr>
      <w:tr>
        <w:trPr>
          <w:trHeight w:val="141"/>
        </w:trPr>
        <w:tc>
          <w:tcPr>
            <w:tcW w:w="660" w:type="dxa"/>
            <w:vAlign w:val="bottom"/>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80"/>
        </w:trPr>
        <w:tc>
          <w:tcPr>
            <w:tcW w:w="660" w:type="dxa"/>
            <w:vAlign w:val="bottom"/>
          </w:tcPr>
          <w:p>
            <w:pPr>
              <w:spacing w:after="0"/>
              <w:rPr>
                <w:sz w:val="15"/>
                <w:szCs w:val="15"/>
                <w:color w:val="auto"/>
              </w:rPr>
            </w:pPr>
          </w:p>
        </w:tc>
        <w:tc>
          <w:tcPr>
            <w:tcW w:w="18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Part I: Demographic</w:t>
            </w: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0"/>
        </w:trPr>
        <w:tc>
          <w:tcPr>
            <w:tcW w:w="66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Background</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1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Asian</w:t>
            </w:r>
          </w:p>
        </w:tc>
        <w:tc>
          <w:tcPr>
            <w:tcW w:w="7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Borders>
              <w:top w:val="single" w:sz="8" w:color="auto"/>
            </w:tcBorders>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White</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r>
      <w:tr>
        <w:trPr>
          <w:trHeight w:val="206"/>
        </w:trPr>
        <w:tc>
          <w:tcPr>
            <w:tcW w:w="66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 Gender Identity</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
        </w:trPr>
        <w:tc>
          <w:tcPr>
            <w:tcW w:w="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Male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r>
      <w:tr>
        <w:trPr>
          <w:trHeight w:val="234"/>
        </w:trPr>
        <w:tc>
          <w:tcPr>
            <w:tcW w:w="660" w:type="dxa"/>
            <w:vAlign w:val="bottom"/>
          </w:tcPr>
          <w:p>
            <w:pPr>
              <w:spacing w:after="0"/>
              <w:rPr>
                <w:sz w:val="20"/>
                <w:szCs w:val="20"/>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Female</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spacing w:after="0"/>
              <w:rPr>
                <w:sz w:val="20"/>
                <w:szCs w:val="20"/>
                <w:color w:val="auto"/>
              </w:rPr>
            </w:pPr>
          </w:p>
        </w:tc>
      </w:tr>
      <w:tr>
        <w:trPr>
          <w:trHeight w:val="535"/>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Board of Directors is currently chaired by Mr. Dunn. Mr. Dunn has served as our Executive Chairman since April 2021, when he ceased to serve as our Chief Executive Officer, and Mr. Dunn will continue to serve in such capacity until May 1, 2023, at which time he will become non-executive Chair of the Board. We believe that the separation of the two roles of Chair of the Board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serving as Chairman alleviates the need for Ms. Francis to take on the responsibilities of Chairperson, enabling her to focus on her responsibilities in her role as our Chief Executive Officer.</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of Directors believes that our stockholders are best served at this time by having a Lead Independent Director who is an integral part of our Board structure and a critical aspect of effective corporate governance. Mr. Davis is our Lead Independent Director. Mr. Davis brings considerable skills and experience, as described above, to the role. We believe as well that Mr. Davis can effectively oversee and drive the activities of the Board, including:</w:t>
      </w:r>
    </w:p>
    <w:p>
      <w:pPr>
        <w:spacing w:after="0" w:line="22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coordinating with the committee chairs regarding meeting agendas and informational requirements;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such other duties as may be necessary from time to time to ensure the effective functioning of the Board.</w:t>
      </w:r>
    </w:p>
    <w:p>
      <w:pPr>
        <w:sectPr>
          <w:pgSz w:w="11900" w:h="16878" w:orient="portrait"/>
          <w:cols w:equalWidth="0" w:num="1">
            <w:col w:w="11240"/>
          </w:cols>
          <w:pgMar w:left="320" w:top="164"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of Directors administers its oversight function directly as a whole, as well as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31" w:right="339" w:bottom="1440" w:gutter="0" w:footer="0" w:header="0"/>
        </w:sectPr>
      </w:pPr>
    </w:p>
    <w:bookmarkStart w:id="17" w:name="page18"/>
    <w:bookmarkEnd w:id="17"/>
    <w:p>
      <w:pPr>
        <w:jc w:val="both"/>
        <w:spacing w:after="0" w:line="278" w:lineRule="auto"/>
        <w:rPr>
          <w:sz w:val="20"/>
          <w:szCs w:val="20"/>
          <w:color w:val="auto"/>
        </w:rPr>
      </w:pPr>
      <w:r>
        <w:rPr>
          <w:rFonts w:ascii="Times New Roman" w:cs="Times New Roman" w:eastAsia="Times New Roman" w:hAnsi="Times New Roman"/>
          <w:sz w:val="18"/>
          <w:szCs w:val="18"/>
          <w:color w:val="auto"/>
        </w:rPr>
        <w:t>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development of and reporting on our sustainability program, and oversight of healthcare, regulatory, and fraud and abuse compliance.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recognize the importance of protecting our information technology (“IT”) systems. With this in mind, we focus on IT and cybersecurity measures on both an enterprise-wide operational level and on an individual employee level. Accordingly, we have in place various methods and levels of IT and cybersecurity measures which are aimed at protecting IT systems to help secure long-term value for our shareholders and other stakeholders.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example, these measures generally include the following:</w:t>
      </w:r>
    </w:p>
    <w:p>
      <w:pPr>
        <w:spacing w:after="0" w:line="26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alignment and implementation of formally recognized security frameworks into IT operations and control best practices;</w:t>
      </w:r>
    </w:p>
    <w:p>
      <w:pPr>
        <w:spacing w:after="0" w:line="36"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detection and protection technologies such as endpoint detection response, vulnerability and patch management programs, and enhanced incident response capabilities;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end-user security awareness training;</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security metric reporting to senior organizational leaders;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periodic risk assessments and maturity assessments to gauge current level of operational efficiency and effectiveness.</w:t>
      </w:r>
    </w:p>
    <w:p>
      <w:pPr>
        <w:spacing w:after="0" w:line="2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 Committee and senior management are responsible for overseeing matters relating to our IT and cybersecurity practices and initiatives and our Audit Committee is briefed at least quarterly by our senior management on cybersecurity matters. To assist our executive team and Audit Committee, we have designated specific roles to officers and other employees within our company who are responsible for and directly oversee our cybersecurity efforts. Among the members of our Board, three have served as Chief Financial Officers including direct oversight of Information Technology / Cybersecurity functions, have developed expertise in this area and now serve on the audit committees of other companies' boards with cybersecurity oversight as well. One member of our Board has risk management responsibility in her role as an executive and has obtained certification in cybersecurity oversight from the Software Engineering Institute at Carnegie Mellon University, contributing to her expertise in this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Board of Directors met four times during 2022. Each member of the Board of Directors attended 75% or more of the aggregate number of meetings of the Board of Directors and of the committees on which he or she served, held during the portion of the last fiscal year for which he or she was a director or committee member.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 The following table provides membership and meeting information for fiscal year 2022 for each of the Board committees (Mr. Dunn did not serve on any committees in 2022, and neither Mr. Dunn nor Ms. Francis has served on any committee to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280" w:type="dxa"/>
            <w:vAlign w:val="bottom"/>
            <w:gridSpan w:val="3"/>
            <w:vMerge w:val="continue"/>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Timothy E. Davis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John G. Freund, M.D.</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Jeryl L. Hilleman</w:t>
            </w:r>
          </w:p>
        </w:tc>
        <w:tc>
          <w:tcPr>
            <w:tcW w:w="1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Gregory K. Hinckley</w:t>
            </w: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Helen Loh</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Mika Nishimura</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Keith C. Valentine</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meetings in fiscal year 2022</w:t>
            </w:r>
          </w:p>
        </w:tc>
        <w:tc>
          <w:tcPr>
            <w:tcW w:w="1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0"/>
                <w:szCs w:val="20"/>
                <w:color w:val="auto"/>
              </w:rPr>
            </w:pP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gridSpan w:val="2"/>
          </w:tcPr>
          <w:p>
            <w:pPr>
              <w:spacing w:after="0"/>
              <w:rPr>
                <w:sz w:val="13"/>
                <w:szCs w:val="13"/>
                <w:color w:val="auto"/>
              </w:rPr>
            </w:pPr>
          </w:p>
        </w:tc>
        <w:tc>
          <w:tcPr>
            <w:tcW w:w="310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has adopted a written charter for each of the Audit Committee, the Compensation Committee, and the Nominating and Corporate Governance Committee. Each of these charters are available to stockholders on SI-BONE’s website at </w:t>
      </w:r>
      <w:r>
        <w:rPr>
          <w:rFonts w:ascii="Times New Roman" w:cs="Times New Roman" w:eastAsia="Times New Roman" w:hAnsi="Times New Roman"/>
          <w:sz w:val="18"/>
          <w:szCs w:val="18"/>
          <w:u w:val="single" w:color="auto"/>
          <w:color w:val="3051F2"/>
        </w:rPr>
        <w:t>www.si-bone.com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Audit Committee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2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21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the independent registered public accounting firm;</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scope of the annual audit and the audit fee;</w:t>
      </w:r>
    </w:p>
    <w:p>
      <w:pPr>
        <w:spacing w:after="0" w:line="31"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our management’s discussion and analysis of financial condition and results of operations to be included in our annual and quarterly reports to be filed with the SEC;</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procedures for employees to submit concerns anonymously about questionable accounting or audit matters;</w:t>
      </w:r>
    </w:p>
    <w:p>
      <w:pPr>
        <w:sectPr>
          <w:pgSz w:w="11900" w:h="16838" w:orient="portrait"/>
          <w:cols w:equalWidth="0" w:num="1">
            <w:col w:w="11240"/>
          </w:cols>
          <w:pgMar w:left="320" w:top="995"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995" w:right="339" w:bottom="1440" w:gutter="0" w:footer="0" w:header="0"/>
          <w:type w:val="continuous"/>
        </w:sectPr>
      </w:pPr>
    </w:p>
    <w:bookmarkStart w:id="20" w:name="page21"/>
    <w:bookmarkEnd w:id="20"/>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27"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our accounting and financial reporting processes and internal controls and the annual audits of our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guidelines and policies with respect to financial and information security risk management;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at least annually, the Audit Committee charter and the committee’s performance.</w:t>
      </w:r>
    </w:p>
    <w:p>
      <w:pPr>
        <w:spacing w:after="0" w:line="2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Audit Committee has reviewed and discussed the audited financial statements for the fiscal year ended December 31, 2022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Jeryl L. Hilleman (Chairperson)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K. Hinckley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E. Davis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7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Compensation Committee consists of Mr. Davis, Dr. Freund and Ms. Nishimura, each of whom our Board has determined to be independent under the Nasdaq Global Market listing standards, and a “non-employee director” as defined in Rule 16b-3 promulgated under the Exchange Act. The chairperson of our Compensation Committee is Mr. Davis.</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70" w:lineRule="exact"/>
        <w:rPr>
          <w:sz w:val="20"/>
          <w:szCs w:val="20"/>
          <w:color w:val="auto"/>
        </w:rPr>
      </w:pPr>
    </w:p>
    <w:p>
      <w:pPr>
        <w:ind w:left="660" w:hanging="328"/>
        <w:spacing w:after="0" w:line="31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in the case of our Chief Executive Officer, recommending that our Board approve, the compensation of our executive officers;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terms of compensatory arrangements with our executive officers;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employee stock purchase and equity incentive plans;</w:t>
      </w:r>
    </w:p>
    <w:p>
      <w:pPr>
        <w:spacing w:after="0" w:line="130"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68"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Typically, our Compensation Committee meets at least four times annually and with greater frequency if necessary. The agenda for each meeting is usually developed by the chair of the Compensation Committee, in consultation with the General Counsel.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spacing w:after="0" w:line="197" w:lineRule="exact"/>
        <w:rPr>
          <w:sz w:val="20"/>
          <w:szCs w:val="20"/>
          <w:color w:val="auto"/>
        </w:rPr>
      </w:pPr>
    </w:p>
    <w:p>
      <w:pPr>
        <w:ind w:left="660" w:hanging="328"/>
        <w:spacing w:after="0" w:line="27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evaluate the efficacy of SI-BONE’s existing compensation strategy and practices in supporting and reinforcing SI-BONE’s long-term strategic goals;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995" w:right="339" w:bottom="1440" w:gutter="0" w:footer="0" w:header="0"/>
        </w:sectPr>
      </w:pPr>
    </w:p>
    <w:bookmarkStart w:id="22" w:name="page23"/>
    <w:bookmarkEnd w:id="22"/>
    <w:p>
      <w:pPr>
        <w:ind w:left="660" w:hanging="328"/>
        <w:spacing w:after="0" w:line="256"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assist in refining SI-BONE’s compensation strategy and in developing and implementing an executive compensation program to execute that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benchmark SI-BONE’s use of its equity in its compensation program against equity utilization of its peers;</w:t>
      </w:r>
    </w:p>
    <w:p>
      <w:pPr>
        <w:spacing w:after="0" w:line="49"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review the adequacy and appropriateness of SI-BONE’s compensation of its independent directors and recommend annual updates to the Company’s non-employee director compensation policy;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perform an annual independent compensation risk assessment.</w:t>
      </w:r>
    </w:p>
    <w:p>
      <w:pPr>
        <w:spacing w:after="0" w:line="2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his or her performance, which determines any adjustments to his or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Hilleman, Ms. Loh and Mr. Valentine. Our Board of Directors has determined Ms. Hilleman, Ms. Loh and Mr. Valentine each to be independent under the Nasdaq Global Market listing standards. The chairperson of our Nominating and Corporate Governance Committee is Mr. Valentine.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3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of our environmental, social and governance oversight program;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our healthcare compliance program.</w:t>
      </w:r>
    </w:p>
    <w:p>
      <w:pPr>
        <w:spacing w:after="0" w:line="1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810" w:right="339" w:bottom="1440"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8"/>
          <w:szCs w:val="18"/>
          <w:color w:val="auto"/>
        </w:rPr>
        <w:t>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General Counsel at the following address: 471 El Camino Real, Suite 101, Santa Clara, California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California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1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7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July 2018, the Board of Directors adopted, and in January 2021 and December 2022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set forth in our Insider Trading Policy and Corporate Governance Guidelines, no director, employee or consultant to SI-BONE may engage in short sales, transactions in put or call options, hedging transactions, margin accounts, pledges, or other inherently speculative transactions with respect to our stock at any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Oversight and Activities</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strive to advance the interests of all our stakeholders – including patients, healthcare professionals, employees, investors, and our communities – by operating in an ethical and sustainable way. We do this by holding true to our core values: Respect, Collaboration, Excellence, Creativity, Agility and Integrity. These values are at the heart of our sustainability activities. For more information about our sustainability achievements in 2022, we encourage you to read our 2022 Sustainability Report, which is available for download at www.investor.si-bone.com/sustainability in April 2023. This report and any content on our website is provided for reference only and is not incorporated by reference in this Proxy Statement.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995"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PricewaterhouseCoopers LLP as SI-BONE’s independent registered public accounting firm for the fiscal year ending December 31, 2023,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9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5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following table represents aggregate fees billed to SI-BONE for the fiscal years ending December 31, 2022 and 2021, respectively, by PricewaterhouseCoopers LLP, our independent registered public accounting firm.</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60" w:type="dxa"/>
            <w:vAlign w:val="bottom"/>
            <w:tcBorders>
              <w:bottom w:val="single" w:sz="8" w:color="auto"/>
            </w:tcBorders>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1,520</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1,613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ind w:left="660" w:hanging="328"/>
        <w:spacing w:after="0" w:line="267"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fees incurred for professional services rendered for the audit of our annual consolidated financial statements,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consolidated financial statements, and other services normally provided by PricewaterhouseCoopers LLP in connection with regulatory filings.</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of fees for professional services for tax compliance, tax advice and tax planning.</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 of fees for professional services other than the services reported above, including permissible consulting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99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We also maintain a small standing authority for management to direct pre-approved fees, the uses of which are reviewed by the Audit Committee and the pre-approved amount of which is replenished as necessary at each meeting.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99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Executive Compensation Narrative for a description of our compensation policies and decisions.</w:t>
      </w:r>
    </w:p>
    <w:p>
      <w:pPr>
        <w:spacing w:after="0" w:line="21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Accordingly, the Board is asking our stockholders to indicate their support for the compensation of our named executive officers as described in this proxy statement by casting a non-binding advisory vote “FOR” the following resolution:</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“RESOLVED, that the compensation paid to our named executive officers, as disclosed pursuant to Item 402 of Regulation S-K, including the compensation tables and narrative discussion, is hereby APPROVED.”</w:t>
      </w:r>
    </w:p>
    <w:p>
      <w:pPr>
        <w:spacing w:after="0" w:line="1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SI-BONE.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present via webcast or represented by proxy and entitled to vote on the matter at the Annual Meeting. Unless the Board decides to modify its policy regarding the frequency of soliciting advisory votes on the compensation of our named executives, the next scheduled say-on-pay vote will be at the 2024 Annual Meeting of Stockholders.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779"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SI-BONE’s common stock as of March 31, 2023,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35,106,163 shares outstanding on March 31, 2023, adjusted as required by rules promulgated by the SEC.</w:t>
      </w:r>
    </w:p>
    <w:p>
      <w:pPr>
        <w:spacing w:after="0" w:line="329"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 Beneficial Ownership</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Right to Acquire</w:t>
            </w:r>
          </w:p>
        </w:tc>
        <w:tc>
          <w:tcPr>
            <w:tcW w:w="1440" w:type="dxa"/>
            <w:vAlign w:val="bottom"/>
          </w:tcPr>
          <w:p>
            <w:pPr>
              <w:jc w:val="center"/>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40" w:type="dxa"/>
            <w:vAlign w:val="bottom"/>
          </w:tcPr>
          <w:p>
            <w:pPr>
              <w:jc w:val="center"/>
              <w:ind w:right="132"/>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44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 Owned</w:t>
            </w:r>
          </w:p>
        </w:tc>
        <w:tc>
          <w:tcPr>
            <w:tcW w:w="15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Within 60</w:t>
            </w:r>
          </w:p>
        </w:tc>
        <w:tc>
          <w:tcPr>
            <w:tcW w:w="1440" w:type="dxa"/>
            <w:vAlign w:val="bottom"/>
          </w:tcPr>
          <w:p>
            <w:pPr>
              <w:jc w:val="center"/>
              <w:ind w:right="152"/>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9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5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days</w:t>
            </w:r>
          </w:p>
        </w:tc>
        <w:tc>
          <w:tcPr>
            <w:tcW w:w="14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8"/>
        </w:trPr>
        <w:tc>
          <w:tcPr>
            <w:tcW w:w="3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71,138</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90,209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W. Dunn</w:t>
            </w:r>
            <w:r>
              <w:rPr>
                <w:rFonts w:ascii="Times New Roman" w:cs="Times New Roman" w:eastAsia="Times New Roman" w:hAnsi="Times New Roman"/>
                <w:sz w:val="10"/>
                <w:szCs w:val="10"/>
                <w:color w:val="auto"/>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132,882</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703,790</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836,672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w:t>
            </w:r>
            <w:r>
              <w:rPr>
                <w:rFonts w:ascii="Times New Roman" w:cs="Times New Roman" w:eastAsia="Times New Roman" w:hAnsi="Times New Roman"/>
                <w:sz w:val="10"/>
                <w:szCs w:val="10"/>
                <w:color w:val="auto"/>
              </w:rPr>
              <w:t>(2)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146,544</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37,963</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184,507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26,236</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32,557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w:t>
            </w:r>
            <w:r>
              <w:rPr>
                <w:rFonts w:ascii="Times New Roman" w:cs="Times New Roman" w:eastAsia="Times New Roman" w:hAnsi="Times New Roman"/>
                <w:sz w:val="10"/>
                <w:szCs w:val="10"/>
                <w:color w:val="auto"/>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146,997</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18,826</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165,823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Helen Loh</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684</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5,709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Mika Nishimura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Keith C. Valentine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44,019</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37,963</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81,982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Laura A. Francis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164,740</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92,388</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257,128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Anshul Maheshwari</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8,594</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30,732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Anthony J. Recupero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210,879</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269,176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9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All executive officers and directors as a group (11</w:t>
            </w:r>
          </w:p>
        </w:tc>
        <w:tc>
          <w:tcPr>
            <w:tcW w:w="14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751,956</w:t>
            </w:r>
          </w:p>
        </w:tc>
        <w:tc>
          <w:tcPr>
            <w:tcW w:w="1520" w:type="dxa"/>
            <w:vAlign w:val="bottom"/>
          </w:tcPr>
          <w:p>
            <w:pPr>
              <w:jc w:val="right"/>
              <w:ind w:right="96"/>
              <w:spacing w:after="0" w:line="184" w:lineRule="exact"/>
              <w:rPr>
                <w:sz w:val="20"/>
                <w:szCs w:val="20"/>
                <w:color w:val="auto"/>
              </w:rPr>
            </w:pPr>
            <w:r>
              <w:rPr>
                <w:rFonts w:ascii="Times New Roman" w:cs="Times New Roman" w:eastAsia="Times New Roman" w:hAnsi="Times New Roman"/>
                <w:sz w:val="18"/>
                <w:szCs w:val="18"/>
                <w:color w:val="auto"/>
              </w:rPr>
              <w:t>1,208,461</w:t>
            </w:r>
          </w:p>
        </w:tc>
        <w:tc>
          <w:tcPr>
            <w:tcW w:w="1440" w:type="dxa"/>
            <w:vAlign w:val="bottom"/>
          </w:tcPr>
          <w:p>
            <w:pPr>
              <w:jc w:val="right"/>
              <w:ind w:right="92"/>
              <w:spacing w:after="0" w:line="184" w:lineRule="exact"/>
              <w:rPr>
                <w:sz w:val="20"/>
                <w:szCs w:val="20"/>
                <w:color w:val="auto"/>
              </w:rPr>
            </w:pPr>
            <w:r>
              <w:rPr>
                <w:rFonts w:ascii="Times New Roman" w:cs="Times New Roman" w:eastAsia="Times New Roman" w:hAnsi="Times New Roman"/>
                <w:sz w:val="18"/>
                <w:szCs w:val="18"/>
                <w:color w:val="auto"/>
              </w:rPr>
              <w:t>1,960,417</w:t>
            </w: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Brown Advisory Incorporated</w:t>
            </w:r>
            <w:r>
              <w:rPr>
                <w:rFonts w:ascii="Times New Roman" w:cs="Times New Roman" w:eastAsia="Times New Roman" w:hAnsi="Times New Roman"/>
                <w:sz w:val="23"/>
                <w:szCs w:val="23"/>
                <w:color w:val="auto"/>
                <w:vertAlign w:val="superscript"/>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3,849,827</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3,849,827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7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OrbiMed Capital LLC</w:t>
            </w:r>
            <w:r>
              <w:rPr>
                <w:rFonts w:ascii="Times New Roman" w:cs="Times New Roman" w:eastAsia="Times New Roman" w:hAnsi="Times New Roman"/>
                <w:sz w:val="23"/>
                <w:szCs w:val="23"/>
                <w:color w:val="auto"/>
                <w:vertAlign w:val="superscript"/>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3,201,100</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3,201,100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10"/>
                <w:szCs w:val="10"/>
                <w:color w:val="auto"/>
              </w:rPr>
              <w:t>(6)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2,821,847</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2,821,847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w:t>
            </w:r>
            <w:r>
              <w:rPr>
                <w:rFonts w:ascii="Times New Roman" w:cs="Times New Roman" w:eastAsia="Times New Roman" w:hAnsi="Times New Roman"/>
                <w:sz w:val="23"/>
                <w:szCs w:val="23"/>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2,104,337</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2,104,337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Champlain Investment Partners, LLC</w:t>
            </w:r>
            <w:r>
              <w:rPr>
                <w:rFonts w:ascii="Times New Roman" w:cs="Times New Roman" w:eastAsia="Times New Roman" w:hAnsi="Times New Roman"/>
                <w:sz w:val="23"/>
                <w:szCs w:val="23"/>
                <w:color w:val="auto"/>
                <w:vertAlign w:val="superscript"/>
              </w:rPr>
              <w:t>(8)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1,743,355</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1,743,355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594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one percent.</w:t>
      </w:r>
    </w:p>
    <w:p>
      <w:pPr>
        <w:spacing w:after="0" w:line="239" w:lineRule="exact"/>
        <w:rPr>
          <w:sz w:val="20"/>
          <w:szCs w:val="20"/>
          <w:color w:val="auto"/>
        </w:rPr>
      </w:pPr>
    </w:p>
    <w:p>
      <w:pPr>
        <w:ind w:left="500" w:hanging="492"/>
        <w:spacing w:after="0" w:line="313" w:lineRule="auto"/>
        <w:tabs>
          <w:tab w:leader="none" w:pos="4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111,673 shares of common stock held by Jeffrey W. Dunn as Trustee of the Jeffrey W. Dunn Living Trust Dated May 17, 2012 and (ii) 21,209 shares held by Mr. Dunn.</w:t>
      </w:r>
    </w:p>
    <w:p>
      <w:pPr>
        <w:spacing w:after="0" w:line="175" w:lineRule="exact"/>
        <w:rPr>
          <w:rFonts w:ascii="Times New Roman" w:cs="Times New Roman" w:eastAsia="Times New Roman" w:hAnsi="Times New Roman"/>
          <w:sz w:val="18"/>
          <w:szCs w:val="18"/>
          <w:color w:val="auto"/>
        </w:rPr>
      </w:pPr>
    </w:p>
    <w:p>
      <w:pPr>
        <w:ind w:left="500" w:hanging="492"/>
        <w:spacing w:after="0" w:line="297"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include (i) 133,899 shares of common stock held by the John Freund Family Partnership IV, L.P. and (ii) 12,645 shares held by Dr. Freund.</w:t>
      </w:r>
    </w:p>
    <w:p>
      <w:pPr>
        <w:spacing w:after="0" w:line="203" w:lineRule="exact"/>
        <w:rPr>
          <w:rFonts w:ascii="Times New Roman" w:cs="Times New Roman" w:eastAsia="Times New Roman" w:hAnsi="Times New Roman"/>
          <w:sz w:val="18"/>
          <w:szCs w:val="18"/>
          <w:color w:val="auto"/>
        </w:rPr>
      </w:pPr>
    </w:p>
    <w:p>
      <w:pPr>
        <w:ind w:left="500" w:hanging="492"/>
        <w:spacing w:after="0" w:line="297" w:lineRule="auto"/>
        <w:tabs>
          <w:tab w:leader="none" w:pos="4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71,394 shares of common stock held by Mr. Hinckley and (ii) 75,603 shares of common stock held by Gregory K. Hinckley and Mary C. Hinckley as Community Property with the Right of Survivorship.</w:t>
      </w:r>
    </w:p>
    <w:p>
      <w:pPr>
        <w:spacing w:after="0" w:line="162" w:lineRule="exact"/>
        <w:rPr>
          <w:rFonts w:ascii="Times New Roman" w:cs="Times New Roman" w:eastAsia="Times New Roman" w:hAnsi="Times New Roman"/>
          <w:sz w:val="18"/>
          <w:szCs w:val="18"/>
          <w:color w:val="auto"/>
        </w:rPr>
      </w:pPr>
    </w:p>
    <w:p>
      <w:pPr>
        <w:ind w:left="500" w:hanging="492"/>
        <w:spacing w:after="0" w:line="245" w:lineRule="auto"/>
        <w:tabs>
          <w:tab w:leader="none" w:pos="4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9, 2023, reporting beneficial ownership as of December 31, 2022. Brown Advisory Incorporated has sole voting power over 3,330,031 of these shares and shared dispositive power over all of these shares. Brown Investment Advisory &amp; Trust Company has sole voting power and shared dispositive power over 21,392 of these shares. The address for Brown Advisory Incorporated is 901 South Bond Street, Suite 400, Baltimore, Maryland 21231.</w:t>
      </w:r>
    </w:p>
    <w:p>
      <w:pPr>
        <w:spacing w:after="0" w:line="207" w:lineRule="exact"/>
        <w:rPr>
          <w:rFonts w:ascii="Times New Roman" w:cs="Times New Roman" w:eastAsia="Times New Roman" w:hAnsi="Times New Roman"/>
          <w:sz w:val="18"/>
          <w:szCs w:val="18"/>
          <w:color w:val="auto"/>
        </w:rPr>
      </w:pPr>
    </w:p>
    <w:p>
      <w:pPr>
        <w:jc w:val="both"/>
        <w:ind w:left="500" w:hanging="492"/>
        <w:spacing w:after="0" w:line="272" w:lineRule="auto"/>
        <w:tabs>
          <w:tab w:leader="none" w:pos="46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13G/A filed on February 14, 2023, reporting beneficial ownership as of December 31, 2022. OrbiMed Capital LLC has sole voting power and sole dispositive power over all of these shares. Orbimed Advisors LLC has shares voting and dispositive power over 166,900 of these shares. The address for OrbiMed Capital LLC and Orbimed Advisors LLC is 601 Lexington Avenue, 54th Floor, New York, New York 10022.</w:t>
      </w:r>
    </w:p>
    <w:p>
      <w:pPr>
        <w:spacing w:after="0" w:line="185" w:lineRule="exact"/>
        <w:rPr>
          <w:rFonts w:ascii="Times New Roman" w:cs="Times New Roman" w:eastAsia="Times New Roman" w:hAnsi="Times New Roman"/>
          <w:sz w:val="17"/>
          <w:szCs w:val="17"/>
          <w:color w:val="auto"/>
        </w:rPr>
      </w:pPr>
    </w:p>
    <w:p>
      <w:pPr>
        <w:ind w:left="500" w:hanging="492"/>
        <w:spacing w:after="0" w:line="250" w:lineRule="auto"/>
        <w:tabs>
          <w:tab w:leader="none" w:pos="4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February 3, 2023, reporting beneficial ownership as of December 31, 2022. Blackrock, Inc. has sole voting power over 2,780,778 of these shares and sole dispositive power over 2,821,847 shares. The address for Blackrock, Inc. is 55 East 52nd Street, New York, New York 10055.</w:t>
      </w:r>
    </w:p>
    <w:p>
      <w:pPr>
        <w:sectPr>
          <w:pgSz w:w="11900" w:h="16838" w:orient="portrait"/>
          <w:cols w:equalWidth="0" w:num="1">
            <w:col w:w="11240"/>
          </w:cols>
          <w:pgMar w:left="320" w:top="995" w:right="339" w:bottom="115" w:gutter="0" w:footer="0" w:header="0"/>
        </w:sectPr>
      </w:pPr>
    </w:p>
    <w:bookmarkStart w:id="29" w:name="page30"/>
    <w:bookmarkEnd w:id="29"/>
    <w:p>
      <w:pPr>
        <w:jc w:val="both"/>
        <w:ind w:left="492" w:hanging="492"/>
        <w:spacing w:after="0" w:line="242" w:lineRule="auto"/>
        <w:tabs>
          <w:tab w:leader="none" w:pos="5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14, 2023, reporting beneficial ownership as of December 31, 2022. Each of First Light Asset Management, LLC (“First Light”) and Mathew P. Arens has shared voting and dispositive power over these shares. First Light may be deemed to be the beneficial owner of these shares because it acts as an investment adviser to certain private funds. Mr. Arens may also be deemed to be the beneficial owner of these shares because he controls First Light in his position as managing member and majority owner of First Light. The business office of each of First Light and Mr. Arens is 3300 Edinborough Way, Suite 201, Edina, MN 55435.</w:t>
      </w:r>
    </w:p>
    <w:p>
      <w:pPr>
        <w:spacing w:after="0" w:line="212" w:lineRule="exact"/>
        <w:rPr>
          <w:rFonts w:ascii="Times New Roman" w:cs="Times New Roman" w:eastAsia="Times New Roman" w:hAnsi="Times New Roman"/>
          <w:sz w:val="18"/>
          <w:szCs w:val="18"/>
          <w:color w:val="auto"/>
        </w:rPr>
      </w:pPr>
    </w:p>
    <w:p>
      <w:pPr>
        <w:ind w:left="492" w:hanging="492"/>
        <w:spacing w:after="0" w:line="242" w:lineRule="auto"/>
        <w:tabs>
          <w:tab w:leader="none" w:pos="4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13, 2023, reporting beneficial ownership as of December 31, 2022. Champlain Investment Partners, LLC has sole voting power over 1,330,120 of these shares and sole dispositive power over 1,743,355 shares. The address for Champlain Investment Partners, LLC is 180 Battery Street Burlington, Vermont 05401.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32"/>
          </w:cols>
          <w:pgMar w:left="328" w:top="10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15, 2023.</w:t>
      </w:r>
    </w:p>
    <w:p>
      <w:pPr>
        <w:spacing w:after="0" w:line="27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Laura A. Francis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8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Anshul Maheshwari</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Anthony J. Recupero</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Commercial Operations</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Ms. Francis’s biography, see “Proposal No. 1 – Election of Directors” above.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Anshul Maheshwari </w:t>
      </w:r>
      <w:r>
        <w:rPr>
          <w:rFonts w:ascii="Times New Roman" w:cs="Times New Roman" w:eastAsia="Times New Roman" w:hAnsi="Times New Roman"/>
          <w:sz w:val="18"/>
          <w:szCs w:val="18"/>
          <w:color w:val="auto"/>
        </w:rPr>
        <w:t>has served as our Chief Financial Officer since April 2021. Prior to joining us, Mr. Maheshwari was Vice President of Finance,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J. Recupero </w:t>
      </w:r>
      <w:r>
        <w:rPr>
          <w:rFonts w:ascii="Times New Roman" w:cs="Times New Roman" w:eastAsia="Times New Roman" w:hAnsi="Times New Roman"/>
          <w:sz w:val="18"/>
          <w:szCs w:val="18"/>
          <w:color w:val="auto"/>
        </w:rPr>
        <w:t>has served as our President, Commercial Operations since April 2021, and previously served as our Chief Commercial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99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Narrative</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material is intended to assist our stockholders in understanding our executive compensation program by providing an overview of our executive compensation-related policies, practices, and decisions for fiscal 2022. It also explains how we determined the material elements of compensation for our principal executive officer, our former principal executive officer, and our other two executive officers as of the end of fiscal 2022, and who we refer to as our “Named Executive Officers.” For 2022, our Named Executive Officers were:</w:t>
      </w:r>
    </w:p>
    <w:p>
      <w:pPr>
        <w:spacing w:after="0" w:line="219"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Laura Francis, our Chief Executive Officer (our “CEO”);</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Anshul Maheshwari, our Chief Financial Officer (our “CFO”); and</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Anthony Recupero, our President, Commercial Operations;</w:t>
      </w:r>
    </w:p>
    <w:p>
      <w:pPr>
        <w:spacing w:after="0" w:line="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“Compensation Committee”) and, in the case of our Chief Executive Officer, our Board of Directors after receiving the recommendation of our Compensation Committee, arrived at the specific compensation decisions for our Named Executive Officers in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In 2009, we introduced the iFuse Implant System for minimally invasive surgery of the SI joint, shown to be a source of pain in 15% to 30% of chronic low back pain. Since then, we have launched three new implant product lines to address sacroiliac joint dysfunction as well as address unmet clinical needs in pelvic fusion, fixation and management of pelvic fractures: iFuse-3D in 2017, iFuse-TORQ in 2021 and iFuse Bedrock Granite in 2022. A unique body of evidence supporting the triangular iFuse implant, including two randomized controlled trials and over 120 peer reviewed publications, has enabled multiple government and private insurance payors to establish coverage of the SI joint fusion procedure exclusively when performed with our triangular iFuse implant.</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Business Highlights</w:t>
      </w:r>
    </w:p>
    <w:p>
      <w:pPr>
        <w:spacing w:after="0" w:line="28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2022 was a strong year for the company in many critical areas of performance, including strong revenue growth, record growth in our active surgeon base and improving operating leverage.</w:t>
      </w:r>
    </w:p>
    <w:p>
      <w:pPr>
        <w:spacing w:after="0" w:line="20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Record worldwide revenue of $106.4 million, representing a 18% increase over 2021</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U.S. revenue of $98.8 million, representing a 19% increase over 2021</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Approximately 11,600 US procedures, representing a 24% increase over 2021, performed by over 1,300 surgeons</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920 active surgeons in the fourth quarter 2022, approximately 33% increase over the prior year period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Surpassed 80,000 procedures performed by over 3,000 surgeons worldwide, since inception</w:t>
      </w:r>
    </w:p>
    <w:p>
      <w:pPr>
        <w:spacing w:after="0" w:line="31" w:lineRule="exact"/>
        <w:rPr>
          <w:rFonts w:ascii="Times New Roman" w:cs="Times New Roman" w:eastAsia="Times New Roman" w:hAnsi="Times New Roman"/>
          <w:sz w:val="18"/>
          <w:szCs w:val="18"/>
          <w:color w:val="auto"/>
        </w:rPr>
      </w:pPr>
    </w:p>
    <w:p>
      <w:pPr>
        <w:ind w:left="660" w:hanging="328"/>
        <w:spacing w:after="0" w:line="266" w:lineRule="auto"/>
        <w:tabs>
          <w:tab w:leader="none" w:pos="64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Received FDA clearance for iFuse Bedrock Granite, a breakthrough device targeting adult deformity, including a New Technology Add-on Payment (NTAP)</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clearance for promotion of general rod compatibility for iFuse Bedrock Granite for adult deformity procedures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clearance for an expanded indication for iFuse-TORQ which includes fixation of pelvic fragility and sacral insufficiency fractures</w:t>
      </w:r>
    </w:p>
    <w:p>
      <w:pPr>
        <w:spacing w:after="0" w:line="22" w:lineRule="exact"/>
        <w:rPr>
          <w:rFonts w:ascii="Times New Roman" w:cs="Times New Roman" w:eastAsia="Times New Roman" w:hAnsi="Times New Roman"/>
          <w:sz w:val="18"/>
          <w:szCs w:val="18"/>
          <w:color w:val="auto"/>
        </w:rPr>
      </w:pPr>
    </w:p>
    <w:p>
      <w:pPr>
        <w:ind w:left="660" w:hanging="328"/>
        <w:spacing w:after="0" w:line="30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clearance for iFuse-TORQ to include the Bedrock approach, allowing the promotion of iFuse-TORQ to complement iFuse Bedrock Granite as a second point of fixation in the sacro-alar-iliac trajectory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Executive Compensation Highlights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approach to executive compensation in 2022 reflected our measured approach to attracting, retaining, and incentivizing key members of our management team, and aligning their interests with our stockholders. Our overall compensation program consists of three components: base salary, annual cash incentive bonus, and long-term equity incentive compensation. Following are highlights of key compensation actions that were taken with respect to our Named Executive Officers for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995" w:right="339" w:bottom="1440" w:gutter="0" w:footer="0" w:header="0"/>
        </w:sectPr>
      </w:pPr>
    </w:p>
    <w:bookmarkStart w:id="32" w:name="page33"/>
    <w:bookmarkEnd w:id="32"/>
    <w:p>
      <w:pPr>
        <w:ind w:left="660" w:right="340" w:hanging="328"/>
        <w:spacing w:after="0" w:line="242" w:lineRule="auto"/>
        <w:tabs>
          <w:tab w:leader="none" w:pos="648"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Base Salaries. </w:t>
      </w:r>
      <w:r>
        <w:rPr>
          <w:rFonts w:ascii="Times New Roman" w:cs="Times New Roman" w:eastAsia="Times New Roman" w:hAnsi="Times New Roman"/>
          <w:sz w:val="18"/>
          <w:szCs w:val="18"/>
          <w:color w:val="auto"/>
        </w:rPr>
        <w:t>We provided our Named Executive Officers with 6.5% increases in base salary at the beginning of 2022, as further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below.</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Annual Cash Bonuses. </w:t>
      </w:r>
      <w:r>
        <w:rPr>
          <w:rFonts w:ascii="Times New Roman" w:cs="Times New Roman" w:eastAsia="Times New Roman" w:hAnsi="Times New Roman"/>
          <w:sz w:val="18"/>
          <w:szCs w:val="18"/>
          <w:color w:val="auto"/>
        </w:rPr>
        <w:t>Our annual cash bonus program in 2022 was based on the achievement of financial goals – revenue and adjusted EBITDA</w:t>
      </w:r>
    </w:p>
    <w:p>
      <w:pPr>
        <w:jc w:val="both"/>
        <w:ind w:left="660"/>
        <w:spacing w:after="0" w:line="234" w:lineRule="auto"/>
        <w:rPr>
          <w:rFonts w:ascii="Arial" w:cs="Arial" w:eastAsia="Arial" w:hAnsi="Arial"/>
          <w:sz w:val="20"/>
          <w:szCs w:val="20"/>
          <w:color w:val="auto"/>
        </w:rPr>
      </w:pPr>
      <w:r>
        <w:rPr>
          <w:rFonts w:ascii="Times New Roman" w:cs="Times New Roman" w:eastAsia="Times New Roman" w:hAnsi="Times New Roman"/>
          <w:sz w:val="18"/>
          <w:szCs w:val="18"/>
          <w:color w:val="auto"/>
        </w:rPr>
        <w:t>– and operational metrics. Adjusted EBITDA excludes from net loss the effects of interest income, interest expense, depreciation and amortization and stock-based compensation. For 2022, our Compensation Committee made the determination to maintain the same annual cash incentive targets as a percentage of base salary for our Named Executive Officers that had been in place for 2021, except for Mr. Recupero, whose annual cash incentive target was increased from 70% to 75% of his annual base salary. Based on achievement against our 2022 targets, the actual cash incentive compensation payments made to our Named Executive Officers for 2022 represented 98.2% of their target cash bonus opportunities. Details of this program appear in “Annual Cash Bonuses” below.</w:t>
      </w:r>
    </w:p>
    <w:p>
      <w:pPr>
        <w:spacing w:after="0" w:line="238" w:lineRule="exact"/>
        <w:rPr>
          <w:rFonts w:ascii="Arial" w:cs="Arial" w:eastAsia="Arial" w:hAnsi="Arial"/>
          <w:sz w:val="20"/>
          <w:szCs w:val="20"/>
          <w:color w:val="auto"/>
        </w:rPr>
      </w:pPr>
    </w:p>
    <w:p>
      <w:pPr>
        <w:jc w:val="both"/>
        <w:ind w:left="660" w:hanging="328"/>
        <w:spacing w:after="0" w:line="236" w:lineRule="auto"/>
        <w:tabs>
          <w:tab w:leader="none" w:pos="648"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Long-Term Equity Incentive Compensation. </w:t>
      </w:r>
      <w:r>
        <w:rPr>
          <w:rFonts w:ascii="Times New Roman" w:cs="Times New Roman" w:eastAsia="Times New Roman" w:hAnsi="Times New Roman"/>
          <w:sz w:val="18"/>
          <w:szCs w:val="18"/>
          <w:color w:val="auto"/>
        </w:rPr>
        <w:t>For 2022, in addition to granting restricted stock units (RSU) to all NEOs, we adopted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 (PSU) program for Ms. Francis and Mr. Maheshwari. Ms. Francis’ 2022 equity grants are issued 50% as PSUs and 50% as RSUs; Mr. Maheshwari’s 2022 equity grants are issued 25% as PSUs and 75% as RSUs. RSU grants serve to align the interests of management and our stockholders and act as an important retention mechanism, and PSUs, which are based on SI-BONE’s total shareholder return relative to a group of industry peers, promote the achievement of long-term share price growth and relative outperformance. These programs are detailed in “Long-Term Incentive Compensation” below.</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 Engagement on Executive Compensation</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2022, we reached out to holders of 75.1% of our outstanding common stock, seeking to engage with them on executive compensation and other governance topics. We held discussions with holders of 53.9% of our outstanding common stock, including ten of our top 25 stockholders.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found these discussions to be extremely useful and received valuable feedback on our executive compensation program. Specific items of feedback relating to executive compensation that we heard through these engagements included:</w:t>
      </w:r>
    </w:p>
    <w:p>
      <w:pPr>
        <w:spacing w:after="0" w:line="216"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8"/>
          <w:szCs w:val="18"/>
          <w:color w:val="auto"/>
        </w:rPr>
        <w:t>An interest in detailed drivers of the annual bonus program</w:t>
      </w:r>
    </w:p>
    <w:p>
      <w:pPr>
        <w:spacing w:after="0" w:line="14" w:lineRule="exact"/>
        <w:rPr>
          <w:rFonts w:ascii="Arial" w:cs="Arial" w:eastAsia="Arial" w:hAnsi="Arial"/>
          <w:sz w:val="20"/>
          <w:szCs w:val="20"/>
          <w:color w:val="auto"/>
        </w:rPr>
      </w:pPr>
    </w:p>
    <w:p>
      <w:pPr>
        <w:ind w:left="660" w:right="120" w:hanging="328"/>
        <w:spacing w:after="0" w:line="231" w:lineRule="auto"/>
        <w:tabs>
          <w:tab w:leader="none" w:pos="64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8"/>
          <w:szCs w:val="18"/>
          <w:color w:val="auto"/>
        </w:rPr>
        <w:t>Acknowledgement of the continued alignment in our long-term incentive awards between the relative returns to our stockholders and the size and value of the equity awards granted to our Chief Executive Officer and Chief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this feedback, we took the following actions:</w:t>
      </w:r>
    </w:p>
    <w:p>
      <w:pPr>
        <w:spacing w:after="0" w:line="266" w:lineRule="exact"/>
        <w:rPr>
          <w:sz w:val="20"/>
          <w:szCs w:val="20"/>
          <w:color w:val="auto"/>
        </w:rPr>
      </w:pPr>
    </w:p>
    <w:p>
      <w:pPr>
        <w:ind w:left="660" w:right="80" w:hanging="328"/>
        <w:spacing w:after="0" w:line="232" w:lineRule="auto"/>
        <w:tabs>
          <w:tab w:leader="none" w:pos="64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We are providing additional detail in this proxy statement on the operation of the 2022 annual bonus program and the factors in the Compensation Committee’s determination of achievement levels.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continue to initiate dialog with our stockholders on executive compensation and other governance topics. In addition, we welcome stockholder communication with the Board through the channels set forth in this proxy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Pay-for-Performance Alignment</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and competitive, and appropriately balances the goals of attracting, motivating, and retaining a talented leadership team and appropriately rewarding them for their contributions to the business. To ensure our executive officers’ interests are aligned with those of our stockholders, a significant portion of their target total direct cash compensation opportunity each year is “at-risk” and will vary above or below target levels commensurate with our corporate and financial performance. In addition, for 2022, our Named Executive Officers received a substantial amount of equity compensation in the form of RSUs and, for our CEO and CFO, PSUs that further strengthen their long-term alignment with the interests of our stockholders.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emphasize at-risk compensation that appropriately rewards our executive officers for delivering financial, operational, and strategic results tied to pre-established goals. In addition, our variable programs provide the opportunity for more significant rewards for exceeding these goals, through our cash bonus plan as well as equity awards. The following charts illustrate the pay mix for our Chief Executive Officer and our other Named Executive Officers in 2022: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781"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500380</wp:posOffset>
            </wp:positionV>
            <wp:extent cx="4183380" cy="5580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83380"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percentages in the charts above represent the target compensation for our CEO and the average target compensation for our other Named Executive Officers for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i w:val="1"/>
          <w:iCs w:val="1"/>
          <w:color w:val="auto"/>
        </w:rPr>
        <w:t>Governance Policies and Practices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2022,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36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80" w:type="dxa"/>
            <w:vAlign w:val="bottom"/>
            <w:shd w:val="clear" w:color="auto" w:fill="44546A"/>
          </w:tcPr>
          <w:p>
            <w:pPr>
              <w:spacing w:after="0"/>
              <w:rPr>
                <w:sz w:val="19"/>
                <w:szCs w:val="19"/>
                <w:color w:val="auto"/>
              </w:rPr>
            </w:pPr>
          </w:p>
        </w:tc>
        <w:tc>
          <w:tcPr>
            <w:tcW w:w="4640" w:type="dxa"/>
            <w:vAlign w:val="bottom"/>
            <w:shd w:val="clear" w:color="auto" w:fill="44546A"/>
          </w:tcPr>
          <w:p>
            <w:pPr>
              <w:ind w:left="188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260" w:type="dxa"/>
            <w:vAlign w:val="bottom"/>
            <w:shd w:val="clear" w:color="auto" w:fill="44546A"/>
          </w:tcPr>
          <w:p>
            <w:pPr>
              <w:spacing w:after="0"/>
              <w:rPr>
                <w:sz w:val="19"/>
                <w:szCs w:val="19"/>
                <w:color w:val="auto"/>
              </w:rPr>
            </w:pPr>
          </w:p>
        </w:tc>
        <w:tc>
          <w:tcPr>
            <w:tcW w:w="4440" w:type="dxa"/>
            <w:vAlign w:val="bottom"/>
            <w:shd w:val="clear" w:color="auto" w:fill="44546A"/>
          </w:tcPr>
          <w:p>
            <w:pPr>
              <w:ind w:left="1520"/>
              <w:spacing w:after="0"/>
              <w:rPr>
                <w:sz w:val="20"/>
                <w:szCs w:val="20"/>
                <w:color w:val="auto"/>
              </w:rPr>
            </w:pPr>
            <w:r>
              <w:rPr>
                <w:rFonts w:ascii="Times New Roman" w:cs="Times New Roman" w:eastAsia="Times New Roman" w:hAnsi="Times New Roman"/>
                <w:sz w:val="18"/>
                <w:szCs w:val="18"/>
                <w:b w:val="1"/>
                <w:bCs w:val="1"/>
                <w:color w:val="FFFFFF"/>
              </w:rPr>
              <w:t>What We Don’t Do</w:t>
            </w:r>
          </w:p>
        </w:tc>
      </w:tr>
      <w:tr>
        <w:trPr>
          <w:trHeight w:val="176"/>
        </w:trPr>
        <w:tc>
          <w:tcPr>
            <w:tcW w:w="280" w:type="dxa"/>
            <w:vAlign w:val="bottom"/>
          </w:tcPr>
          <w:p>
            <w:pPr>
              <w:ind w:left="20"/>
              <w:spacing w:after="0" w:line="175"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Actively engage in year-round dialogue with our stockholders</w:t>
            </w:r>
          </w:p>
        </w:tc>
        <w:tc>
          <w:tcPr>
            <w:tcW w:w="260" w:type="dxa"/>
            <w:vAlign w:val="bottom"/>
          </w:tcPr>
          <w:p>
            <w:pPr>
              <w:jc w:val="right"/>
              <w:ind w:right="10"/>
              <w:spacing w:after="0" w:line="175"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No pension plans or Supplemental Executive Retirement</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incorporate feedback into our compensation programs</w:t>
            </w:r>
          </w:p>
        </w:tc>
        <w:tc>
          <w:tcPr>
            <w:tcW w:w="26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r>
      <w:tr>
        <w:trPr>
          <w:trHeight w:val="198"/>
        </w:trPr>
        <w:tc>
          <w:tcPr>
            <w:tcW w:w="2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r>
      <w:tr>
        <w:trPr>
          <w:trHeight w:val="169"/>
        </w:trPr>
        <w:tc>
          <w:tcPr>
            <w:tcW w:w="280" w:type="dxa"/>
            <w:vAlign w:val="bottom"/>
          </w:tcPr>
          <w:p>
            <w:pPr>
              <w:ind w:left="20"/>
              <w:spacing w:after="0" w:line="169"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Significant portion of compensation for Named Executive</w:t>
            </w:r>
          </w:p>
        </w:tc>
        <w:tc>
          <w:tcPr>
            <w:tcW w:w="260" w:type="dxa"/>
            <w:vAlign w:val="bottom"/>
          </w:tcPr>
          <w:p>
            <w:pPr>
              <w:jc w:val="right"/>
              <w:ind w:right="10"/>
              <w:spacing w:after="0" w:line="169"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No hedging or pledging of our securities</w:t>
            </w:r>
          </w:p>
        </w:tc>
      </w:tr>
      <w:tr>
        <w:trPr>
          <w:trHeight w:val="176"/>
        </w:trPr>
        <w:tc>
          <w:tcPr>
            <w:tcW w:w="280" w:type="dxa"/>
            <w:vAlign w:val="bottom"/>
          </w:tcPr>
          <w:p>
            <w:pPr>
              <w:spacing w:after="0"/>
              <w:rPr>
                <w:sz w:val="15"/>
                <w:szCs w:val="15"/>
                <w:color w:val="auto"/>
              </w:rPr>
            </w:pPr>
          </w:p>
        </w:tc>
        <w:tc>
          <w:tcPr>
            <w:tcW w:w="46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Officers is at risk, based on both company performance</w:t>
            </w:r>
          </w:p>
        </w:tc>
        <w:tc>
          <w:tcPr>
            <w:tcW w:w="26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239"/>
        </w:trPr>
        <w:tc>
          <w:tcPr>
            <w:tcW w:w="2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(financial &amp; stock price) and the individual’s performance</w:t>
            </w:r>
          </w:p>
        </w:tc>
        <w:tc>
          <w:tcPr>
            <w:tcW w:w="2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r>
      <w:tr>
        <w:trPr>
          <w:trHeight w:val="173"/>
        </w:trPr>
        <w:tc>
          <w:tcPr>
            <w:tcW w:w="280" w:type="dxa"/>
            <w:vAlign w:val="bottom"/>
          </w:tcPr>
          <w:p>
            <w:pPr>
              <w:ind w:left="20"/>
              <w:spacing w:after="0" w:line="174" w:lineRule="exact"/>
              <w:rPr>
                <w:sz w:val="20"/>
                <w:szCs w:val="20"/>
                <w:color w:val="auto"/>
              </w:rPr>
            </w:pPr>
            <w:r>
              <w:rPr>
                <w:rFonts w:ascii="Wingdings" w:cs="Wingdings" w:eastAsia="Wingdings" w:hAnsi="Wingdings"/>
                <w:sz w:val="18"/>
                <w:szCs w:val="18"/>
                <w:b w:val="1"/>
                <w:bCs w:val="1"/>
                <w:color w:val="auto"/>
              </w:rPr>
              <w:t>ü</w:t>
            </w:r>
          </w:p>
        </w:tc>
        <w:tc>
          <w:tcPr>
            <w:tcW w:w="4900" w:type="dxa"/>
            <w:vAlign w:val="bottom"/>
            <w:gridSpan w:val="2"/>
          </w:tcPr>
          <w:p>
            <w:pPr>
              <w:jc w:val="right"/>
              <w:ind w:right="10"/>
              <w:spacing w:after="0" w:line="173" w:lineRule="exact"/>
              <w:rPr>
                <w:sz w:val="20"/>
                <w:szCs w:val="20"/>
                <w:color w:val="auto"/>
              </w:rPr>
            </w:pPr>
            <w:r>
              <w:rPr>
                <w:rFonts w:ascii="Times New Roman" w:cs="Times New Roman" w:eastAsia="Times New Roman" w:hAnsi="Times New Roman"/>
                <w:sz w:val="18"/>
                <w:szCs w:val="18"/>
                <w:color w:val="auto"/>
              </w:rPr>
              <w:t xml:space="preserve">Provide compensation mix that more heavily weights variable </w:t>
            </w:r>
            <w:r>
              <w:rPr>
                <w:rFonts w:ascii="Wingdings" w:cs="Wingdings" w:eastAsia="Wingdings" w:hAnsi="Wingdings"/>
                <w:sz w:val="18"/>
                <w:szCs w:val="18"/>
                <w:b w:val="1"/>
                <w:bCs w:val="1"/>
                <w:color w:val="auto"/>
              </w:rPr>
              <w:t>û</w:t>
            </w:r>
          </w:p>
        </w:tc>
        <w:tc>
          <w:tcPr>
            <w:tcW w:w="4440" w:type="dxa"/>
            <w:vAlign w:val="bottom"/>
          </w:tcPr>
          <w:p>
            <w:pPr>
              <w:ind w:left="100"/>
              <w:spacing w:after="0" w:line="173" w:lineRule="exact"/>
              <w:rPr>
                <w:sz w:val="20"/>
                <w:szCs w:val="20"/>
                <w:color w:val="auto"/>
              </w:rPr>
            </w:pPr>
            <w:r>
              <w:rPr>
                <w:rFonts w:ascii="Times New Roman" w:cs="Times New Roman" w:eastAsia="Times New Roman" w:hAnsi="Times New Roman"/>
                <w:sz w:val="18"/>
                <w:szCs w:val="18"/>
                <w:color w:val="auto"/>
              </w:rPr>
              <w:t>No excise tax gross-ups upon a change of control</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 and long-term equity</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98"/>
        </w:trPr>
        <w:tc>
          <w:tcPr>
            <w:tcW w:w="2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r>
      <w:tr>
        <w:trPr>
          <w:trHeight w:val="169"/>
        </w:trPr>
        <w:tc>
          <w:tcPr>
            <w:tcW w:w="280" w:type="dxa"/>
            <w:vAlign w:val="bottom"/>
          </w:tcPr>
          <w:p>
            <w:pPr>
              <w:ind w:left="20"/>
              <w:spacing w:after="0" w:line="169"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Stock ownership requirements apply to all Named Executive</w:t>
            </w:r>
          </w:p>
        </w:tc>
        <w:tc>
          <w:tcPr>
            <w:tcW w:w="260" w:type="dxa"/>
            <w:vAlign w:val="bottom"/>
          </w:tcPr>
          <w:p>
            <w:pPr>
              <w:jc w:val="right"/>
              <w:ind w:right="10"/>
              <w:spacing w:after="0" w:line="169"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No significant perquisites to our Named Executive Officers</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and directors</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125730</wp:posOffset>
            </wp:positionV>
            <wp:extent cx="610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p>
      <w:pPr>
        <w:spacing w:after="0" w:line="206" w:lineRule="exact"/>
        <w:rPr>
          <w:sz w:val="20"/>
          <w:szCs w:val="20"/>
          <w:color w:val="auto"/>
        </w:rPr>
      </w:pPr>
    </w:p>
    <w:p>
      <w:pPr>
        <w:ind w:left="1520" w:right="54" w:hanging="360"/>
        <w:spacing w:after="0" w:line="237" w:lineRule="auto"/>
        <w:tabs>
          <w:tab w:leader="none" w:pos="1520" w:val="left"/>
        </w:tabs>
        <w:numPr>
          <w:ilvl w:val="0"/>
          <w:numId w:val="3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An independent compensation consultant advises the Compensation Committee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06" w:right="1260" w:hanging="306"/>
        <w:spacing w:after="0" w:line="237" w:lineRule="auto"/>
        <w:tabs>
          <w:tab w:leader="none" w:pos="306" w:val="left"/>
        </w:tabs>
        <w:numPr>
          <w:ilvl w:val="0"/>
          <w:numId w:val="3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single-trigger equity acceleration or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129540</wp:posOffset>
            </wp:positionV>
            <wp:extent cx="6103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94" w:space="720"/>
            <w:col w:w="5126"/>
          </w:cols>
          <w:pgMar w:left="320" w:top="781" w:right="339" w:bottom="1440" w:gutter="0" w:footer="0" w:header="0"/>
          <w:type w:val="continuous"/>
        </w:sectPr>
      </w:pPr>
    </w:p>
    <w:p>
      <w:pPr>
        <w:spacing w:after="0" w:line="12" w:lineRule="exact"/>
        <w:rPr>
          <w:sz w:val="20"/>
          <w:szCs w:val="20"/>
          <w:color w:val="auto"/>
        </w:rPr>
      </w:pPr>
    </w:p>
    <w:p>
      <w:pPr>
        <w:ind w:left="1520" w:right="5300" w:hanging="360"/>
        <w:spacing w:after="0" w:line="237" w:lineRule="auto"/>
        <w:tabs>
          <w:tab w:leader="none" w:pos="1520" w:val="left"/>
        </w:tabs>
        <w:numPr>
          <w:ilvl w:val="0"/>
          <w:numId w:val="3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Annually assess the risk-reward balance of our compensation programs in order to mitigate undue risks in our programs</w:t>
      </w:r>
    </w:p>
    <w:p>
      <w:pPr>
        <w:spacing w:after="0" w:line="212" w:lineRule="exact"/>
        <w:rPr>
          <w:rFonts w:ascii="Wingdings" w:cs="Wingdings" w:eastAsia="Wingdings" w:hAnsi="Wingdings"/>
          <w:sz w:val="18"/>
          <w:szCs w:val="18"/>
          <w:b w:val="1"/>
          <w:bCs w:val="1"/>
          <w:color w:val="auto"/>
        </w:rPr>
      </w:pPr>
    </w:p>
    <w:p>
      <w:pPr>
        <w:ind w:left="1520" w:hanging="360"/>
        <w:spacing w:after="0"/>
        <w:tabs>
          <w:tab w:leader="none" w:pos="1520" w:val="left"/>
        </w:tabs>
        <w:numPr>
          <w:ilvl w:val="0"/>
          <w:numId w:val="3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Maintain a fully independent Compensation Committee</w:t>
      </w:r>
    </w:p>
    <w:p>
      <w:pPr>
        <w:spacing w:after="0" w:line="36" w:lineRule="exact"/>
        <w:rPr>
          <w:rFonts w:ascii="Wingdings" w:cs="Wingdings" w:eastAsia="Wingdings" w:hAnsi="Wingdings"/>
          <w:sz w:val="18"/>
          <w:szCs w:val="18"/>
          <w:b w:val="1"/>
          <w:bCs w:val="1"/>
          <w:color w:val="auto"/>
        </w:rPr>
      </w:pPr>
    </w:p>
    <w:p>
      <w:pPr>
        <w:ind w:left="1520" w:right="5460" w:hanging="360"/>
        <w:spacing w:after="0" w:line="237" w:lineRule="auto"/>
        <w:tabs>
          <w:tab w:leader="none" w:pos="1520" w:val="left"/>
        </w:tabs>
        <w:numPr>
          <w:ilvl w:val="0"/>
          <w:numId w:val="3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We have adopted a clawback policy that provides for the recoupment of incentive compensation in certain situations</w:t>
      </w:r>
    </w:p>
    <w:p>
      <w:pPr>
        <w:spacing w:after="0" w:line="23" w:lineRule="exact"/>
        <w:rPr>
          <w:rFonts w:ascii="Wingdings" w:cs="Wingdings" w:eastAsia="Wingdings" w:hAnsi="Wingdings"/>
          <w:sz w:val="18"/>
          <w:szCs w:val="18"/>
          <w:b w:val="1"/>
          <w:bCs w:val="1"/>
          <w:color w:val="auto"/>
        </w:rPr>
      </w:pPr>
    </w:p>
    <w:p>
      <w:pPr>
        <w:ind w:left="1520" w:hanging="360"/>
        <w:spacing w:after="0"/>
        <w:tabs>
          <w:tab w:leader="none" w:pos="1520" w:val="left"/>
        </w:tabs>
        <w:numPr>
          <w:ilvl w:val="0"/>
          <w:numId w:val="3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Our Board maintains a robust succession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103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6103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-410845</wp:posOffset>
            </wp:positionV>
            <wp:extent cx="6103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-565150</wp:posOffset>
            </wp:positionV>
            <wp:extent cx="6103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2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grow, the Compensation Committee evaluates our compensation philosophy and program objectives as circumstances require. At a minimum, the Compensation Committee reviews executive compensation annually.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78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Say-on-Pay Vote Results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our Annual Meeting of stockholders in June 2022, our stockholders had the opportunity to cast an annual advisory vote on the compensation of our Named Executive Officers (commonly known as a “say-on-pay” vote). Approximately 96% of the votes cast on the proposal approved, on an advisory basis, the compensation of our Named Executive Officers as disclosed in last year's proxy statement. Although the vote is non-binding, our Compensation Committee considers the results of the say-on-pay vote when making compensation decisions, allowing our stockholders to provide input on our compensation philosophy, policies and practices. The Compensation Committee believes that our voting results reflect the company's efforts to properly align pay with performance while also aligning management and stockholder interests. We value the opinions of our stockholders, and our Compensation Committee and Board of Directors will continue to consider the outcome of future advisory votes, including the say-on-pay vote which will take place at the Annual Meeting, when making compensation decisions for the Named Executive Officers.</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our Company website at investor.si-bone.com/corporate-governance/governance-highlights.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(recommends to our Board of Directors in the case of our CEO) the compensation of our Named Executive Officers, it relies on its compensation consultant and legal counsel, as well as members of our management team, including our CEO with respect to Named Executive Officers other than herself. The Compensation Committee makes all final decisions regarding compensation (other than with respect to our CEO, which our Board of Directors determines after receiving the recommendation of our Compensation Committee), including base salary levels, target annual cash bonus opportunities, actual cash bonus payments, and long-term incentives in the form of equity awards. The Compensation Committee meets on a regularly scheduled basis and at other times as needed. The Compensation Committee periodically reviews compensation matters with our Board of Directors.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our executive compensation program, including any incentive compensation plans and arrangements, to assess whether our compensation elements, actions, and decisions (i) are properly coordinated, (ii) are aligned with our mission, vision,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Named Executive Officers for 2022 (or recommending to the Board in the case of our CEO) included:</w:t>
      </w:r>
    </w:p>
    <w:p>
      <w:pPr>
        <w:spacing w:after="0" w:line="21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her own compensation) as described below;</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265"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Named Executive Officer against his or her management objectives;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Named Executive Officer;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752" w:right="339" w:bottom="1440" w:gutter="0" w:footer="0" w:header="0"/>
        </w:sectPr>
      </w:pPr>
    </w:p>
    <w:bookmarkStart w:id="36" w:name="page37"/>
    <w:bookmarkEnd w:id="36"/>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recommending to the Board her base salary adjustments, target annual cash bonus opportunities, actual cash bonus payments, and long-term incentives in the form of equity awards. Our CEO is not present during any of the deliberations regarding her compensation, and no Named Executive Officer is present during any deliberations regarding their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Our CEO</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her.</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Named Executive Officers for the previous year, and then shares these evaluations with, and makes recommendations to, the Compensation Committee for each element of compensation. Using her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herself)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2022,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2022 were as follows:</w:t>
      </w:r>
    </w:p>
    <w:p>
      <w:pPr>
        <w:spacing w:after="0" w:line="231"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18"/>
          <w:szCs w:val="18"/>
          <w:color w:val="auto"/>
        </w:rPr>
        <w:t>Reviewed and updated the compensation peer group;</w:t>
      </w:r>
    </w:p>
    <w:p>
      <w:pPr>
        <w:spacing w:after="0" w:line="14" w:lineRule="exact"/>
        <w:rPr>
          <w:rFonts w:ascii="Arial" w:cs="Arial" w:eastAsia="Arial" w:hAnsi="Arial"/>
          <w:sz w:val="20"/>
          <w:szCs w:val="20"/>
          <w:color w:val="auto"/>
        </w:rPr>
      </w:pPr>
    </w:p>
    <w:p>
      <w:pPr>
        <w:ind w:left="660" w:right="140" w:hanging="328"/>
        <w:spacing w:after="0" w:line="231" w:lineRule="auto"/>
        <w:tabs>
          <w:tab w:leader="none" w:pos="64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18"/>
          <w:szCs w:val="18"/>
          <w:color w:val="auto"/>
        </w:rPr>
        <w:t>Provided advice with respect to compensation best practices and market trends for compensation of executive officers and members of our Board of Directors;</w:t>
      </w:r>
    </w:p>
    <w:p>
      <w:pPr>
        <w:spacing w:after="0" w:line="1" w:lineRule="exact"/>
        <w:rPr>
          <w:rFonts w:ascii="Arial" w:cs="Arial" w:eastAsia="Arial" w:hAnsi="Arial"/>
          <w:sz w:val="20"/>
          <w:szCs w:val="20"/>
          <w:color w:val="auto"/>
        </w:rPr>
      </w:pPr>
    </w:p>
    <w:p>
      <w:pPr>
        <w:ind w:left="660" w:right="420" w:hanging="328"/>
        <w:spacing w:after="0" w:line="237" w:lineRule="auto"/>
        <w:tabs>
          <w:tab w:leader="none" w:pos="64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18"/>
          <w:szCs w:val="18"/>
          <w:color w:val="auto"/>
        </w:rPr>
        <w:t>Conducted an analysis of the levels of overall compensation and each element of compensation for our Named Executive Officers and for the members of our Board of Directors; and</w:t>
      </w:r>
    </w:p>
    <w:p>
      <w:pPr>
        <w:ind w:left="640" w:hanging="308"/>
        <w:spacing w:after="0" w:line="225" w:lineRule="auto"/>
        <w:tabs>
          <w:tab w:leader="none" w:pos="6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18"/>
          <w:szCs w:val="18"/>
          <w:color w:val="auto"/>
        </w:rPr>
        <w:t>Provided ad hoc advice and support on compensation and governance topics throughout the year.</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Representatives of Compensia attend meetings of the Compensation Committee as requested and also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2022,</w:t>
      </w:r>
    </w:p>
    <w:p>
      <w:pPr>
        <w:sectPr>
          <w:pgSz w:w="11900" w:h="16838" w:orient="portrait"/>
          <w:cols w:equalWidth="0" w:num="1">
            <w:col w:w="11240"/>
          </w:cols>
          <w:pgMar w:left="320" w:top="783" w:right="339"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78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Compensia met with various executive officers to collect data and obtain management’s perspective on various executive compensation proposals.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may replace its compensation consultant or hire additional advisors at any time. Compensia has not provided any other services to us and has received no compensation other than with respect to the services described above.</w:t>
      </w:r>
    </w:p>
    <w:p>
      <w:pPr>
        <w:spacing w:after="0" w:line="18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Competitive Positioning</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Given our unique business profile, history, and market competitors, the Compensation Committee believes that the competitive market for executive talent includes primarily medical device and equipment companies and, to a lesser extent, the broader healthcare sector. Accordingly, it develops a 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public medical device, technology, and life sciences companies that are of similar size to SI-BONE, as well as market trends and best practices in executive compensation and the judgment of the Compensation Committee members. Other important factors taken into consideration when determining executive pay levels include employee knowledge, skills and experience; individual performance; scope of responsibilities; and any retention concerns.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Compensation Peer Group</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2021, the Compensation Committee, with the assistance of Compensia, approved of the following target criteria for determining the composition of our peer group for purposes of evaluating the compensation of our named executive officers for 2022.</w:t>
      </w:r>
    </w:p>
    <w:p>
      <w:pPr>
        <w:spacing w:after="0" w:line="216"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Revenue: 0.4x to 2.5x our revenue</w:t>
      </w:r>
    </w:p>
    <w:p>
      <w:pPr>
        <w:spacing w:after="0" w:line="14"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Market capitalization: 0.25x to 4.0x our market capitalization</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Industry: medical device and equipment</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Location: public companies headquartered in the United States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17 companies were selected by the Compensation Committee as the defined peer group for purposes of 2022 executive compensation decisions:</w:t>
      </w:r>
    </w:p>
    <w:p>
      <w:pPr>
        <w:spacing w:after="0" w:line="338"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Alphatec Holdings</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Eargo</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SeaSpine Holdings</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Apyx Medical</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Intersect ENT</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ShockWave Medical</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AxoGen</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LeMaitre Vascular</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Silk Road Medical</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Cerus</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Misonix, Inc.</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ViewRay</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ConforMIS</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NeuroPace</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Zynex</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Cutera</w:t>
            </w:r>
          </w:p>
        </w:tc>
        <w:tc>
          <w:tcPr>
            <w:tcW w:w="3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OrthoPediatrics</w:t>
            </w:r>
          </w:p>
        </w:tc>
        <w:tc>
          <w:tcPr>
            <w:tcW w:w="2440" w:type="dxa"/>
            <w:vAlign w:val="bottom"/>
          </w:tcPr>
          <w:p>
            <w:pPr>
              <w:spacing w:after="0"/>
              <w:rPr>
                <w:sz w:val="20"/>
                <w:szCs w:val="20"/>
                <w:color w:val="auto"/>
              </w:rPr>
            </w:pPr>
          </w:p>
        </w:tc>
      </w:tr>
    </w:tbl>
    <w:p>
      <w:pPr>
        <w:spacing w:after="0" w:line="3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companies in this compensation peer group were the same companies as in our peer group for 2021, except that GenMark Diagnostics was removed because it was acquired, and Conformis, Eargo, and NeuroPace were added to the peer group.</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7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56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620" w:type="dxa"/>
            <w:vAlign w:val="bottom"/>
            <w:tcBorders>
              <w:top w:val="single" w:sz="8" w:color="auto"/>
              <w:bottom w:val="single" w:sz="8" w:color="auto"/>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What This Element Rewards</w:t>
            </w:r>
          </w:p>
        </w:tc>
        <w:tc>
          <w:tcPr>
            <w:tcW w:w="3640" w:type="dxa"/>
            <w:vAlign w:val="bottom"/>
            <w:tcBorders>
              <w:top w:val="single" w:sz="8" w:color="auto"/>
              <w:bottom w:val="single" w:sz="8" w:color="auto"/>
              <w:right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Purpose and Key Features of Element</w:t>
            </w:r>
          </w:p>
        </w:tc>
      </w:tr>
      <w:tr>
        <w:trPr>
          <w:trHeight w:val="198"/>
        </w:trPr>
        <w:tc>
          <w:tcPr>
            <w:tcW w:w="356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Base salary</w:t>
            </w:r>
          </w:p>
        </w:tc>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Individual  performance,  level</w:t>
            </w:r>
          </w:p>
        </w:tc>
        <w:tc>
          <w:tcPr>
            <w:tcW w:w="11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of  experience,</w:t>
            </w:r>
          </w:p>
        </w:tc>
        <w:tc>
          <w:tcPr>
            <w:tcW w:w="3640" w:type="dxa"/>
            <w:vAlign w:val="bottom"/>
            <w:tcBorders>
              <w:right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36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64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1460" w:type="dxa"/>
            <w:vAlign w:val="bottom"/>
            <w:tcBorders>
              <w:right w:val="single" w:sz="8" w:color="auto"/>
            </w:tcBorders>
          </w:tcPr>
          <w:p>
            <w:pPr>
              <w:spacing w:after="0"/>
              <w:rPr>
                <w:sz w:val="20"/>
                <w:szCs w:val="20"/>
                <w:color w:val="auto"/>
              </w:rPr>
            </w:pP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gridSpan w:val="3"/>
          </w:tcPr>
          <w:p>
            <w:pPr>
              <w:spacing w:after="0"/>
              <w:rPr>
                <w:sz w:val="3"/>
                <w:szCs w:val="3"/>
                <w:color w:val="auto"/>
              </w:rPr>
            </w:pPr>
          </w:p>
        </w:tc>
      </w:tr>
      <w:tr>
        <w:trPr>
          <w:trHeight w:val="191"/>
        </w:trPr>
        <w:tc>
          <w:tcPr>
            <w:tcW w:w="35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Annual cash bonuses</w:t>
            </w:r>
          </w:p>
        </w:tc>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Achievement of pre-established</w:t>
            </w:r>
          </w:p>
        </w:tc>
        <w:tc>
          <w:tcPr>
            <w:tcW w:w="11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corporate and</w:t>
            </w:r>
          </w:p>
        </w:tc>
        <w:tc>
          <w:tcPr>
            <w:tcW w:w="364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Motivate executive officers to achieve or exceed</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36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individual performance objectives for 2022</w:t>
            </w:r>
          </w:p>
        </w:tc>
        <w:tc>
          <w:tcPr>
            <w:tcW w:w="364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our corporate and financial short-term goals that</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are aligned with stockholders' interests</w:t>
            </w: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3640" w:type="dxa"/>
            <w:vAlign w:val="bottom"/>
            <w:tcBorders>
              <w:bottom w:val="single" w:sz="8" w:color="auto"/>
              <w:right w:val="single" w:sz="8" w:color="auto"/>
            </w:tcBorders>
            <w:gridSpan w:val="3"/>
          </w:tcPr>
          <w:p>
            <w:pPr>
              <w:spacing w:after="0"/>
              <w:rPr>
                <w:sz w:val="3"/>
                <w:szCs w:val="3"/>
                <w:color w:val="auto"/>
              </w:rPr>
            </w:pPr>
          </w:p>
        </w:tc>
      </w:tr>
      <w:tr>
        <w:trPr>
          <w:trHeight w:val="191"/>
        </w:trPr>
        <w:tc>
          <w:tcPr>
            <w:tcW w:w="35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62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Achievement of corporate objectives designed to</w:t>
            </w:r>
          </w:p>
        </w:tc>
        <w:tc>
          <w:tcPr>
            <w:tcW w:w="364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Annual equity awards that provide a variable “at</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36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enhance long-term stockholder value and attract,</w:t>
            </w:r>
          </w:p>
        </w:tc>
        <w:tc>
          <w:tcPr>
            <w:tcW w:w="364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risk” pay opportunity. RSUs vest over four years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retain, motivate, and reward executive officers</w:t>
            </w:r>
          </w:p>
        </w:tc>
        <w:tc>
          <w:tcPr>
            <w:tcW w:w="1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and  PSUs  vest  over</w:t>
            </w:r>
          </w:p>
        </w:tc>
        <w:tc>
          <w:tcPr>
            <w:tcW w:w="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w w:val="94"/>
              </w:rPr>
              <w:t>three</w:t>
            </w:r>
          </w:p>
        </w:tc>
        <w:tc>
          <w:tcPr>
            <w:tcW w:w="1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years  subject  to</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over extended periods for achieving important</w:t>
            </w:r>
          </w:p>
        </w:tc>
        <w:tc>
          <w:tcPr>
            <w:tcW w:w="1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meeting  established</w:t>
            </w:r>
          </w:p>
        </w:tc>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shareholder  return</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corporate objectives</w:t>
            </w:r>
          </w:p>
        </w:tc>
        <w:tc>
          <w:tcPr>
            <w:tcW w:w="1180" w:type="dxa"/>
            <w:vAlign w:val="bottom"/>
            <w:tcBorders>
              <w:right w:val="single" w:sz="8" w:color="auto"/>
            </w:tcBorders>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("TSR") performance criteria.</w:t>
            </w:r>
          </w:p>
        </w:tc>
        <w:tc>
          <w:tcPr>
            <w:tcW w:w="1460" w:type="dxa"/>
            <w:vAlign w:val="bottom"/>
            <w:tcBorders>
              <w:right w:val="single" w:sz="8" w:color="auto"/>
            </w:tcBorders>
          </w:tcPr>
          <w:p>
            <w:pPr>
              <w:spacing w:after="0"/>
              <w:rPr>
                <w:sz w:val="20"/>
                <w:szCs w:val="20"/>
                <w:color w:val="auto"/>
              </w:rPr>
            </w:pPr>
          </w:p>
        </w:tc>
      </w:tr>
      <w:tr>
        <w:trPr>
          <w:trHeight w:val="414"/>
        </w:trPr>
        <w:tc>
          <w:tcPr>
            <w:tcW w:w="3560" w:type="dxa"/>
            <w:vAlign w:val="bottom"/>
            <w:tcBorders>
              <w:left w:val="single" w:sz="8" w:color="auto"/>
              <w:right w:val="single" w:sz="8" w:color="auto"/>
            </w:tcBorders>
          </w:tcPr>
          <w:p>
            <w:pPr>
              <w:spacing w:after="0"/>
              <w:rPr>
                <w:sz w:val="24"/>
                <w:szCs w:val="24"/>
                <w:color w:val="auto"/>
              </w:rPr>
            </w:pPr>
          </w:p>
        </w:tc>
        <w:tc>
          <w:tcPr>
            <w:tcW w:w="3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Vesting requirements promote retention of highly</w:t>
            </w:r>
          </w:p>
        </w:tc>
        <w:tc>
          <w:tcPr>
            <w:tcW w:w="36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Because the ultimate value of these equity awards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valued executive officers</w:t>
            </w: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over  an  extended  period  of  time  subject  to</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vesting, they serve to focus management on the</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creation   and   maintenance   of   long-term</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value</w:t>
            </w: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r>
      <w:tr>
        <w:trPr>
          <w:trHeight w:val="270"/>
        </w:trPr>
        <w:tc>
          <w:tcPr>
            <w:tcW w:w="356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Named Executive Officers in 2022 under each of these elements.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Generally, we establish the initial base salaries of our Named Executive Officers through arm’s-length negotiation at the time we hire the individual executive officer, taking into account his or her position, qualifications, experience, and the base salaries of our other executive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Named Executive Officers annually and makes adjustments to base salaries (recommends to our Board of Directors in the case of our CEO) as it determines to be necessary or appropriate.</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2022, the Compensation Committee reviewed the base salaries of our executive officers, taking into consideration a competitive market analysis performed by Compensia and the recommendations of our CEO (except with respect to her own base salary), as well as the other factors described above. Following this review, the Compensation Committee set (recommended to our Board of Directors in the case of our CEO) the base salaries of our executive officers at levels that it believed were appropriate to maintain their competitiveness. The base salaries of our Named Executive Officers established at the beginning of 2022 were as follows: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752" w:right="339" w:bottom="1440" w:gutter="0" w:footer="0" w:header="0"/>
        </w:sectPr>
      </w:pPr>
    </w:p>
    <w:bookmarkStart w:id="39" w:name="page40"/>
    <w:bookmarkEnd w:id="39"/>
    <w:tbl>
      <w:tblPr>
        <w:tblLayout w:type="fixed"/>
        <w:tblInd w:w="670" w:type="dxa"/>
        <w:tblCellMar>
          <w:top w:w="0" w:type="dxa"/>
          <w:left w:w="0" w:type="dxa"/>
          <w:bottom w:w="0" w:type="dxa"/>
          <w:right w:w="0" w:type="dxa"/>
        </w:tblCellMar>
      </w:tblPr>
      <w:tr>
        <w:trPr>
          <w:trHeight w:val="264"/>
        </w:trPr>
        <w:tc>
          <w:tcPr>
            <w:tcW w:w="244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 Base Salary</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Adjustment</w:t>
            </w:r>
          </w:p>
        </w:tc>
      </w:tr>
      <w:tr>
        <w:trPr>
          <w:trHeight w:val="234"/>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$567,000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$604,000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$426,000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$458,000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base salaries earned by our Named Executive Officers during 2022 are set forth in the “2022 Summary Compensation Table” below.</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use annual bonuses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deliver a competitive total direct compensation opportunity to our executive officers. Annual cash bonuses are entirely performance-based, are not guaranteed, and may vary materially from year-to-year.</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Typically, the Compensation Committee establishes (recommends to our Board of Directors in the case of our CEO) cash bonus opportunities pursuant to a formal cash bonus plan that measures and rewards our executive officers for our actual corporate performance over the fiscal year. The cash bonus plan is designed to pay above-target bonuses when we exceed our annual corporate objectives and below-target bonuses (or no bonuses) when we do not achieve these objectives.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January 2022, the Compensation Committee determined to award (recommend to our Board of Directors in the case of our CEO) cash bonus opportunities to our Named Executive Officers, pursuant to the cash bonus plan for 2022. The Compensation Committee has the authority to select the performance measures and related target levels applicable to the annual cash bonus opportunities for our executive officers. The Compensation Committee may also, in its sole discretion, increase, reduce, or eliminate a participant’s actual bonus payment.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Target Bonus Opportunities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target annual cash bonus opportunities for each of our Named Executive Officers under the 2022 bonus plan, expressed as a percentage of his or her annual base salary, were as follows:</w:t>
      </w:r>
    </w:p>
    <w:p>
      <w:pPr>
        <w:spacing w:after="0" w:line="228"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2022 Target Bonus</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2022 Target Bonus</w:t>
            </w:r>
          </w:p>
        </w:tc>
      </w:tr>
      <w:tr>
        <w:trPr>
          <w:trHeight w:val="238"/>
        </w:trPr>
        <w:tc>
          <w:tcPr>
            <w:tcW w:w="216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$604,000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$513,400</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$426,000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$191,700</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$458,000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$343,500</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target annual cash bonus opportunities of our executive officers, including the Named Executive Officers, were driven entirely by achievement of corporate financial and operational objectives. The Compensation Committee determined this allocation to be appropriate to focus our executive officers on our short-term financial objectives as reflected in our annual operating plan while, at the same time, recognizing their contributions to the achievement of these objectives and the successful execution of their individual roles and responsibilities.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Corporate Performance Objectives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2022 bonus plan, the Compensation Committee selected the following as the corporate performance measures.</w:t>
      </w:r>
    </w:p>
    <w:p>
      <w:pPr>
        <w:spacing w:after="0" w:line="266"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Revenue, weighted 40%, utilizing quarterly goals due to uncertainty caused by the COVID-19 pandemic;</w:t>
      </w:r>
    </w:p>
    <w:p>
      <w:pPr>
        <w:spacing w:after="0" w:line="14"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Adjusted EBITDA, weighted 10%, utilizing quarterly goals due to uncertainty caused by the COVID-19 pandemic;</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Active annual surgeon growth, weighted 10%;</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New product (iFuse Bedrock Granite first in patient) milestones, weighted 20%;</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Clinical (SAFFRON sacral fracture study first patient enrolled) milestones, weighted 10%; and</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Voluntary attrition rate, weighted 10%.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795"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18"/>
          <w:szCs w:val="18"/>
          <w:color w:val="auto"/>
        </w:rPr>
        <w:t>The Compensation Committee believed these performance measures were appropriate for our business because they provide a balance between generating revenue, managing our expenses, and growing our business, which it believes most directly influence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chose to use quarterly revenue and adjusted EBITDA goals set at the beginning of each quarter due to the difficulty in forecasting as a result of the dynamic and uncertain operating environment caused by the COVID-19 pandemic.</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threshold, target, and maximum levels of achievement for each corporate performance measure and their respective payment amounts, with the actual bonus payment with respect to each measure to be determined independently, were as follows:</w:t>
      </w:r>
    </w:p>
    <w:p>
      <w:pPr>
        <w:spacing w:after="0" w:line="242"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0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Payout</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03"/>
        </w:trPr>
        <w:tc>
          <w:tcPr>
            <w:tcW w:w="2060" w:type="dxa"/>
            <w:vAlign w:val="bottom"/>
            <w:tcBorders>
              <w:left w:val="single" w:sz="8" w:color="auto"/>
              <w:right w:val="single" w:sz="8" w:color="auto"/>
            </w:tcBorders>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Measure</w:t>
            </w:r>
          </w:p>
        </w:tc>
        <w:tc>
          <w:tcPr>
            <w:tcW w:w="9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Payout Level</w:t>
            </w:r>
          </w:p>
        </w:tc>
        <w:tc>
          <w:tcPr>
            <w:tcW w:w="13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28"/>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(set quarterly)</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$101.0M</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$109.8M</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$118.5M</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EBITDA (set</w:t>
            </w:r>
          </w:p>
        </w:tc>
        <w:tc>
          <w:tcPr>
            <w:tcW w:w="9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10 %</w:t>
            </w:r>
          </w:p>
        </w:tc>
        <w:tc>
          <w:tcPr>
            <w:tcW w:w="1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($36M)</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80%</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($32M)</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($28M)</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w:t>
            </w: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Active Annual Surgeon</w:t>
            </w:r>
          </w:p>
        </w:tc>
        <w:tc>
          <w:tcPr>
            <w:tcW w:w="9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10 %</w:t>
            </w:r>
          </w:p>
        </w:tc>
        <w:tc>
          <w:tcPr>
            <w:tcW w:w="1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80%</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28"/>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Granite (first in patient)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June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May</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SAFFRON Study</w:t>
            </w:r>
          </w:p>
        </w:tc>
        <w:tc>
          <w:tcPr>
            <w:tcW w:w="9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10 %</w:t>
            </w:r>
          </w:p>
        </w:tc>
        <w:tc>
          <w:tcPr>
            <w:tcW w:w="1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October</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80%</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September</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August</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(initiated)</w:t>
            </w: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Voluntary Attrition Rate</w:t>
            </w:r>
          </w:p>
        </w:tc>
        <w:tc>
          <w:tcPr>
            <w:tcW w:w="9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10 %</w:t>
            </w:r>
          </w:p>
        </w:tc>
        <w:tc>
          <w:tcPr>
            <w:tcW w:w="1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Down 1%</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80%</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2%</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4%</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over year)</w:t>
            </w: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event of actual performance between the threshold and target, and target and maximum, performance levels, the payment amount was to be calculated between each designated segment on a linear basis.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2022 Performance Results and Bonus Decisions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Compensation Committee approved (recommended to our Board of Directors in the case of our CEO) our actual achievement with respect to the corporate performance objectives under the 2022 bonus plan as follows:</w:t>
      </w:r>
    </w:p>
    <w:p>
      <w:pPr>
        <w:spacing w:after="0" w:line="228"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34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Achievement</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Payout Level</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38"/>
        </w:trPr>
        <w:tc>
          <w:tcPr>
            <w:tcW w:w="2340" w:type="dxa"/>
            <w:vAlign w:val="bottom"/>
            <w:tcBorders>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(set quarterly)</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$106.4M</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EBITDA (set</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($33M)</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75.4%</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7.5%</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Active Annual Surgeon</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1,327</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12.5%</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Granite (first in patient)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May</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SAFFRON Study (initiated)</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Voluntary Attrition Rate (year</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2.9%</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111.4%</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11.2%</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 year)</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98.2%</w:t>
            </w:r>
          </w:p>
        </w:tc>
      </w:tr>
    </w:tbl>
    <w:p>
      <w:pPr>
        <w:spacing w:after="0" w:line="200" w:lineRule="exact"/>
        <w:rPr>
          <w:sz w:val="20"/>
          <w:szCs w:val="20"/>
          <w:color w:val="auto"/>
        </w:rPr>
      </w:pP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an 98.2% level. Accordingly, the Compensation Committee (our Board of Directors in the case of our CEO) approved bonus payments as follows for our Named Executive Officers: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756" w:right="339" w:bottom="1440" w:gutter="0" w:footer="0" w:header="0"/>
        </w:sectPr>
      </w:pPr>
    </w:p>
    <w:bookmarkStart w:id="41" w:name="page42"/>
    <w:bookmarkEnd w:id="41"/>
    <w:tbl>
      <w:tblPr>
        <w:tblLayout w:type="fixed"/>
        <w:tblInd w:w="670" w:type="dxa"/>
        <w:tblCellMar>
          <w:top w:w="0" w:type="dxa"/>
          <w:left w:w="0" w:type="dxa"/>
          <w:bottom w:w="0" w:type="dxa"/>
          <w:right w:w="0" w:type="dxa"/>
        </w:tblCellMar>
      </w:tblPr>
      <w:tr>
        <w:trPr>
          <w:trHeight w:val="207"/>
        </w:trPr>
        <w:tc>
          <w:tcPr>
            <w:tcW w:w="1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Bonus Achievement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r>
      <w:tr>
        <w:trPr>
          <w:trHeight w:val="203"/>
        </w:trPr>
        <w:tc>
          <w:tcPr>
            <w:tcW w:w="196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Officer</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Cash Bonus</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Payment</w:t>
            </w: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6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$513,400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$504,159</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$191,700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$188,249</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$343,500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$337,317</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annual cash bonuses paid to our Named Executive Officers for 2022 are also set forth in the “2022 Summary Compensation Table” below.</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vested. The Compensation Committee further believes these awards enable us to attract and retain key talent in our industry and align our executive officers’ interests with the long-term interests of our stockholders.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her own equity awards), and other factors, including the comparative awards granted to similar positions at our peer companies, the performance and expected performance of the executive officer, the existing equity holdings of each executive officer, including the current economic value of their unvested equity awards and the ability of these unvested holdings to satisfy our retention objectives, overall market data, and information provided by our compensation consultant. The Compensation Committee also considers the dilutive effect of our long-term incentive compensation practices, and the overall impact that these equity awards, as well as awards to other employees, will have on stockholder value.</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January 2022, the Compensation Committee (our Board of Directors in the case of our CEO) granted equity awards in the form of relative total shareholder return (“TSR”) PSU awards and RSU awards to Ms. Francis and Mr. Maheshwari, and RSU awards to Mr. Recupero. Further, the Compensation Committee determined Ms. Francis’ 2022 long-term incentive mix would be 50% PSUs and 50% RSUs, and Mr. Maheshwari’s mix would be 25% PSUs and 75% RSUs. By using a mix of PSU awards and RSU awards, the Compensation Committee sought to balance a high-performance threshold (in the case of PSU awards whose value depends on how our stock performs against an index), while using RSU awards to provide a strong retention incentive even if our stock price does not perform well relative to the index. The Compensation Committee determined the mix of RSUs and PSUs for each of our Named Executive Officers with reference to market norms and predominant practices among our peer companies. The equity awards granted to our Named Executive Officers in 2022 were as follows:</w:t>
      </w:r>
    </w:p>
    <w:p>
      <w:pPr>
        <w:spacing w:after="0" w:line="253" w:lineRule="exact"/>
        <w:rPr>
          <w:sz w:val="20"/>
          <w:szCs w:val="20"/>
          <w:color w:val="auto"/>
        </w:rPr>
      </w:pPr>
    </w:p>
    <w:tbl>
      <w:tblPr>
        <w:tblLayout w:type="fixed"/>
        <w:tblInd w:w="1170" w:type="dxa"/>
        <w:tblCellMar>
          <w:top w:w="0" w:type="dxa"/>
          <w:left w:w="0" w:type="dxa"/>
          <w:bottom w:w="0" w:type="dxa"/>
          <w:right w:w="0" w:type="dxa"/>
        </w:tblCellMar>
      </w:tblPr>
      <w:tr>
        <w:trPr>
          <w:trHeight w:val="207"/>
        </w:trPr>
        <w:tc>
          <w:tcPr>
            <w:tcW w:w="2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RSUs</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Number of Relative</w:t>
            </w:r>
          </w:p>
        </w:tc>
        <w:tc>
          <w:tcPr>
            <w:tcW w:w="244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w w:val="95"/>
              </w:rPr>
              <w:t>Total Target Value</w:t>
            </w:r>
            <w:r>
              <w:rPr>
                <w:rFonts w:ascii="Times New Roman" w:cs="Times New Roman" w:eastAsia="Times New Roman" w:hAnsi="Times New Roman"/>
                <w:sz w:val="23"/>
                <w:szCs w:val="23"/>
                <w:b w:val="1"/>
                <w:bCs w:val="1"/>
                <w:color w:val="auto"/>
                <w:w w:val="95"/>
                <w:vertAlign w:val="superscript"/>
              </w:rPr>
              <w:t>1</w:t>
            </w:r>
          </w:p>
        </w:tc>
      </w:tr>
      <w:tr>
        <w:trPr>
          <w:trHeight w:val="238"/>
        </w:trPr>
        <w:tc>
          <w:tcPr>
            <w:tcW w:w="2180" w:type="dxa"/>
            <w:vAlign w:val="bottom"/>
            <w:tcBorders>
              <w:left w:val="single" w:sz="8" w:color="auto"/>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TSR PSUs</w:t>
            </w:r>
          </w:p>
        </w:tc>
        <w:tc>
          <w:tcPr>
            <w:tcW w:w="2440" w:type="dxa"/>
            <w:vAlign w:val="bottom"/>
            <w:tcBorders>
              <w:right w:val="single" w:sz="8" w:color="auto"/>
            </w:tcBorders>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28"/>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63,865</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127,728</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$2,750,000</w:t>
            </w:r>
          </w:p>
        </w:tc>
      </w:tr>
      <w:tr>
        <w:trPr>
          <w:trHeight w:val="22"/>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41,802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27,868</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$1,200,000</w:t>
            </w:r>
          </w:p>
        </w:tc>
      </w:tr>
      <w:tr>
        <w:trPr>
          <w:trHeight w:val="22"/>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69,770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$1,500,000</w:t>
            </w:r>
          </w:p>
        </w:tc>
      </w:tr>
      <w:tr>
        <w:trPr>
          <w:trHeight w:val="22"/>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200" w:hanging="332"/>
        <w:spacing w:after="0" w:line="250" w:lineRule="auto"/>
        <w:tabs>
          <w:tab w:leader="none" w:pos="2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target value of equity awards made in 2022. This differs from the aggregate grant date fair value of awards as computed in accordance with FASB ASC 718 and reported in the “2022 Summary Compensation Table” below.</w:t>
      </w:r>
    </w:p>
    <w:p>
      <w:pPr>
        <w:spacing w:after="0" w:line="1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PSU awards granted to Ms. Francis and Mr. Maheshwari are designed to be earned based on our TSR as compared to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795" w:right="339" w:bottom="1440" w:gutter="0" w:footer="0" w:header="0"/>
        </w:sectPr>
      </w:pPr>
    </w:p>
    <w:bookmarkStart w:id="42" w:name="page43"/>
    <w:bookmarkEnd w:id="42"/>
    <w:tbl>
      <w:tblPr>
        <w:tblLayout w:type="fixed"/>
        <w:tblInd w:w="1170" w:type="dxa"/>
        <w:tblCellMar>
          <w:top w:w="0" w:type="dxa"/>
          <w:left w:w="0" w:type="dxa"/>
          <w:bottom w:w="0" w:type="dxa"/>
          <w:right w:w="0" w:type="dxa"/>
        </w:tblCellMar>
      </w:tblPr>
      <w:tr>
        <w:trPr>
          <w:trHeight w:val="206"/>
        </w:trPr>
        <w:tc>
          <w:tcPr>
            <w:tcW w:w="2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Level</w:t>
            </w:r>
          </w:p>
        </w:tc>
        <w:tc>
          <w:tcPr>
            <w:tcW w:w="3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66"/>
        </w:trPr>
        <w:tc>
          <w:tcPr>
            <w:tcW w:w="2720" w:type="dxa"/>
            <w:vAlign w:val="bottom"/>
            <w:tcBorders>
              <w:left w:val="single" w:sz="8" w:color="auto"/>
              <w:bottom w:val="single" w:sz="8" w:color="auto"/>
              <w:right w:val="single" w:sz="8" w:color="auto"/>
            </w:tcBorders>
          </w:tcPr>
          <w:p>
            <w:pPr>
              <w:spacing w:after="0"/>
              <w:rPr>
                <w:sz w:val="23"/>
                <w:szCs w:val="23"/>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(Points vs. 50</w:t>
            </w:r>
            <w:r>
              <w:rPr>
                <w:rFonts w:ascii="Times New Roman" w:cs="Times New Roman" w:eastAsia="Times New Roman" w:hAnsi="Times New Roman"/>
                <w:sz w:val="23"/>
                <w:szCs w:val="23"/>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Percentile Company)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w:t>
            </w:r>
          </w:p>
        </w:tc>
      </w:tr>
      <w:tr>
        <w:trPr>
          <w:trHeight w:val="228"/>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+50 Point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5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Equal to 50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 company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Point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The 2022 PSUs include interim payout opportunities after the end of the first and second years of the three-year performance period. The first interim payout opportunity is capped at one-third of the target level payout for the PSUs, while up to 200% of the target shares associated with the second-year performance period may be earned following that performance period, based on relative TSR performance and continued service through the end of the relevant year. Up to 200% of the total target shares under the whole award may be earned after the conclusion of the three-year performance period based on relative TSR performance through the end of the three-year performance period, less any shares previously earned and paid out for the first and second interim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6172200" cy="2966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RSU awards granted to our Named Executive Officers in January 2022 were subject to a time-based vesting requirement providing that these awards are to vest quarterly over four years, assuming the continued service of the executive officers on each such vesting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Earned PSU Awards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noted above, the 2022 PSUs include an interim payout opportunity after the end of the first year of the three-year performance period, capped at one-third of the target level payout for the PSUs, based on relative TSR performance and continued service through the end of the first year. For the first year covered by the 2022 PSUs, we achieved a payout of 100% of target shares associated with the first tranche of the award. In 2022, we outperformed on a TSR basis the median issuer in our designated peer group, such that participants in our PSU program would have earned 134% of the target shares eligible for release in February 2023 but for the cap of 100% on Year 1 achievement specified in our PSU grants.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Welfare and Health Benefits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provide medical and life insurance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These benefits are provided on the same basis as all of our full-time employees, therefore are excluded from the Summary Compensation table. We also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795"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provide vacation and other paid holidays to all employees, including our executive officers. We do not offer our employees a non-qualified deferred compensation plan or pension plan.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2022, none of the Named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received perquisites or other personal benefits that were, in the aggregate, $10,000 or more for such Named Executive Officer</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SI-BONE, Inc. Severance Benefit Plan</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Severance payments to our Named Executive Officers in connection with a change in control are as follows: (1) a lump sum cash payment equal to 12 months base salary (18 months in the case of Ms. Francis), (2) a lump sum cash payment of the then current annual target cash bonus (1.5 times annual target cash bonus in the case of Ms. Francis), (3) COBRA coverage for 12 months (18 months in the case of Ms. Francis), (4) full acceleration of vesting of all equity awards, and (5) extension of the post-termination exercise period to two years (or the closing of the change in control if provided in the equity award or change in control agreement).</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benefits under the Severance Plan the participant must sign and deliver to SI-BONE a release of liability in favor of SI-BONE.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Any severance provisions of the Named Executive Officers’ offer letters were superseded by the Severance Plan.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Ownership Policy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756" w:right="339" w:bottom="1440" w:gutter="0" w:footer="0" w:header="0"/>
        </w:sectPr>
      </w:pPr>
    </w:p>
    <w:bookmarkStart w:id="44" w:name="page45"/>
    <w:bookmarkEnd w:id="44"/>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stock ownership by our executive officers, including our Named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p>
      <w:pPr>
        <w:spacing w:after="0" w:line="217" w:lineRule="exact"/>
        <w:rPr>
          <w:sz w:val="20"/>
          <w:szCs w:val="20"/>
          <w:color w:val="auto"/>
        </w:rPr>
      </w:pPr>
    </w:p>
    <w:tbl>
      <w:tblPr>
        <w:tblLayout w:type="fixed"/>
        <w:tblInd w:w="670" w:type="dxa"/>
        <w:tblCellMar>
          <w:top w:w="0" w:type="dxa"/>
          <w:left w:w="0" w:type="dxa"/>
          <w:bottom w:w="0" w:type="dxa"/>
          <w:right w:w="0" w:type="dxa"/>
        </w:tblCellMar>
      </w:tblPr>
      <w:tr>
        <w:trPr>
          <w:trHeight w:val="264"/>
        </w:trPr>
        <w:tc>
          <w:tcPr>
            <w:tcW w:w="498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Required Level of Stock Ownership</w:t>
            </w:r>
          </w:p>
        </w:tc>
      </w:tr>
      <w:tr>
        <w:trPr>
          <w:trHeight w:val="234"/>
        </w:trPr>
        <w:tc>
          <w:tcPr>
            <w:tcW w:w="4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equivalent to three times annual salary</w:t>
            </w:r>
          </w:p>
        </w:tc>
      </w:tr>
      <w:tr>
        <w:trPr>
          <w:trHeight w:val="22"/>
        </w:trPr>
        <w:tc>
          <w:tcPr>
            <w:tcW w:w="4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Executive Officers</w:t>
            </w:r>
          </w:p>
        </w:tc>
        <w:tc>
          <w:tcPr>
            <w:tcW w:w="4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equivalent to annual salary</w:t>
            </w:r>
          </w:p>
        </w:tc>
      </w:tr>
      <w:tr>
        <w:trPr>
          <w:trHeight w:val="22"/>
        </w:trPr>
        <w:tc>
          <w:tcPr>
            <w:tcW w:w="4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the end of fiscal year 2022, our CEO and each of our other Named Executive Officers had satisfied his or her required stock ownership level or was on track to do so.</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Recoupment Policy</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2021, the company adopted a clawback policy providing that, if the company is required to prepare an accounting restatement for any quarter or year commencing after adoption of the policy, we shall recover from any current executive officer the full amount of the difference between any cash or equity incentive compensation based in whole or in part on the attainment of a financial reporting measure that was received by the executive officer and that the executive officer would have been entitled to had the financial statements been properly reported. In addition, if a current or former executive officer’s misconduct contributed to the obligation to restate our financial statements, we may recover for three years from the date we were required to prepare an accounting restatement the excess incentive compensation paid to that executive officer and recoup excess sales proceeds from the sale of any shares of our stock acquired pursuant to an award granted under our equity incentive plans.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28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8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Compensation Committee takes the applicable tax and accounting requirements into consideration in designing and overseeing our executive compensation program.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“Code”).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409A Considerations</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783" w:right="339" w:bottom="1440" w:gutter="0" w:footer="0" w:header="0"/>
        </w:sectPr>
      </w:pPr>
    </w:p>
    <w:bookmarkStart w:id="45" w:name="page46"/>
    <w:bookmarkEnd w:id="45"/>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compensation arrangements that are covered by Section 409A in accordance with the applicable rules thereunder, and we will continue to review and amend our compensation arrangements where necessary to comply with Section 409A.</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consultation with management and Compensia, our Compensation Committee’s independent compensation consultant, in September 2022 our Compensation Committee assessed our compensation plans, policies and practices for our Named Executive Officers and other employees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following table shows for the fiscal years ended 2022 and 2021 compensation awarded to or paid to, or earned by, our Named Executive Officers.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40" w:type="dxa"/>
            <w:vAlign w:val="bottom"/>
          </w:tcPr>
          <w:p>
            <w:pPr>
              <w:spacing w:after="0"/>
              <w:rPr>
                <w:sz w:val="14"/>
                <w:szCs w:val="14"/>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22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1"/>
              </w:rPr>
              <w:t>Awards</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b w:val="1"/>
                <w:bCs w:val="1"/>
                <w:color w:val="auto"/>
                <w:w w:val="97"/>
                <w:vertAlign w:val="superscript"/>
              </w:rPr>
              <w:t>(2)</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60" w:type="dxa"/>
            <w:vAlign w:val="bottom"/>
            <w:tcBorders>
              <w:top w:val="single" w:sz="8" w:color="auto"/>
            </w:tcBorders>
          </w:tcPr>
          <w:p>
            <w:pPr>
              <w:ind w:left="40"/>
              <w:spacing w:after="0" w:line="207" w:lineRule="exact"/>
              <w:rPr>
                <w:sz w:val="20"/>
                <w:szCs w:val="20"/>
                <w:color w:val="auto"/>
              </w:rPr>
            </w:pPr>
            <w:r>
              <w:rPr>
                <w:rFonts w:ascii="Times New Roman" w:cs="Times New Roman" w:eastAsia="Times New Roman" w:hAnsi="Times New Roman"/>
                <w:sz w:val="16"/>
                <w:szCs w:val="16"/>
                <w:color w:val="auto"/>
              </w:rPr>
              <w:t>Laura A. Francis</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3,785,800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504,159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4,893,959</w:t>
            </w:r>
          </w:p>
        </w:tc>
        <w:tc>
          <w:tcPr>
            <w:tcW w:w="0" w:type="dxa"/>
            <w:vAlign w:val="bottom"/>
          </w:tcPr>
          <w:p>
            <w:pPr>
              <w:spacing w:after="0"/>
              <w:rPr>
                <w:sz w:val="1"/>
                <w:szCs w:val="1"/>
                <w:color w:val="auto"/>
              </w:rPr>
            </w:pPr>
          </w:p>
        </w:tc>
      </w:tr>
      <w:tr>
        <w:trPr>
          <w:trHeight w:val="212"/>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2,550,899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3,430,641</w:t>
            </w: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Anthony J. Recupero</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2,356,545</w:t>
            </w: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President, Commercial Operations</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1,764,265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2,430,173</w:t>
            </w:r>
          </w:p>
        </w:tc>
        <w:tc>
          <w:tcPr>
            <w:tcW w:w="0" w:type="dxa"/>
            <w:vAlign w:val="bottom"/>
          </w:tcPr>
          <w:p>
            <w:pPr>
              <w:spacing w:after="0"/>
              <w:rPr>
                <w:sz w:val="1"/>
                <w:szCs w:val="1"/>
                <w:color w:val="auto"/>
              </w:rPr>
            </w:pPr>
          </w:p>
        </w:tc>
      </w:tr>
      <w:tr>
        <w:trPr>
          <w:trHeight w:val="499"/>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Anshul Maheshwari</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1,516,636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2,130,885</w:t>
            </w:r>
          </w:p>
        </w:tc>
        <w:tc>
          <w:tcPr>
            <w:tcW w:w="0" w:type="dxa"/>
            <w:vAlign w:val="bottom"/>
          </w:tcPr>
          <w:p>
            <w:pPr>
              <w:spacing w:after="0"/>
              <w:rPr>
                <w:sz w:val="1"/>
                <w:szCs w:val="1"/>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1,330,752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108,818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1,719,873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65" w:lineRule="exact"/>
        <w:rPr>
          <w:sz w:val="20"/>
          <w:szCs w:val="20"/>
          <w:color w:val="auto"/>
        </w:rPr>
      </w:pPr>
    </w:p>
    <w:p>
      <w:pPr>
        <w:jc w:val="both"/>
        <w:ind w:left="420" w:hanging="372"/>
        <w:spacing w:after="0" w:line="281" w:lineRule="auto"/>
        <w:tabs>
          <w:tab w:leader="none" w:pos="4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units granted to the officer, computed in accordance with FASB ASC Topic 718. The fair value of the restricted stock units is based on the market price of our common stock on the date of grant. We did not grant any stock options in 2021 and 2022.</w:t>
      </w:r>
    </w:p>
    <w:p>
      <w:pPr>
        <w:spacing w:after="0" w:line="217"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upon the achievement of 2022 and 2021 corporate goals, as applicable, as well as individual objectives, which were paid in January 2023 and January 2022, respectively. Our 2022 corporate goals included revenue growth, profitability management, surgeon growth rates, product roadmap milestones, and attrition rates. We did not modify these goals during 2022.</w:t>
      </w:r>
    </w:p>
    <w:p>
      <w:pPr>
        <w:spacing w:after="0" w:line="217" w:lineRule="exact"/>
        <w:rPr>
          <w:rFonts w:ascii="Times New Roman" w:cs="Times New Roman" w:eastAsia="Times New Roman" w:hAnsi="Times New Roman"/>
          <w:sz w:val="18"/>
          <w:szCs w:val="18"/>
          <w:color w:val="auto"/>
        </w:rPr>
      </w:pPr>
    </w:p>
    <w:p>
      <w:pPr>
        <w:ind w:left="480" w:hanging="43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Francis became our Chief Executive Officer, in April 2021.</w:t>
      </w:r>
    </w:p>
    <w:p>
      <w:pPr>
        <w:spacing w:after="0" w:line="265"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Maheshwari became our Chief Financial Officer in April 2021, replacing Ms. Francis in that role.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7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at December 31, 2022, for our Named Executive Officers:</w:t>
      </w:r>
    </w:p>
    <w:p>
      <w:pPr>
        <w:sectPr>
          <w:pgSz w:w="11900" w:h="16838" w:orient="portrait"/>
          <w:cols w:equalWidth="0" w:num="1">
            <w:col w:w="11240"/>
          </w:cols>
          <w:pgMar w:left="320" w:top="995" w:right="339" w:bottom="1440" w:gutter="0" w:footer="0" w:header="0"/>
        </w:sectPr>
      </w:pPr>
    </w:p>
    <w:p>
      <w:pPr>
        <w:spacing w:after="0" w:line="364" w:lineRule="exact"/>
        <w:rPr>
          <w:sz w:val="20"/>
          <w:szCs w:val="20"/>
          <w:color w:val="auto"/>
        </w:rPr>
      </w:pPr>
    </w:p>
    <w:tbl>
      <w:tblPr>
        <w:tblLayout w:type="fixed"/>
        <w:tblInd w:w="124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12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vMerge w:val="continue"/>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52"/>
        </w:trPr>
        <w:tc>
          <w:tcPr>
            <w:tcW w:w="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 Vested</w:t>
            </w:r>
          </w:p>
        </w:tc>
        <w:tc>
          <w:tcPr>
            <w:tcW w:w="1080" w:type="dxa"/>
            <w:vAlign w:val="bottom"/>
            <w:vMerge w:val="continue"/>
          </w:tcPr>
          <w:p>
            <w:pPr>
              <w:spacing w:after="0"/>
              <w:rPr>
                <w:sz w:val="11"/>
                <w:szCs w:val="11"/>
                <w:color w:val="auto"/>
              </w:rPr>
            </w:pPr>
          </w:p>
        </w:tc>
        <w:tc>
          <w:tcPr>
            <w:tcW w:w="82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Unvested </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4"/>
                <w:szCs w:val="14"/>
                <w:b w:val="1"/>
                <w:bCs w:val="1"/>
                <w:color w:val="auto"/>
                <w:w w:val="98"/>
              </w:rPr>
              <w:t>(#)</w:t>
            </w: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0" w:type="dxa"/>
            <w:vAlign w:val="bottom"/>
          </w:tcPr>
          <w:p>
            <w:pPr>
              <w:spacing w:after="0"/>
              <w:rPr>
                <w:sz w:val="1"/>
                <w:szCs w:val="1"/>
                <w:color w:val="auto"/>
              </w:rPr>
            </w:pPr>
          </w:p>
        </w:tc>
      </w:tr>
      <w:tr>
        <w:trPr>
          <w:trHeight w:val="138"/>
        </w:trPr>
        <w:tc>
          <w:tcPr>
            <w:tcW w:w="202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9"/>
                <w:szCs w:val="9"/>
                <w:b w:val="1"/>
                <w:bCs w:val="1"/>
                <w:color w:val="auto"/>
                <w:w w:val="75"/>
              </w:rPr>
              <w:t>(4)</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1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jc w:val="center"/>
              <w:ind w:left="35"/>
              <w:spacing w:after="0" w:line="160"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0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7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0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8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120" w:type="dxa"/>
            <w:vAlign w:val="bottom"/>
            <w:gridSpan w:val="2"/>
          </w:tcPr>
          <w:p>
            <w:pPr>
              <w:jc w:val="center"/>
              <w:ind w:right="40"/>
              <w:spacing w:after="0" w:line="81" w:lineRule="exact"/>
              <w:rPr>
                <w:sz w:val="20"/>
                <w:szCs w:val="20"/>
                <w:color w:val="auto"/>
              </w:rPr>
            </w:pPr>
            <w:r>
              <w:rPr>
                <w:rFonts w:ascii="Times New Roman" w:cs="Times New Roman" w:eastAsia="Times New Roman" w:hAnsi="Times New Roman"/>
                <w:sz w:val="9"/>
                <w:szCs w:val="9"/>
                <w:b w:val="1"/>
                <w:bCs w:val="1"/>
                <w:color w:val="auto"/>
              </w:rPr>
              <w:t>That Have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020" w:type="dxa"/>
            <w:vAlign w:val="bottom"/>
          </w:tcPr>
          <w:p>
            <w:pPr>
              <w:jc w:val="center"/>
              <w:ind w:left="15"/>
              <w:spacing w:after="0" w:line="81" w:lineRule="exact"/>
              <w:rPr>
                <w:sz w:val="20"/>
                <w:szCs w:val="20"/>
                <w:color w:val="auto"/>
              </w:rPr>
            </w:pPr>
            <w:r>
              <w:rPr>
                <w:rFonts w:ascii="Times New Roman" w:cs="Times New Roman" w:eastAsia="Times New Roman" w:hAnsi="Times New Roman"/>
                <w:sz w:val="9"/>
                <w:szCs w:val="9"/>
                <w:b w:val="1"/>
                <w:bCs w:val="1"/>
                <w:color w:val="auto"/>
              </w:rPr>
              <w:t>That Have</w:t>
            </w:r>
          </w:p>
        </w:tc>
        <w:tc>
          <w:tcPr>
            <w:tcW w:w="0" w:type="dxa"/>
            <w:vAlign w:val="bottom"/>
          </w:tcPr>
          <w:p>
            <w:pPr>
              <w:spacing w:after="0"/>
              <w:rPr>
                <w:sz w:val="1"/>
                <w:szCs w:val="1"/>
                <w:color w:val="auto"/>
              </w:rPr>
            </w:pPr>
          </w:p>
        </w:tc>
      </w:tr>
      <w:tr>
        <w:trPr>
          <w:trHeight w:val="135"/>
        </w:trPr>
        <w:tc>
          <w:tcPr>
            <w:tcW w:w="900" w:type="dxa"/>
            <w:vAlign w:val="bottom"/>
            <w:vMerge w:val="continue"/>
          </w:tcPr>
          <w:p>
            <w:pPr>
              <w:spacing w:after="0"/>
              <w:rPr>
                <w:sz w:val="11"/>
                <w:szCs w:val="11"/>
                <w:color w:val="auto"/>
              </w:rPr>
            </w:pPr>
          </w:p>
        </w:tc>
        <w:tc>
          <w:tcPr>
            <w:tcW w:w="11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Not Vested</w:t>
            </w:r>
            <w:r>
              <w:rPr>
                <w:rFonts w:ascii="Times New Roman" w:cs="Times New Roman" w:eastAsia="Times New Roman" w:hAnsi="Times New Roman"/>
                <w:sz w:val="9"/>
                <w:szCs w:val="9"/>
                <w:b w:val="1"/>
                <w:bCs w:val="1"/>
                <w:color w:val="auto"/>
                <w:w w:val="99"/>
              </w:rPr>
              <w:t>(3)</w:t>
            </w:r>
          </w:p>
        </w:tc>
        <w:tc>
          <w:tcPr>
            <w:tcW w:w="900" w:type="dxa"/>
            <w:vAlign w:val="bottom"/>
            <w:vMerge w:val="continue"/>
          </w:tcPr>
          <w:p>
            <w:pPr>
              <w:spacing w:after="0"/>
              <w:rPr>
                <w:sz w:val="11"/>
                <w:szCs w:val="11"/>
                <w:color w:val="auto"/>
              </w:rPr>
            </w:pPr>
          </w:p>
        </w:tc>
        <w:tc>
          <w:tcPr>
            <w:tcW w:w="1020" w:type="dxa"/>
            <w:vAlign w:val="bottom"/>
          </w:tcPr>
          <w:p>
            <w:pPr>
              <w:jc w:val="center"/>
              <w:ind w:left="35"/>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Not Vested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9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0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2">
            <w:col w:w="7160" w:space="80"/>
            <w:col w:w="4000"/>
          </w:cols>
          <w:pgMar w:left="320" w:top="995" w:right="339" w:bottom="1440" w:gutter="0" w:footer="0" w:header="0"/>
          <w:type w:val="continuous"/>
        </w:sectPr>
      </w:pPr>
    </w:p>
    <w:tbl>
      <w:tblPr>
        <w:tblLayout w:type="fixed"/>
        <w:tblInd w:w="80" w:type="dxa"/>
        <w:tblCellMar>
          <w:top w:w="0" w:type="dxa"/>
          <w:left w:w="0" w:type="dxa"/>
          <w:bottom w:w="0" w:type="dxa"/>
          <w:right w:w="0" w:type="dxa"/>
        </w:tblCellMar>
      </w:tblPr>
      <w:tr>
        <w:trPr>
          <w:trHeight w:val="155"/>
        </w:trPr>
        <w:tc>
          <w:tcPr>
            <w:tcW w:w="10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Laura A.</w:t>
            </w:r>
          </w:p>
        </w:tc>
        <w:tc>
          <w:tcPr>
            <w:tcW w:w="880" w:type="dxa"/>
            <w:vAlign w:val="bottom"/>
            <w:tcBorders>
              <w:top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07/26/16</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6"/>
                <w:szCs w:val="16"/>
                <w:color w:val="auto"/>
              </w:rPr>
              <w:t>05/26/15</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92,392</w:t>
            </w:r>
          </w:p>
        </w:tc>
        <w:tc>
          <w:tcPr>
            <w:tcW w:w="14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3"/>
                <w:szCs w:val="13"/>
                <w:color w:val="auto"/>
              </w:rPr>
            </w:pPr>
          </w:p>
        </w:tc>
        <w:tc>
          <w:tcPr>
            <w:tcW w:w="920" w:type="dxa"/>
            <w:vAlign w:val="bottom"/>
            <w:tcBorders>
              <w:top w:val="single" w:sz="8" w:color="auto"/>
            </w:tcBorders>
          </w:tcPr>
          <w:p>
            <w:pPr>
              <w:ind w:left="320"/>
              <w:spacing w:after="0" w:line="155" w:lineRule="exact"/>
              <w:rPr>
                <w:sz w:val="20"/>
                <w:szCs w:val="20"/>
                <w:color w:val="auto"/>
              </w:rPr>
            </w:pPr>
            <w:r>
              <w:rPr>
                <w:rFonts w:ascii="Times New Roman" w:cs="Times New Roman" w:eastAsia="Times New Roman" w:hAnsi="Times New Roman"/>
                <w:sz w:val="16"/>
                <w:szCs w:val="16"/>
                <w:color w:val="auto"/>
              </w:rPr>
              <w:t>05/25/25</w:t>
            </w: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Francis</w:t>
            </w:r>
          </w:p>
        </w:tc>
        <w:tc>
          <w:tcPr>
            <w:tcW w:w="8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12/12/17</w:t>
            </w:r>
          </w:p>
        </w:tc>
        <w:tc>
          <w:tcPr>
            <w:tcW w:w="11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09/06/17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8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01/15/19</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01/15/19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07/24/19</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08/15/19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01/03/20</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206,734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01/05/21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01/01/21</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376,992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04/18/21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279,344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01/07/22</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705,704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1,737,101</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Anthony J.</w:t>
            </w:r>
          </w:p>
        </w:tc>
        <w:tc>
          <w:tcPr>
            <w:tcW w:w="88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07/26/16</w:t>
            </w:r>
          </w:p>
        </w:tc>
        <w:tc>
          <w:tcPr>
            <w:tcW w:w="1120" w:type="dxa"/>
            <w:vAlign w:val="bottom"/>
            <w:gridSpan w:val="2"/>
            <w:shd w:val="clear" w:color="auto" w:fill="CCEEFF"/>
          </w:tcPr>
          <w:p>
            <w:pPr>
              <w:jc w:val="right"/>
              <w:ind w:right="159"/>
              <w:spacing w:after="0" w:line="162" w:lineRule="exact"/>
              <w:rPr>
                <w:sz w:val="20"/>
                <w:szCs w:val="20"/>
                <w:color w:val="auto"/>
              </w:rPr>
            </w:pPr>
            <w:r>
              <w:rPr>
                <w:rFonts w:ascii="Times New Roman" w:cs="Times New Roman" w:eastAsia="Times New Roman" w:hAnsi="Times New Roman"/>
                <w:sz w:val="16"/>
                <w:szCs w:val="16"/>
                <w:color w:val="auto"/>
              </w:rPr>
              <w:t>07/05/16</w:t>
            </w:r>
          </w:p>
        </w:tc>
        <w:tc>
          <w:tcPr>
            <w:tcW w:w="10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99,190</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07/26/26</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Recupero</w:t>
            </w:r>
          </w:p>
        </w:tc>
        <w:tc>
          <w:tcPr>
            <w:tcW w:w="8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12/12/17</w:t>
            </w:r>
          </w:p>
        </w:tc>
        <w:tc>
          <w:tcPr>
            <w:tcW w:w="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09/06/17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53,943</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gridSpan w:val="2"/>
            <w:vMerge w:val="continue"/>
            <w:shd w:val="clear" w:color="auto" w:fill="CCEEFF"/>
          </w:tcPr>
          <w:p>
            <w:pPr>
              <w:spacing w:after="0"/>
              <w:rPr>
                <w:sz w:val="4"/>
                <w:szCs w:val="4"/>
                <w:color w:val="auto"/>
              </w:rPr>
            </w:pPr>
          </w:p>
        </w:tc>
        <w:tc>
          <w:tcPr>
            <w:tcW w:w="1040" w:type="dxa"/>
            <w:vAlign w:val="bottom"/>
            <w:gridSpan w:val="2"/>
            <w:vMerge w:val="continue"/>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01/15/19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01/15/19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01/03/20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01/05/21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04/19/21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01/06/22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06/15/22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06/15/22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Anshul</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04/21/21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325,040</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Maheshwari</w:t>
            </w:r>
          </w:p>
        </w:tc>
        <w:tc>
          <w:tcPr>
            <w:tcW w:w="8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01/06/22</w:t>
            </w:r>
          </w:p>
        </w:tc>
        <w:tc>
          <w:tcPr>
            <w:tcW w:w="11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33,964</w:t>
            </w: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461,910</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27,868</w:t>
            </w: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379,005</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2598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20" w:hanging="372"/>
        <w:spacing w:after="0" w:line="297" w:lineRule="auto"/>
        <w:tabs>
          <w:tab w:leader="none" w:pos="4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subject to vesting as to 1/48 of the award upon continued service through each month following the vesting commencement date, through the fourth anniversary of the vesting commencement date.</w:t>
      </w:r>
    </w:p>
    <w:p>
      <w:pPr>
        <w:spacing w:after="0" w:line="203" w:lineRule="exact"/>
        <w:rPr>
          <w:rFonts w:ascii="Times New Roman" w:cs="Times New Roman" w:eastAsia="Times New Roman" w:hAnsi="Times New Roman"/>
          <w:sz w:val="18"/>
          <w:szCs w:val="18"/>
          <w:color w:val="auto"/>
        </w:rPr>
      </w:pPr>
    </w:p>
    <w:p>
      <w:pPr>
        <w:ind w:left="420" w:hanging="372"/>
        <w:spacing w:after="0" w:line="297" w:lineRule="auto"/>
        <w:tabs>
          <w:tab w:leader="none" w:pos="5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options are subject to accelerated vesting in the event termination of the award recipient’s employment in connection with a change of control of the company.</w:t>
      </w:r>
    </w:p>
    <w:p>
      <w:pPr>
        <w:spacing w:after="0" w:line="189" w:lineRule="exact"/>
        <w:rPr>
          <w:rFonts w:ascii="Times New Roman" w:cs="Times New Roman" w:eastAsia="Times New Roman" w:hAnsi="Times New Roman"/>
          <w:sz w:val="18"/>
          <w:szCs w:val="18"/>
          <w:color w:val="auto"/>
        </w:rPr>
      </w:pPr>
    </w:p>
    <w:p>
      <w:pPr>
        <w:ind w:left="420" w:hanging="372"/>
        <w:spacing w:after="0" w:line="313" w:lineRule="auto"/>
        <w:tabs>
          <w:tab w:leader="none" w:pos="4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market value, we assumed a stock price of $13.60, the closing sale price per share of our common stock on December 31, 2022, the last business day of our last fiscal year.</w:t>
      </w:r>
    </w:p>
    <w:p>
      <w:pPr>
        <w:spacing w:after="0" w:line="148"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maximum number of issuable shares under the awards. The target number of shares is 50% of the maximum shares.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2022.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995" w:right="339" w:bottom="1440" w:gutter="0" w:footer="0" w:header="0"/>
          <w:type w:val="continuous"/>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remaining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issued upon</w:t>
            </w: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28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492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column (a)</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4920" w:type="dxa"/>
            <w:vAlign w:val="bottom"/>
            <w:gridSpan w:val="2"/>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00"/>
              <w:spacing w:after="0" w:line="252" w:lineRule="exact"/>
              <w:rPr>
                <w:sz w:val="20"/>
                <w:szCs w:val="20"/>
                <w:color w:val="auto"/>
              </w:rPr>
            </w:pPr>
            <w:r>
              <w:rPr>
                <w:rFonts w:ascii="Times New Roman" w:cs="Times New Roman" w:eastAsia="Times New Roman" w:hAnsi="Times New Roman"/>
                <w:sz w:val="18"/>
                <w:szCs w:val="18"/>
                <w:color w:val="auto"/>
              </w:rPr>
              <w:t xml:space="preserve">5,079,492 </w:t>
            </w:r>
            <w:r>
              <w:rPr>
                <w:rFonts w:ascii="Times New Roman" w:cs="Times New Roman" w:eastAsia="Times New Roman" w:hAnsi="Times New Roman"/>
                <w:sz w:val="23"/>
                <w:szCs w:val="23"/>
                <w:color w:val="auto"/>
                <w:vertAlign w:val="superscript"/>
              </w:rPr>
              <w:t>(3)(4)</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5,079,492</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220" w:hanging="372"/>
        <w:spacing w:after="0" w:line="297" w:lineRule="auto"/>
        <w:tabs>
          <w:tab w:leader="none" w:pos="4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plans approved by security holders are described in Note 10 to our financial statements included in our Annual Report on Form 10-K for the year ended December 31, 2022.</w:t>
      </w:r>
    </w:p>
    <w:p>
      <w:pPr>
        <w:spacing w:after="0" w:line="68"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6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includes 1,950,524 shares issuable upon vesting of outstanding awards of restricted stock units and performance-based restricted stock unit awards, which have no exercise price. Excluding these awards of restricted stock units, the weighted-average exercise price would be $8.82.</w:t>
      </w:r>
    </w:p>
    <w:p>
      <w:pPr>
        <w:spacing w:after="0" w:line="82"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4,029,313 and 1,050,179 shares of common stock available for issuance under the 2018 Equity Incentive Plan, or the 2018 Plan, and the 2018 Employee Stock Purchase Plan, or the ESPP, respectively, as of December 31, 2022. The shares issuable pursuant to our ESPP are not included in the number of shares to be issued pursuant to rights outstanding and the weighted-average exercise price of such rights as of December 31, 2022, as those numbers are not known.</w:t>
      </w:r>
    </w:p>
    <w:p>
      <w:pPr>
        <w:spacing w:after="0" w:line="70" w:lineRule="exact"/>
        <w:rPr>
          <w:rFonts w:ascii="Times New Roman" w:cs="Times New Roman" w:eastAsia="Times New Roman" w:hAnsi="Times New Roman"/>
          <w:sz w:val="18"/>
          <w:szCs w:val="18"/>
          <w:color w:val="auto"/>
        </w:rPr>
      </w:pPr>
    </w:p>
    <w:p>
      <w:pPr>
        <w:jc w:val="both"/>
        <w:ind w:left="420" w:hanging="372"/>
        <w:spacing w:after="0" w:line="277" w:lineRule="auto"/>
        <w:tabs>
          <w:tab w:leader="none" w:pos="4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99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Board Members</w:t>
      </w:r>
    </w:p>
    <w:p>
      <w:pPr>
        <w:spacing w:after="0" w:line="24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2022, certain information with respect to the compensation of all non-employee directors of SI-BONE and Mr. Dunn:</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40" w:type="dxa"/>
            <w:vAlign w:val="bottom"/>
          </w:tcPr>
          <w:p>
            <w:pPr>
              <w:spacing w:after="0"/>
              <w:rPr>
                <w:sz w:val="16"/>
                <w:szCs w:val="16"/>
                <w:color w:val="auto"/>
              </w:rPr>
            </w:pPr>
          </w:p>
        </w:tc>
        <w:tc>
          <w:tcPr>
            <w:tcW w:w="14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Paid in Cash</w:t>
            </w:r>
            <w:r>
              <w:rPr>
                <w:rFonts w:ascii="Times New Roman" w:cs="Times New Roman" w:eastAsia="Times New Roman" w:hAnsi="Times New Roman"/>
                <w:sz w:val="21"/>
                <w:szCs w:val="21"/>
                <w:b w:val="1"/>
                <w:bCs w:val="1"/>
                <w:color w:val="auto"/>
                <w:w w:val="96"/>
                <w:vertAlign w:val="superscript"/>
              </w:rPr>
              <w:t>(1)</w:t>
            </w: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8"/>
                <w:szCs w:val="18"/>
                <w:color w:val="auto"/>
              </w:rPr>
            </w:pPr>
          </w:p>
        </w:tc>
        <w:tc>
          <w:tcPr>
            <w:tcW w:w="1460" w:type="dxa"/>
            <w:vAlign w:val="bottom"/>
            <w:gridSpan w:val="2"/>
          </w:tcPr>
          <w:p>
            <w:pPr>
              <w:jc w:val="center"/>
              <w:ind w:right="540"/>
              <w:spacing w:after="0" w:line="216" w:lineRule="exact"/>
              <w:rPr>
                <w:sz w:val="20"/>
                <w:szCs w:val="20"/>
                <w:color w:val="auto"/>
              </w:rPr>
            </w:pPr>
            <w:r>
              <w:rPr>
                <w:rFonts w:ascii="Times New Roman" w:cs="Times New Roman" w:eastAsia="Times New Roman" w:hAnsi="Times New Roman"/>
                <w:sz w:val="16"/>
                <w:szCs w:val="16"/>
                <w:b w:val="1"/>
                <w:bCs w:val="1"/>
                <w:color w:val="auto"/>
                <w:w w:val="91"/>
              </w:rPr>
              <w:t>Awards</w:t>
            </w:r>
            <w:r>
              <w:rPr>
                <w:rFonts w:ascii="Times New Roman" w:cs="Times New Roman" w:eastAsia="Times New Roman" w:hAnsi="Times New Roman"/>
                <w:sz w:val="21"/>
                <w:szCs w:val="21"/>
                <w:b w:val="1"/>
                <w:bCs w:val="1"/>
                <w:color w:val="auto"/>
                <w:w w:val="91"/>
                <w:vertAlign w:val="superscript"/>
              </w:rPr>
              <w:t>(2)</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w:t>
            </w:r>
          </w:p>
        </w:tc>
        <w:tc>
          <w:tcPr>
            <w:tcW w:w="2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178,047</w:t>
            </w:r>
          </w:p>
        </w:tc>
        <w:tc>
          <w:tcPr>
            <w:tcW w:w="0" w:type="dxa"/>
            <w:vAlign w:val="bottom"/>
          </w:tcPr>
          <w:p>
            <w:pPr>
              <w:spacing w:after="0"/>
              <w:rPr>
                <w:sz w:val="1"/>
                <w:szCs w:val="1"/>
                <w:color w:val="auto"/>
              </w:rPr>
            </w:pPr>
          </w:p>
        </w:tc>
      </w:tr>
      <w:tr>
        <w:trPr>
          <w:trHeight w:val="229"/>
        </w:trPr>
        <w:tc>
          <w:tcPr>
            <w:tcW w:w="250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Jeffrey W. Dunn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545,980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1,158,418</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155,797</w:t>
            </w:r>
          </w:p>
        </w:tc>
        <w:tc>
          <w:tcPr>
            <w:tcW w:w="0" w:type="dxa"/>
            <w:vAlign w:val="bottom"/>
          </w:tcPr>
          <w:p>
            <w:pPr>
              <w:spacing w:after="0"/>
              <w:rPr>
                <w:sz w:val="1"/>
                <w:szCs w:val="1"/>
                <w:color w:val="auto"/>
              </w:rPr>
            </w:pPr>
          </w:p>
        </w:tc>
      </w:tr>
      <w:tr>
        <w:trPr>
          <w:trHeight w:val="229"/>
        </w:trPr>
        <w:tc>
          <w:tcPr>
            <w:tcW w:w="2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174,297</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158,047</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 Loh</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154,297</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 Nishimura</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155,797</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 Valentine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2769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40" w:lineRule="exact"/>
        <w:rPr>
          <w:sz w:val="20"/>
          <w:szCs w:val="20"/>
          <w:color w:val="auto"/>
        </w:rPr>
      </w:pPr>
    </w:p>
    <w:p>
      <w:pPr>
        <w:ind w:left="440" w:hanging="392"/>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earned for services rendered in the fourth quarter of 2022 were paid in January 2023.</w:t>
      </w:r>
    </w:p>
    <w:p>
      <w:pPr>
        <w:spacing w:after="0" w:line="279"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4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2, 2023. Only one RSU was granted to each non-employee director during 2022.</w:t>
      </w:r>
    </w:p>
    <w:p>
      <w:pPr>
        <w:spacing w:after="0" w:line="205" w:lineRule="exact"/>
        <w:rPr>
          <w:rFonts w:ascii="Times New Roman" w:cs="Times New Roman" w:eastAsia="Times New Roman" w:hAnsi="Times New Roman"/>
          <w:sz w:val="18"/>
          <w:szCs w:val="18"/>
          <w:color w:val="auto"/>
        </w:rPr>
      </w:pPr>
    </w:p>
    <w:p>
      <w:pPr>
        <w:ind w:left="420" w:hanging="372"/>
        <w:spacing w:after="0" w:line="297" w:lineRule="auto"/>
        <w:tabs>
          <w:tab w:leader="none" w:pos="4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of our Executive Chair is paid as salary. In January 2023, Mr. Dunn also received an annual bonus under the Corporate Bonus Plan for 2022.</w:t>
      </w:r>
    </w:p>
    <w:p>
      <w:pPr>
        <w:spacing w:after="0" w:line="203" w:lineRule="exact"/>
        <w:rPr>
          <w:sz w:val="20"/>
          <w:szCs w:val="20"/>
          <w:color w:val="auto"/>
        </w:rPr>
      </w:pPr>
    </w:p>
    <w:p>
      <w:pPr>
        <w:ind w:left="420" w:hanging="364"/>
        <w:spacing w:after="0" w:line="297" w:lineRule="auto"/>
        <w:rPr>
          <w:sz w:val="20"/>
          <w:szCs w:val="20"/>
          <w:color w:val="auto"/>
        </w:rPr>
      </w:pPr>
      <w:r>
        <w:rPr>
          <w:rFonts w:ascii="Times New Roman" w:cs="Times New Roman" w:eastAsia="Times New Roman" w:hAnsi="Times New Roman"/>
          <w:sz w:val="18"/>
          <w:szCs w:val="18"/>
          <w:color w:val="auto"/>
        </w:rPr>
        <w:t>The table below lists the aggregate number of shares subject to outstanding stock awards held by each of our non-employee directors and Mr. Dunn as of December 31, 2022.</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Subject to</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Subject to</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660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Options as of December</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RSUs as of December</w:t>
            </w:r>
          </w:p>
        </w:tc>
        <w:tc>
          <w:tcPr>
            <w:tcW w:w="0" w:type="dxa"/>
            <w:vAlign w:val="bottom"/>
          </w:tcPr>
          <w:p>
            <w:pPr>
              <w:spacing w:after="0"/>
              <w:rPr>
                <w:sz w:val="1"/>
                <w:szCs w:val="1"/>
                <w:color w:val="auto"/>
              </w:rPr>
            </w:pPr>
          </w:p>
        </w:tc>
      </w:tr>
      <w:tr>
        <w:trPr>
          <w:trHeight w:val="214"/>
        </w:trPr>
        <w:tc>
          <w:tcPr>
            <w:tcW w:w="6600" w:type="dxa"/>
            <w:vAlign w:val="bottom"/>
            <w:gridSpan w:val="2"/>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31, 2022</w:t>
            </w: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31, 2022</w:t>
            </w:r>
          </w:p>
        </w:tc>
        <w:tc>
          <w:tcPr>
            <w:tcW w:w="0" w:type="dxa"/>
            <w:vAlign w:val="bottom"/>
          </w:tcPr>
          <w:p>
            <w:pPr>
              <w:spacing w:after="0"/>
              <w:rPr>
                <w:sz w:val="1"/>
                <w:szCs w:val="1"/>
                <w:color w:val="auto"/>
              </w:rPr>
            </w:pPr>
          </w:p>
        </w:tc>
      </w:tr>
      <w:tr>
        <w:trPr>
          <w:trHeight w:val="225"/>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E. Davis, Jr.</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W. Dunn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687,754</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95,664</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G. Freund, M.D.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Jeryl L. Hilleman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K. Hinckley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 Loh</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 Nishmura</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 Valentine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77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non-employee director receives an annual cash retainer of $45,000 for serving on our Board.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chairperson and members of the three committees of our Board are entitled to the following annual cash retainers: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4960" w:type="dxa"/>
            <w:vAlign w:val="bottom"/>
            <w:gridSpan w:val="2"/>
          </w:tcPr>
          <w:p>
            <w:pPr>
              <w:ind w:left="1780"/>
              <w:spacing w:after="0"/>
              <w:rPr>
                <w:sz w:val="20"/>
                <w:szCs w:val="20"/>
                <w:color w:val="auto"/>
              </w:rPr>
            </w:pPr>
            <w:r>
              <w:rPr>
                <w:rFonts w:ascii="Times New Roman" w:cs="Times New Roman" w:eastAsia="Times New Roman" w:hAnsi="Times New Roman"/>
                <w:sz w:val="16"/>
                <w:szCs w:val="16"/>
                <w:color w:val="auto"/>
              </w:rPr>
              <w:t>Board Committee</w:t>
            </w: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Chairperson Fee</w:t>
            </w:r>
          </w:p>
        </w:tc>
        <w:tc>
          <w:tcPr>
            <w:tcW w:w="200" w:type="dxa"/>
            <w:vAlign w:val="bottom"/>
          </w:tcPr>
          <w:p>
            <w:pPr>
              <w:spacing w:after="0"/>
              <w:rPr>
                <w:sz w:val="18"/>
                <w:szCs w:val="18"/>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6"/>
                <w:szCs w:val="16"/>
                <w:color w:val="auto"/>
              </w:rPr>
              <w:t>Member Fee</w:t>
            </w:r>
          </w:p>
        </w:tc>
      </w:tr>
      <w:tr>
        <w:trPr>
          <w:trHeight w:val="226"/>
        </w:trPr>
        <w:tc>
          <w:tcPr>
            <w:tcW w:w="4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Compensation Committee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Board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new non-employee director who joins our Board will receive a restricted stock unit award with a value of $200,000. The shares subject to these equity awards will vest ratably over 36 months, subject to the non-employee director’s continuous service with us on each applicable vesting date.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under the policy, on the date of each annual meeting of our stockholders, each continuing non-employee director may receive a restricted stock unit award with a value of $120,000, vesting approximately one year from the grant date, subject to the non-employee director’s continuous service with us on each applicable vesting date.</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Chair</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2022, our Jeffrey Dunn served as our Executive Chairman, pursuant to the Amendment dated January 5, 2021 to the Offer Letter Agreement dated December 15, 2009 and the Severance Plan Participation (the "Executive Chairman Agreement"). Pursuant to the Executive Chairman Agreement, Mr. Dunn devoted 50% of his business time to the affairs of the company, including leadership of our Board, and was paid a salary equal to approximately 50% of his salary effective immediately prior to his transition from Chief Executive Officer of the company to Executive Chair of the company in April 2021. In addition, in January 2022, our Compensation Committee approved the grant of a restricted stock unit to Mr. Dunn, vesting quarterly over the four years following the date of grant. Mr. Dunn was also eligible to participate in our annual Corporate Bonus Plan in 2022, with a target bonus amount of 100% of the salary earned in the same period, with achievement based on corporate performance, consistent with our named executive officers. Mr. Dunn will continue to serve as Executive Chairman of our Board until May 1, 2023, at which point he will become Chair of the Board and will be compensated according to our non-employee director compensation policy described above.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9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4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The compensation actually paid disclosed below for our Principal Executive Officer (“PEO”) and the average of our non-PEO named executive officers “Non-PEO NEOs” was calculated in accordance with the requirements of Item 402(v) of Regulation S-K. The compensation actually paid figures presented in the table below incorporate total executive compensation as reported in the Summary Compensation Table adjusted for changes in the fair value of equity awards (we do not have any pension benefits). Accordingly, compensation actually paid does not equate to the amount that is actually paid to any executive in a given year and is merely a measurement determined by the SEC in an effort to identify the relationship between executive compensation and our financial performance.</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actually paid to our PEO and average of our Non-PEO NEOs, serving in such capacity, along with certain measures of our performance in each of the two years ended December 31, 2022 and December 31, 2021:</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w:t>
            </w:r>
            <w:r>
              <w:rPr>
                <w:rFonts w:ascii="Times New Roman" w:cs="Times New Roman" w:eastAsia="Times New Roman" w:hAnsi="Times New Roman"/>
                <w:sz w:val="9"/>
                <w:szCs w:val="9"/>
                <w:b w:val="1"/>
                <w:bCs w:val="1"/>
                <w:color w:val="auto"/>
                <w:w w:val="99"/>
              </w:rPr>
              <w:t>(1)</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260" w:type="dxa"/>
            <w:vAlign w:val="bottom"/>
            <w:tcBorders>
              <w:top w:val="single" w:sz="8" w:color="auto"/>
              <w:right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Net Loss (millions)</w:t>
            </w:r>
          </w:p>
        </w:tc>
        <w:tc>
          <w:tcPr>
            <w:tcW w:w="0" w:type="dxa"/>
            <w:vAlign w:val="bottom"/>
          </w:tcPr>
          <w:p>
            <w:pPr>
              <w:spacing w:after="0"/>
              <w:rPr>
                <w:sz w:val="1"/>
                <w:szCs w:val="1"/>
                <w:color w:val="auto"/>
              </w:rPr>
            </w:pPr>
          </w:p>
        </w:tc>
      </w:tr>
      <w:tr>
        <w:trPr>
          <w:trHeight w:val="123"/>
        </w:trPr>
        <w:tc>
          <w:tcPr>
            <w:tcW w:w="106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4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0"/>
                <w:szCs w:val="10"/>
                <w:color w:val="auto"/>
              </w:rPr>
            </w:pPr>
          </w:p>
        </w:tc>
        <w:tc>
          <w:tcPr>
            <w:tcW w:w="118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320" w:type="dxa"/>
            <w:vAlign w:val="bottom"/>
          </w:tcPr>
          <w:p>
            <w:pPr>
              <w:spacing w:after="0"/>
              <w:rPr>
                <w:sz w:val="10"/>
                <w:szCs w:val="10"/>
                <w:color w:val="auto"/>
              </w:rPr>
            </w:pPr>
          </w:p>
        </w:tc>
        <w:tc>
          <w:tcPr>
            <w:tcW w:w="940" w:type="dxa"/>
            <w:vAlign w:val="bottom"/>
            <w:tcBorders>
              <w:right w:val="single" w:sz="8" w:color="auto"/>
            </w:tcBorders>
          </w:tcPr>
          <w:p>
            <w:pPr>
              <w:jc w:val="right"/>
              <w:ind w:right="536"/>
              <w:spacing w:after="0"/>
              <w:rPr>
                <w:sz w:val="20"/>
                <w:szCs w:val="20"/>
                <w:color w:val="auto"/>
              </w:rPr>
            </w:pPr>
            <w:r>
              <w:rPr>
                <w:rFonts w:ascii="Times New Roman" w:cs="Times New Roman" w:eastAsia="Times New Roman" w:hAnsi="Times New Roman"/>
                <w:sz w:val="9"/>
                <w:szCs w:val="9"/>
                <w:b w:val="1"/>
                <w:bCs w:val="1"/>
                <w:color w:val="auto"/>
              </w:rPr>
              <w:t>(9)</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 w:type="dxa"/>
            <w:vAlign w:val="bottom"/>
          </w:tcPr>
          <w:p>
            <w:pPr>
              <w:spacing w:after="0"/>
              <w:rPr>
                <w:sz w:val="14"/>
                <w:szCs w:val="14"/>
                <w:color w:val="auto"/>
              </w:rPr>
            </w:pPr>
          </w:p>
        </w:tc>
        <w:tc>
          <w:tcPr>
            <w:tcW w:w="11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PEO#1</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4"/>
                <w:szCs w:val="14"/>
                <w:color w:val="auto"/>
              </w:rPr>
            </w:pP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0" w:type="dxa"/>
            <w:vAlign w:val="bottom"/>
          </w:tcPr>
          <w:p>
            <w:pPr>
              <w:spacing w:after="0"/>
              <w:rPr>
                <w:sz w:val="14"/>
                <w:szCs w:val="14"/>
                <w:color w:val="auto"/>
              </w:rPr>
            </w:pPr>
          </w:p>
        </w:tc>
        <w:tc>
          <w:tcPr>
            <w:tcW w:w="11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PEO#2</w:t>
            </w:r>
            <w:r>
              <w:rPr>
                <w:rFonts w:ascii="Times New Roman" w:cs="Times New Roman" w:eastAsia="Times New Roman" w:hAnsi="Times New Roman"/>
                <w:sz w:val="9"/>
                <w:szCs w:val="9"/>
                <w:b w:val="1"/>
                <w:bCs w:val="1"/>
                <w:color w:val="auto"/>
              </w:rPr>
              <w:t>(5)</w:t>
            </w:r>
          </w:p>
        </w:tc>
        <w:tc>
          <w:tcPr>
            <w:tcW w:w="120" w:type="dxa"/>
            <w:vAlign w:val="bottom"/>
          </w:tcPr>
          <w:p>
            <w:pPr>
              <w:spacing w:after="0"/>
              <w:rPr>
                <w:sz w:val="14"/>
                <w:szCs w:val="14"/>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4"/>
                <w:szCs w:val="14"/>
                <w:color w:val="auto"/>
              </w:rPr>
            </w:pPr>
          </w:p>
        </w:tc>
        <w:tc>
          <w:tcPr>
            <w:tcW w:w="11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Based</w:t>
            </w:r>
          </w:p>
        </w:tc>
        <w:tc>
          <w:tcPr>
            <w:tcW w:w="32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PEO#1</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PEO#2</w:t>
            </w:r>
            <w:r>
              <w:rPr>
                <w:rFonts w:ascii="Times New Roman" w:cs="Times New Roman" w:eastAsia="Times New Roman" w:hAnsi="Times New Roman"/>
                <w:sz w:val="9"/>
                <w:szCs w:val="9"/>
                <w:b w:val="1"/>
                <w:bCs w:val="1"/>
                <w:color w:val="auto"/>
              </w:rPr>
              <w:t>(4)</w:t>
            </w:r>
          </w:p>
        </w:tc>
        <w:tc>
          <w:tcPr>
            <w:tcW w:w="12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9"/>
                <w:szCs w:val="9"/>
                <w:b w:val="1"/>
                <w:bCs w:val="1"/>
                <w:color w:val="auto"/>
              </w:rPr>
              <w:t>(6)</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9"/>
                <w:szCs w:val="9"/>
                <w:b w:val="1"/>
                <w:bCs w:val="1"/>
                <w:color w:val="auto"/>
              </w:rPr>
              <w:t>(7)</w:t>
            </w:r>
          </w:p>
        </w:tc>
        <w:tc>
          <w:tcPr>
            <w:tcW w:w="120" w:type="dxa"/>
            <w:vAlign w:val="bottom"/>
          </w:tcPr>
          <w:p>
            <w:pPr>
              <w:spacing w:after="0"/>
              <w:rPr>
                <w:sz w:val="16"/>
                <w:szCs w:val="16"/>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On:</w:t>
            </w:r>
          </w:p>
        </w:tc>
        <w:tc>
          <w:tcPr>
            <w:tcW w:w="3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06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3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9"/>
                <w:szCs w:val="9"/>
                <w:b w:val="1"/>
                <w:bCs w:val="1"/>
                <w:color w:val="auto"/>
              </w:rPr>
              <w:t>(8)</w:t>
            </w:r>
          </w:p>
        </w:tc>
        <w:tc>
          <w:tcPr>
            <w:tcW w:w="3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4,893,959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2,616,198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2,243,715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1,185,889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86"/>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4,347,631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1,058,832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3,430,641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2,203,680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2,075,023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1,418,469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60" w:lineRule="exact"/>
        <w:rPr>
          <w:sz w:val="20"/>
          <w:szCs w:val="20"/>
          <w:color w:val="auto"/>
        </w:rPr>
      </w:pPr>
    </w:p>
    <w:p>
      <w:pPr>
        <w:ind w:left="300" w:hanging="25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accordingly, we have not included any information in this table for 2020.</w:t>
      </w:r>
    </w:p>
    <w:p>
      <w:pPr>
        <w:spacing w:after="0" w:line="265" w:lineRule="exact"/>
        <w:rPr>
          <w:rFonts w:ascii="Times New Roman" w:cs="Times New Roman" w:eastAsia="Times New Roman" w:hAnsi="Times New Roman"/>
          <w:sz w:val="18"/>
          <w:szCs w:val="18"/>
          <w:color w:val="auto"/>
        </w:rPr>
      </w:pPr>
    </w:p>
    <w:p>
      <w:pPr>
        <w:ind w:left="420" w:right="20" w:hanging="372"/>
        <w:spacing w:after="0" w:line="313"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amounts of total compensation reported for Mr. Dunn (our former CEO) for 2021 in the “Total” column of the Summary Compensation Table in our prior year's proxy statement.</w:t>
      </w:r>
    </w:p>
    <w:p>
      <w:pPr>
        <w:spacing w:after="0" w:line="175" w:lineRule="exact"/>
        <w:rPr>
          <w:rFonts w:ascii="Times New Roman" w:cs="Times New Roman" w:eastAsia="Times New Roman" w:hAnsi="Times New Roman"/>
          <w:sz w:val="18"/>
          <w:szCs w:val="18"/>
          <w:color w:val="auto"/>
        </w:rPr>
      </w:pPr>
    </w:p>
    <w:p>
      <w:pPr>
        <w:ind w:left="420" w:right="20" w:hanging="372"/>
        <w:spacing w:after="0" w:line="281" w:lineRule="auto"/>
        <w:tabs>
          <w:tab w:leader="none" w:pos="3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“compensation actually paid” to Mr. Dunn, as computed in accordance with Item 402(v) of Regulation S-K. The dollar amounts do not reflect the actual amount of compensation earned by or paid to Mr. Dunn during the applicable year. In accordance with the requirements of Item 402(v) of Regulation S-K, the following adjustments were made to Mr Dunn’s total compensation for 2021 to determine the compensation actually paid: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06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Minus </w:t>
            </w:r>
            <w:r>
              <w:rPr>
                <w:rFonts w:ascii="Times New Roman" w:cs="Times New Roman" w:eastAsia="Times New Roman" w:hAnsi="Times New Roman"/>
                <w:sz w:val="14"/>
                <w:szCs w:val="14"/>
                <w:b w:val="1"/>
                <w:bCs w:val="1"/>
                <w:color w:val="auto"/>
              </w:rPr>
              <w:t>Stock and</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Year-End Equity</w:t>
            </w:r>
          </w:p>
        </w:tc>
        <w:tc>
          <w:tcPr>
            <w:tcW w:w="14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 Value</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Value of Awards</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 Value</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from</w:t>
            </w:r>
          </w:p>
        </w:tc>
        <w:tc>
          <w:tcPr>
            <w:tcW w:w="120" w:type="dxa"/>
            <w:vAlign w:val="bottom"/>
          </w:tcPr>
          <w:p>
            <w:pPr>
              <w:spacing w:after="0"/>
              <w:rPr>
                <w:sz w:val="14"/>
                <w:szCs w:val="14"/>
                <w:color w:val="auto"/>
              </w:rPr>
            </w:pPr>
          </w:p>
        </w:tc>
        <w:tc>
          <w:tcPr>
            <w:tcW w:w="13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10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Unvested Awards</w:t>
            </w:r>
          </w:p>
        </w:tc>
        <w:tc>
          <w:tcPr>
            <w:tcW w:w="8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Granted and Vested</w:t>
            </w: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of Prior Years'</w:t>
            </w:r>
          </w:p>
        </w:tc>
        <w:tc>
          <w:tcPr>
            <w:tcW w:w="180" w:type="dxa"/>
            <w:vAlign w:val="bottom"/>
          </w:tcPr>
          <w:p>
            <w:pPr>
              <w:spacing w:after="0"/>
              <w:rPr>
                <w:sz w:val="14"/>
                <w:szCs w:val="14"/>
                <w:color w:val="auto"/>
              </w:rPr>
            </w:pPr>
          </w:p>
        </w:tc>
        <w:tc>
          <w:tcPr>
            <w:tcW w:w="126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130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3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8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Vested During</w:t>
            </w:r>
          </w:p>
        </w:tc>
        <w:tc>
          <w:tcPr>
            <w:tcW w:w="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20" w:type="dxa"/>
            <w:vAlign w:val="bottom"/>
          </w:tcPr>
          <w:p>
            <w:pPr>
              <w:spacing w:after="0"/>
              <w:rPr>
                <w:sz w:val="16"/>
                <w:szCs w:val="16"/>
                <w:color w:val="auto"/>
              </w:rPr>
            </w:pPr>
          </w:p>
        </w:tc>
        <w:tc>
          <w:tcPr>
            <w:tcW w:w="13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00" w:type="dxa"/>
            <w:vAlign w:val="bottom"/>
          </w:tcPr>
          <w:p>
            <w:pPr>
              <w:spacing w:after="0"/>
              <w:rPr>
                <w:sz w:val="16"/>
                <w:szCs w:val="16"/>
                <w:color w:val="auto"/>
              </w:rPr>
            </w:pPr>
          </w:p>
        </w:tc>
        <w:tc>
          <w:tcPr>
            <w:tcW w:w="13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901"/>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0"/>
        </w:trPr>
        <w:tc>
          <w:tcPr>
            <w:tcW w:w="1060" w:type="dxa"/>
            <w:vAlign w:val="bottom"/>
            <w:tcBorders>
              <w:left w:val="single" w:sz="8" w:color="auto"/>
              <w:bottom w:val="single" w:sz="8" w:color="CCEEFF"/>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4,347,631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(3,599,820)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(1,041,880)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488,973</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(273,091)</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1,058,832</w:t>
            </w:r>
          </w:p>
        </w:tc>
      </w:tr>
      <w:tr>
        <w:trPr>
          <w:trHeight w:val="20"/>
        </w:trPr>
        <w:tc>
          <w:tcPr>
            <w:tcW w:w="1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333" w:lineRule="exact"/>
        <w:rPr>
          <w:sz w:val="20"/>
          <w:szCs w:val="20"/>
          <w:color w:val="auto"/>
        </w:rPr>
      </w:pPr>
    </w:p>
    <w:p>
      <w:pPr>
        <w:ind w:left="420" w:right="20" w:hanging="372"/>
        <w:spacing w:after="0" w:line="297" w:lineRule="auto"/>
        <w:tabs>
          <w:tab w:leader="none" w:pos="3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amounts of total compensation reported for Ms. Francis (our current CEO) for each corresponding year in the “Total” column of the Summary Compensation Table. Refer to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60"/>
          </w:cols>
          <w:pgMar w:left="320" w:top="1400" w:right="319" w:bottom="1440" w:gutter="0" w:footer="0" w:header="0"/>
        </w:sectPr>
      </w:pPr>
    </w:p>
    <w:bookmarkStart w:id="51" w:name="page52"/>
    <w:bookmarkEnd w:id="51"/>
    <w:p>
      <w:pPr>
        <w:ind w:left="420" w:hanging="372"/>
        <w:spacing w:after="0" w:line="281" w:lineRule="auto"/>
        <w:tabs>
          <w:tab w:leader="none" w:pos="3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“compensation actually paid” to Ms. Francis, as computed in accordance with Item 402(v) of Regulation S-K. The dollar amounts do not reflect the actual amount of compensation earned by or paid to Ms. Francis during the applicable year. In accordance with the requirements of Item 402(v) of Regulation S-K, the following adjustments were made to Ms. Francis’s total compensation for each year to determine the compensation actually paid: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06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Minus </w:t>
            </w:r>
            <w:r>
              <w:rPr>
                <w:rFonts w:ascii="Times New Roman" w:cs="Times New Roman" w:eastAsia="Times New Roman" w:hAnsi="Times New Roman"/>
                <w:sz w:val="14"/>
                <w:szCs w:val="14"/>
                <w:b w:val="1"/>
                <w:bCs w:val="1"/>
                <w:color w:val="auto"/>
              </w:rPr>
              <w:t>Stock and</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Year-End Equity</w:t>
            </w:r>
          </w:p>
        </w:tc>
        <w:tc>
          <w:tcPr>
            <w:tcW w:w="14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 Value</w:t>
            </w:r>
          </w:p>
        </w:tc>
        <w:tc>
          <w:tcPr>
            <w:tcW w:w="1440" w:type="dxa"/>
            <w:vAlign w:val="bottom"/>
            <w:tcBorders>
              <w:top w:val="single" w:sz="8" w:color="auto"/>
              <w:right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Value of Awards</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 Value</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from</w:t>
            </w:r>
          </w:p>
        </w:tc>
        <w:tc>
          <w:tcPr>
            <w:tcW w:w="120" w:type="dxa"/>
            <w:vAlign w:val="bottom"/>
          </w:tcPr>
          <w:p>
            <w:pPr>
              <w:spacing w:after="0"/>
              <w:rPr>
                <w:sz w:val="14"/>
                <w:szCs w:val="14"/>
                <w:color w:val="auto"/>
              </w:rPr>
            </w:pPr>
          </w:p>
        </w:tc>
        <w:tc>
          <w:tcPr>
            <w:tcW w:w="13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10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Unvested Awards</w:t>
            </w:r>
          </w:p>
        </w:tc>
        <w:tc>
          <w:tcPr>
            <w:tcW w:w="80" w:type="dxa"/>
            <w:vAlign w:val="bottom"/>
          </w:tcPr>
          <w:p>
            <w:pPr>
              <w:spacing w:after="0"/>
              <w:rPr>
                <w:sz w:val="14"/>
                <w:szCs w:val="14"/>
                <w:color w:val="auto"/>
              </w:rPr>
            </w:pPr>
          </w:p>
        </w:tc>
        <w:tc>
          <w:tcPr>
            <w:tcW w:w="13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Granted and Vested</w:t>
            </w: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of Prior Years'</w:t>
            </w:r>
          </w:p>
        </w:tc>
        <w:tc>
          <w:tcPr>
            <w:tcW w:w="180" w:type="dxa"/>
            <w:vAlign w:val="bottom"/>
          </w:tcPr>
          <w:p>
            <w:pPr>
              <w:spacing w:after="0"/>
              <w:rPr>
                <w:sz w:val="14"/>
                <w:szCs w:val="14"/>
                <w:color w:val="auto"/>
              </w:rPr>
            </w:pPr>
          </w:p>
        </w:tc>
        <w:tc>
          <w:tcPr>
            <w:tcW w:w="126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130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3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4"/>
                <w:szCs w:val="14"/>
                <w:color w:val="auto"/>
              </w:rPr>
            </w:pPr>
          </w:p>
        </w:tc>
        <w:tc>
          <w:tcPr>
            <w:tcW w:w="13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80" w:type="dxa"/>
            <w:vAlign w:val="bottom"/>
          </w:tcPr>
          <w:p>
            <w:pPr>
              <w:spacing w:after="0"/>
              <w:rPr>
                <w:sz w:val="14"/>
                <w:szCs w:val="14"/>
                <w:color w:val="auto"/>
              </w:rPr>
            </w:pPr>
          </w:p>
        </w:tc>
        <w:tc>
          <w:tcPr>
            <w:tcW w:w="136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Vested During</w:t>
            </w:r>
          </w:p>
        </w:tc>
        <w:tc>
          <w:tcPr>
            <w:tcW w:w="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20" w:type="dxa"/>
            <w:vAlign w:val="bottom"/>
          </w:tcPr>
          <w:p>
            <w:pPr>
              <w:spacing w:after="0"/>
              <w:rPr>
                <w:sz w:val="16"/>
                <w:szCs w:val="16"/>
                <w:color w:val="auto"/>
              </w:rPr>
            </w:pPr>
          </w:p>
        </w:tc>
        <w:tc>
          <w:tcPr>
            <w:tcW w:w="13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00" w:type="dxa"/>
            <w:vAlign w:val="bottom"/>
          </w:tcPr>
          <w:p>
            <w:pPr>
              <w:spacing w:after="0"/>
              <w:rPr>
                <w:sz w:val="16"/>
                <w:szCs w:val="16"/>
                <w:color w:val="auto"/>
              </w:rPr>
            </w:pPr>
          </w:p>
        </w:tc>
        <w:tc>
          <w:tcPr>
            <w:tcW w:w="13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914"/>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14"/>
        </w:trPr>
        <w:tc>
          <w:tcPr>
            <w:tcW w:w="1060" w:type="dxa"/>
            <w:vAlign w:val="bottom"/>
            <w:tcBorders>
              <w:left w:val="single" w:sz="8" w:color="auto"/>
              <w:bottom w:val="single" w:sz="8" w:color="CCEEFF"/>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4,893,959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(3,785,800)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2,157,221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(596,449)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214,756</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(267,489)</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2,616,198</w:t>
            </w:r>
          </w:p>
        </w:tc>
      </w:tr>
      <w:tr>
        <w:trPr>
          <w:trHeight w:val="186"/>
        </w:trPr>
        <w:tc>
          <w:tcPr>
            <w:tcW w:w="106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3,430,641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(2,550,899)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1,530,180</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(439,338)</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350,481</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(117,385)</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2,203,680</w:t>
            </w:r>
          </w:p>
        </w:tc>
      </w:tr>
      <w:tr>
        <w:trPr>
          <w:trHeight w:val="2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ind w:left="420" w:hanging="372"/>
        <w:spacing w:after="0" w:line="281" w:lineRule="auto"/>
        <w:tabs>
          <w:tab w:leader="none" w:pos="3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average of the amounts reported for our named executive officers (“NEOs”) as a group (thus excluding each of Mr. Dunn, who served as our CEO for a portion of 2021, and Ms. Francis, who has served as our CEO for a portion of 2021 and all of 2022) in the “Total” column of the Summary Compensation Table in each applicable year. The Non-PEO NEOs included for purposes of calculating the average amounts in each applicable year were Mr. Maheshwari and Mr. Recupero.</w:t>
      </w:r>
    </w:p>
    <w:p>
      <w:pPr>
        <w:spacing w:after="0" w:line="205" w:lineRule="exact"/>
        <w:rPr>
          <w:rFonts w:ascii="Times New Roman" w:cs="Times New Roman" w:eastAsia="Times New Roman" w:hAnsi="Times New Roman"/>
          <w:sz w:val="18"/>
          <w:szCs w:val="18"/>
          <w:color w:val="auto"/>
        </w:rPr>
      </w:pPr>
    </w:p>
    <w:p>
      <w:pPr>
        <w:ind w:left="420" w:hanging="372"/>
        <w:spacing w:after="0" w:line="281" w:lineRule="auto"/>
        <w:tabs>
          <w:tab w:leader="none" w:pos="3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each year to determine the compensation actually paid, using the same methodology described above in footnote 3:</w:t>
      </w:r>
    </w:p>
    <w:p>
      <w:pPr>
        <w:spacing w:after="0" w:line="218" w:lineRule="exact"/>
        <w:rPr>
          <w:sz w:val="20"/>
          <w:szCs w:val="20"/>
          <w:color w:val="auto"/>
        </w:rPr>
      </w:pPr>
    </w:p>
    <w:tbl>
      <w:tblPr>
        <w:tblLayout w:type="fixed"/>
        <w:tblInd w:w="50" w:type="dxa"/>
        <w:tblCellMar>
          <w:top w:w="0" w:type="dxa"/>
          <w:left w:w="0" w:type="dxa"/>
          <w:bottom w:w="0" w:type="dxa"/>
          <w:right w:w="0" w:type="dxa"/>
        </w:tblCellMar>
      </w:tblPr>
      <w:tr>
        <w:trPr>
          <w:trHeight w:val="178"/>
        </w:trPr>
        <w:tc>
          <w:tcPr>
            <w:tcW w:w="102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Avg. Summary</w:t>
            </w:r>
          </w:p>
        </w:tc>
        <w:tc>
          <w:tcPr>
            <w:tcW w:w="1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Minus </w:t>
            </w:r>
            <w:r>
              <w:rPr>
                <w:rFonts w:ascii="Times New Roman" w:cs="Times New Roman" w:eastAsia="Times New Roman" w:hAnsi="Times New Roman"/>
                <w:sz w:val="14"/>
                <w:szCs w:val="14"/>
                <w:b w:val="1"/>
                <w:bCs w:val="1"/>
                <w:color w:val="auto"/>
              </w:rPr>
              <w:t>Avg. Stock and</w:t>
            </w:r>
          </w:p>
        </w:tc>
        <w:tc>
          <w:tcPr>
            <w:tcW w:w="1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Year-End</w:t>
            </w:r>
          </w:p>
        </w:tc>
        <w:tc>
          <w:tcPr>
            <w:tcW w:w="14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Change in</w:t>
            </w: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Value of</w:t>
            </w:r>
          </w:p>
        </w:tc>
        <w:tc>
          <w:tcPr>
            <w:tcW w:w="14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Change in</w:t>
            </w: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Avg. Compensation</w:t>
            </w:r>
          </w:p>
        </w:tc>
      </w:tr>
      <w:tr>
        <w:trPr>
          <w:trHeight w:val="162"/>
        </w:trPr>
        <w:tc>
          <w:tcPr>
            <w:tcW w:w="102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from</w:t>
            </w:r>
          </w:p>
        </w:tc>
        <w:tc>
          <w:tcPr>
            <w:tcW w:w="120" w:type="dxa"/>
            <w:vAlign w:val="bottom"/>
          </w:tcPr>
          <w:p>
            <w:pPr>
              <w:spacing w:after="0"/>
              <w:rPr>
                <w:sz w:val="14"/>
                <w:szCs w:val="1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 Value of</w:t>
            </w:r>
          </w:p>
        </w:tc>
        <w:tc>
          <w:tcPr>
            <w:tcW w:w="100" w:type="dxa"/>
            <w:vAlign w:val="bottom"/>
          </w:tcPr>
          <w:p>
            <w:pPr>
              <w:spacing w:after="0"/>
              <w:rPr>
                <w:sz w:val="14"/>
                <w:szCs w:val="14"/>
                <w:color w:val="auto"/>
              </w:rPr>
            </w:pPr>
          </w:p>
        </w:tc>
        <w:tc>
          <w:tcPr>
            <w:tcW w:w="13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 and</w:t>
            </w: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Prior Years'</w:t>
            </w:r>
          </w:p>
        </w:tc>
        <w:tc>
          <w:tcPr>
            <w:tcW w:w="80" w:type="dxa"/>
            <w:vAlign w:val="bottom"/>
          </w:tcPr>
          <w:p>
            <w:pPr>
              <w:spacing w:after="0"/>
              <w:rPr>
                <w:sz w:val="14"/>
                <w:szCs w:val="14"/>
                <w:color w:val="auto"/>
              </w:rPr>
            </w:pPr>
          </w:p>
        </w:tc>
        <w:tc>
          <w:tcPr>
            <w:tcW w:w="1320" w:type="dxa"/>
            <w:vAlign w:val="bottom"/>
            <w:tcBorders>
              <w:right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162"/>
        </w:trPr>
        <w:tc>
          <w:tcPr>
            <w:tcW w:w="102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160" w:type="dxa"/>
            <w:vAlign w:val="bottom"/>
            <w:tcBorders>
              <w:right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Unvested Awards</w:t>
            </w:r>
          </w:p>
        </w:tc>
        <w:tc>
          <w:tcPr>
            <w:tcW w:w="100" w:type="dxa"/>
            <w:vAlign w:val="bottom"/>
          </w:tcPr>
          <w:p>
            <w:pPr>
              <w:spacing w:after="0"/>
              <w:rPr>
                <w:sz w:val="14"/>
                <w:szCs w:val="14"/>
                <w:color w:val="auto"/>
              </w:rPr>
            </w:pPr>
          </w:p>
        </w:tc>
        <w:tc>
          <w:tcPr>
            <w:tcW w:w="13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During Year</w:t>
            </w:r>
          </w:p>
        </w:tc>
        <w:tc>
          <w:tcPr>
            <w:tcW w:w="160" w:type="dxa"/>
            <w:vAlign w:val="bottom"/>
          </w:tcPr>
          <w:p>
            <w:pPr>
              <w:spacing w:after="0"/>
              <w:rPr>
                <w:sz w:val="14"/>
                <w:szCs w:val="14"/>
                <w:color w:val="auto"/>
              </w:rPr>
            </w:pPr>
          </w:p>
        </w:tc>
        <w:tc>
          <w:tcPr>
            <w:tcW w:w="12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Awards Vested</w:t>
            </w:r>
          </w:p>
        </w:tc>
        <w:tc>
          <w:tcPr>
            <w:tcW w:w="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r>
      <w:tr>
        <w:trPr>
          <w:trHeight w:val="190"/>
        </w:trPr>
        <w:tc>
          <w:tcPr>
            <w:tcW w:w="1020" w:type="dxa"/>
            <w:vAlign w:val="bottom"/>
            <w:tcBorders>
              <w:left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During Year</w:t>
            </w:r>
          </w:p>
        </w:tc>
        <w:tc>
          <w:tcPr>
            <w:tcW w:w="100" w:type="dxa"/>
            <w:vAlign w:val="bottom"/>
          </w:tcPr>
          <w:p>
            <w:pPr>
              <w:spacing w:after="0"/>
              <w:rPr>
                <w:sz w:val="16"/>
                <w:szCs w:val="16"/>
                <w:color w:val="auto"/>
              </w:rPr>
            </w:pPr>
          </w:p>
        </w:tc>
        <w:tc>
          <w:tcPr>
            <w:tcW w:w="13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10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914"/>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r>
      <w:tr>
        <w:trPr>
          <w:trHeight w:val="215"/>
        </w:trPr>
        <w:tc>
          <w:tcPr>
            <w:tcW w:w="1020" w:type="dxa"/>
            <w:vAlign w:val="bottom"/>
            <w:tcBorders>
              <w:left w:val="single" w:sz="8" w:color="auto"/>
              <w:bottom w:val="single" w:sz="8" w:color="CCEEFF"/>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2,243,715</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(1,538,932)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775,142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187,412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1,185,889</w:t>
            </w:r>
          </w:p>
        </w:tc>
      </w:tr>
      <w:tr>
        <w:trPr>
          <w:trHeight w:val="186"/>
        </w:trPr>
        <w:tc>
          <w:tcPr>
            <w:tcW w:w="102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2,075,023</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(1,547,509)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969,111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145,490</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(47,840)</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1,418,469</w:t>
            </w: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ind w:left="420" w:hanging="372"/>
        <w:spacing w:after="0" w:line="281" w:lineRule="auto"/>
        <w:tabs>
          <w:tab w:leader="none" w:pos="3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a fixed investment of $100 at the beginning of the measurement period (December 31, 2020) into a number of shares by the value of that investment at the end of the measurement period plus the cumulative amount of dividends for the measurement period, assuming dividend reinvestment. "Measurement period" is defined as: for 2021, the one-year period from market close on December 31, 2020 through December 31, 2021; and for 2022, the two-year period from market close on December 31, 2020 through December 30, 2022.</w:t>
      </w:r>
    </w:p>
    <w:p>
      <w:pPr>
        <w:spacing w:after="0" w:line="205" w:lineRule="exact"/>
        <w:rPr>
          <w:rFonts w:ascii="Times New Roman" w:cs="Times New Roman" w:eastAsia="Times New Roman" w:hAnsi="Times New Roman"/>
          <w:sz w:val="18"/>
          <w:szCs w:val="18"/>
          <w:color w:val="auto"/>
        </w:rPr>
      </w:pPr>
    </w:p>
    <w:p>
      <w:pPr>
        <w:ind w:left="300" w:hanging="252"/>
        <w:spacing w:after="0"/>
        <w:tabs>
          <w:tab w:leader="none" w:pos="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reflected in our audited financial statements for the applicable year.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431" w:right="339" w:bottom="1440" w:gutter="0" w:footer="0" w:header="0"/>
        </w:sectPr>
      </w:pPr>
    </w:p>
    <w:bookmarkStart w:id="52" w:name="page53"/>
    <w:bookmarkEnd w:id="52"/>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Measures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described in above, our executive compensation program reflects a variable pay-for-performance philosophy. The metrics that we use for both our long-term and short-term incentive awards are selected based on an objective of incentivizing our NEOs to increase the value of our enterprise for our shareholders. The most important financial performance measures used by us to link executive compensation actually paid to our NEOs, for the most recently completed fiscal year, to our performance are as follows:</w:t>
      </w:r>
    </w:p>
    <w:p>
      <w:pPr>
        <w:spacing w:after="0" w:line="20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TSR, as described in the Long-Term Incentive Compensation section of the Executive Compensation narrative above</w:t>
      </w: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defined in the Overview to the Executive Compensation narrative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described in more detail above, our executive compensation program reflects a variable pay-for-performance philosophy. While we utilize several performance measures to align executive compensation with our performance, not all of those company measures are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 as well as compensation actually paid as compared to our revenue.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graph shows the relationship between compensation actually paid and TSR. TSR shows the cumulative total return on an investment of $100 in cash on December 31, 2020 through December 21, 2022, in our common stock, assuming that any dividends were reinvested. The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4500245" cy="2811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024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the relationship between compensation actually paid and Net Loss: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911860</wp:posOffset>
            </wp:positionV>
            <wp:extent cx="5048885" cy="265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04888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Actually Paid and Revenue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the relationship between compensation actually paid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171450</wp:posOffset>
            </wp:positionV>
            <wp:extent cx="4937760" cy="254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77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filing of SI-BONE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r>
        <w:rPr>
          <w:rFonts w:ascii="Calibri" w:cs="Calibri" w:eastAsia="Calibri" w:hAnsi="Calibri"/>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020"/>
          </w:cols>
          <w:pgMar w:left="320" w:top="1440" w:right="559" w:bottom="1440" w:gutter="0" w:footer="0" w:header="0"/>
        </w:sectPr>
      </w:pPr>
    </w:p>
    <w:bookmarkStart w:id="54" w:name="page55"/>
    <w:bookmarkEnd w:id="54"/>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2021, to which we have been a party in which the amount involved exceeded the lesser of $120,000 or one percent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discussed above.</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24, 2020, we entered into a joint development agreement (the “Development Agreement”) with SeaSpine Orthopedics Corporation (“SeaSpine”), which recently merged with Orthofix Medical, Inc., to develop a next generation device for sacropelvic fixation. Mr. Keith Valentine, who serves as the President, Chief Executive Officer and a member of the board of directors of SeaSpine, also serves as a member of our Board. On April 27, 2021, Addendum No.1 to the Development Agreement was entered into by and between us and SeaSpine to extend certain obligations as described under the Development Agreement.</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terms of the Development Agreement, we agreed to make monthly payments to SeaSpine to reimburse for full time resources employed by SeaSpine responsible for conducting the development activities. For the years ended December 31, 2022 and 2021, we expensed $38,725 and $29,000, respectively, of reimbursement charges from SeaSpine.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of our intellectual property incorporated into the product to be developed. We also agreed to pay SeaSpine a product royalty, in an amount specified in the Development Agreement, for each resulting product sold for a period of 10 years beginning on the initial market launch.</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AND PROXY MATERIALS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40"/>
          </w:cols>
          <w:pgMar w:left="320" w:top="981" w:right="339" w:bottom="1440" w:gutter="0" w:footer="0" w:header="0"/>
        </w:sectPr>
      </w:pPr>
    </w:p>
    <w:bookmarkStart w:id="55" w:name="page56"/>
    <w:bookmarkEnd w:id="55"/>
    <w:p>
      <w:pPr>
        <w:jc w:val="both"/>
        <w:spacing w:after="0" w:line="276"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General Counsel,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spacing w:after="0" w:line="1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56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A. Pisetsky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2023</w:t>
      </w:r>
    </w:p>
    <w:p>
      <w:pPr>
        <w:spacing w:after="0" w:line="23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b w:val="1"/>
          <w:bCs w:val="1"/>
          <w:color w:val="auto"/>
        </w:rPr>
        <w:t>A copy of SI-BONE, Inc.’s Annual Report to the Securities and Exchange Commission on Form 10-K for the fiscal year ending December 31, 2022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783"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808990</wp:posOffset>
            </wp:positionV>
            <wp:extent cx="6172200" cy="7637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63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732155</wp:posOffset>
            </wp:positionV>
            <wp:extent cx="6000750" cy="4389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438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bullet"/>
      <w:start w:val="1"/>
    </w:lvl>
  </w:abstractNum>
  <w:abstractNum w:abstractNumId="6">
    <w:nsid w:val="2CA88611"/>
    <w:multiLevelType w:val="hybridMultilevel"/>
    <w:lvl w:ilvl="0">
      <w:lvlJc w:val="left"/>
      <w:lvlText w:val="2"/>
      <w:numFmt w:val="bullet"/>
      <w:start w:val="1"/>
    </w:lvl>
  </w:abstractNum>
  <w:abstractNum w:abstractNumId="7">
    <w:nsid w:val="836C40E"/>
    <w:multiLevelType w:val="hybridMultilevel"/>
    <w:lvl w:ilvl="0">
      <w:lvlJc w:val="left"/>
      <w:lvlText w:val="3"/>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2"/>
      <w:numFmt w:val="bullet"/>
      <w:start w:val="1"/>
    </w:lvl>
  </w:abstractNum>
  <w:abstractNum w:abstractNumId="13">
    <w:nsid w:val="737B8DDC"/>
    <w:multiLevelType w:val="hybridMultilevel"/>
    <w:lvl w:ilvl="0">
      <w:lvlJc w:val="left"/>
      <w:lvlText w:val="3"/>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7"/>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ü"/>
      <w:numFmt w:val="bullet"/>
      <w:start w:val="1"/>
    </w:lvl>
  </w:abstractNum>
  <w:abstractNum w:abstractNumId="31">
    <w:nsid w:val="580BD78F"/>
    <w:multiLevelType w:val="hybridMultilevel"/>
    <w:lvl w:ilvl="0">
      <w:lvlJc w:val="left"/>
      <w:lvlText w:val="û"/>
      <w:numFmt w:val="bullet"/>
      <w:start w:val="1"/>
    </w:lvl>
  </w:abstractNum>
  <w:abstractNum w:abstractNumId="32">
    <w:nsid w:val="153EA438"/>
    <w:multiLevelType w:val="hybridMultilevel"/>
    <w:lvl w:ilvl="0">
      <w:lvlJc w:val="left"/>
      <w:lvlText w:val="ü"/>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lvl w:ilvl="1">
      <w:lvlJc w:val="left"/>
      <w:lvlText w:val="%2"/>
      <w:numFmt w:val="upperLetter"/>
      <w:start w:val="1"/>
    </w:lvl>
  </w:abstractNum>
  <w:abstractNum w:abstractNumId="44">
    <w:nsid w:val="6DE91B18"/>
    <w:multiLevelType w:val="hybridMultilevel"/>
    <w:lvl w:ilvl="0">
      <w:lvlJc w:val="left"/>
      <w:lvlText w:val="(%1)"/>
      <w:numFmt w:val="decimal"/>
      <w:start w:val="4"/>
    </w:lvl>
  </w:abstractNum>
  <w:abstractNum w:abstractNumId="45">
    <w:nsid w:val="38437FDB"/>
    <w:multiLevelType w:val="hybridMultilevel"/>
    <w:lvl w:ilvl="0">
      <w:lvlJc w:val="left"/>
      <w:lvlText w:val="(%1)"/>
      <w:numFmt w:val="decimal"/>
      <w:start w:val="5"/>
    </w:lvl>
    <w:lvl w:ilvl="1">
      <w:lvlJc w:val="left"/>
      <w:lvlText w:val="%2"/>
      <w:numFmt w:val="upperLetter"/>
      <w:start w:val="1"/>
    </w:lvl>
  </w:abstractNum>
  <w:abstractNum w:abstractNumId="46">
    <w:nsid w:val="7644A45C"/>
    <w:multiLevelType w:val="hybridMultilevel"/>
    <w:lvl w:ilvl="0">
      <w:lvlJc w:val="left"/>
      <w:lvlText w:val="(%1)"/>
      <w:numFmt w:val="decimal"/>
      <w:start w:val="6"/>
    </w:lvl>
  </w:abstractNum>
  <w:abstractNum w:abstractNumId="47">
    <w:nsid w:val="32FFF902"/>
    <w:multiLevelType w:val="hybridMultilevel"/>
    <w:lvl w:ilvl="0">
      <w:lvlJc w:val="left"/>
      <w:lvlText w:val="(%1)"/>
      <w:numFmt w:val="decimal"/>
      <w:start w:val="8"/>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2023-04-21T15:29:41Z</dcterms:created>
  <dcterms:modified xsi:type="dcterms:W3CDTF">2023-04-21T15:29:41Z</dcterms:modified>
</cp:coreProperties>
</file>