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3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color w:val="auto"/>
        </w:rPr>
        <w:t>(Amendment No.__)</w:t>
      </w:r>
    </w:p>
    <w:p>
      <w:pPr>
        <w:spacing w:after="0" w:line="237"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5"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right="3919" w:firstLine="8"/>
        <w:spacing w:after="0" w:line="236" w:lineRule="exact"/>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0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147955</wp:posOffset>
            </wp:positionV>
            <wp:extent cx="22028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125730</wp:posOffset>
            </wp:positionV>
            <wp:extent cx="2228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81"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0"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88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INVITATION TO 2022 ANNUAL MEETING OF STOCKHOLDERS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Thursday, June 16, 2022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 8:00 a.m., local time</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22,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Please join me at the Annual Meeting of Stockholders of SI-BONE, Inc. on June 16, 2022. This year, we will be conducting a virtual annual meeting due to the continuing public health impact of coronavirus disease (COVID-19). You will not be able to attend the meeting in person, but we do encourage our stockholders participate in our annual meeting online by way of our live webcast as outlined in this proxy statement. At the annual meeting, we will ask you to:</w:t>
      </w:r>
    </w:p>
    <w:p>
      <w:pPr>
        <w:spacing w:after="0" w:line="1" w:lineRule="exact"/>
        <w:rPr>
          <w:sz w:val="20"/>
          <w:szCs w:val="20"/>
          <w:color w:val="auto"/>
        </w:rPr>
      </w:pPr>
    </w:p>
    <w:p>
      <w:pPr>
        <w:jc w:val="both"/>
        <w:ind w:firstLine="8"/>
        <w:spacing w:after="0" w:line="234"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Board of Directors’ three nominees, Timothy E. Davis, Jr., Laura A. Francis and Jeryl L. Hilleman, as directors serving in Class I of the Board of Directors of SI-BONE, each to serve until the next annual meeting in which directors in Class I shall be elected, or until a successor is duly elected and qualified;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4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by the Audit Committee of the Board of Directors of PricewaterhouseCoopers LLP as our independent registered public accounting firm for our fiscal year ending December 31, 2022;</w:t>
      </w:r>
    </w:p>
    <w:p>
      <w:pPr>
        <w:spacing w:after="0" w:line="1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advisory, non-binding vote on the compensation of our named executive officers, as disclosed in this proxy statement;</w:t>
      </w:r>
    </w:p>
    <w:p>
      <w:pPr>
        <w:spacing w:after="0" w:line="23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on an advisory basis, the preferred frequency of stockholder advisory votes on the compensation of our named executive officers; and</w:t>
      </w:r>
    </w:p>
    <w:p>
      <w:pPr>
        <w:spacing w:after="0" w:line="23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other business properly brought before the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 of Directors will also be present.</w:t>
      </w:r>
    </w:p>
    <w:p>
      <w:pPr>
        <w:spacing w:after="0" w:line="27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Whether or not you are able to attend the annual meeting by webcast, it is important that your shares be represented. We have provided in the accompanying proxy statement instructions on how to vote your shares. Please vote as soon as possible.</w:t>
      </w:r>
    </w:p>
    <w:p>
      <w:pPr>
        <w:spacing w:after="0" w:line="1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Sincerely yours,</w:t>
      </w:r>
    </w:p>
    <w:p>
      <w:pPr>
        <w:spacing w:after="0" w:line="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Laura Francis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77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471 El Camino Real, Suite 101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95050</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16, 2022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5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You are cordially invited to attend the virtual Annual Meeting of Stockholders of SI-BONE, Inc., a Delaware corporation. The meeting will be a completely virtual meeting of stockholders and will be held on Thursday, June 16, 2022 at 8:00 a.m. local time by live webcast as described in the proxy statement accompanying this notice. The Annual Meeting is being held for the following purposes:</w:t>
      </w:r>
    </w:p>
    <w:p>
      <w:pPr>
        <w:spacing w:after="0" w:line="204" w:lineRule="exact"/>
        <w:rPr>
          <w:sz w:val="20"/>
          <w:szCs w:val="20"/>
          <w:color w:val="auto"/>
        </w:rPr>
      </w:pPr>
    </w:p>
    <w:p>
      <w:pPr>
        <w:ind w:firstLine="8"/>
        <w:spacing w:after="0" w:line="281"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three nominees for director to serve until the 2025 Annual Meeting of Stockholders or until their successors are elected and qualified.</w:t>
      </w:r>
    </w:p>
    <w:p>
      <w:pPr>
        <w:spacing w:after="0" w:line="1" w:lineRule="exact"/>
        <w:rPr>
          <w:rFonts w:ascii="Times New Roman" w:cs="Times New Roman" w:eastAsia="Times New Roman" w:hAnsi="Times New Roman"/>
          <w:sz w:val="18"/>
          <w:szCs w:val="18"/>
          <w:color w:val="auto"/>
        </w:rPr>
      </w:pPr>
    </w:p>
    <w:p>
      <w:pPr>
        <w:ind w:right="20" w:firstLine="8"/>
        <w:spacing w:after="0" w:line="281"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PricewaterhouseCoopers LLP as our independent registered public accounting firm for the fiscal year ending December 31, 2022.</w:t>
      </w:r>
    </w:p>
    <w:p>
      <w:pPr>
        <w:spacing w:after="0" w:line="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 advisory, non-binding vote on the compensation of our named executive officers, as disclosed in this proxy statement.</w:t>
      </w:r>
    </w:p>
    <w:p>
      <w:pPr>
        <w:spacing w:after="0" w:line="6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indicate, on an advisory basis, the preferred frequency of stockholder advisory votes on the compensation of our named executive officers.</w:t>
      </w:r>
    </w:p>
    <w:p>
      <w:pPr>
        <w:spacing w:after="0" w:line="6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You will be able to attend the virtual Annual Meeting and submit your questions and vote your shares online during the meeting by visiting www.virtualshareholdermeeting.com/SIBN2022 and using your 16-digit control number to enter the virtual Annual Meeting. If you determine to attend the Annual Meeting by webcast, you will only be able to participate by using your 16-digit control number provided on the proxy or information card to enter the Annual Meeting. Without your 16-digit control number, you will only be able to enter as a guest in listen-only mode and will not be able to vote. Therefore, it is important to retain a copy of your proxy or information card you receive to enable you to gain participation access to the virtual Annual Meeting.</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stockholder list will also be available during the Annual Meeting at www.virtualshareholdermeeting.com/SIBN2022. Instructions on how stockholders of record can view the stockholder list during the Annual Meeting are posted at www.virtualshareholdermeeting.com/SIBN2022. The record date for the Annual Meeting is April 18, 2022.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jc w:val="center"/>
        <w:ind w:left="340" w:right="4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2022 Stockholders’ Meeting to Be Held on June 16, 2022 via live webcast at www.virtualshareholdermeeting.com/SIBN2022. You will need the 16-digit control number provided on the proxy or information card in order to gain access to the Annual Meeting by live webcast.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proxy statement and annual report to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1560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Michael A. Pisetsky</w:t>
      </w:r>
    </w:p>
    <w:p>
      <w:pPr>
        <w:spacing w:after="0" w:line="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Secretary and Chief Legal</w:t>
      </w:r>
    </w:p>
    <w:p>
      <w:pPr>
        <w:ind w:left="4560"/>
        <w:spacing w:after="0"/>
        <w:rPr>
          <w:sz w:val="20"/>
          <w:szCs w:val="20"/>
          <w:color w:val="auto"/>
        </w:rPr>
      </w:pPr>
      <w:r>
        <w:rPr>
          <w:rFonts w:ascii="Times New Roman" w:cs="Times New Roman" w:eastAsia="Times New Roman" w:hAnsi="Times New Roman"/>
          <w:sz w:val="18"/>
          <w:szCs w:val="18"/>
          <w:color w:val="auto"/>
        </w:rPr>
        <w:t>Officer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ectPr>
          <w:pgSz w:w="11900" w:h="16838" w:orient="portrait"/>
          <w:cols w:equalWidth="0" w:num="1">
            <w:col w:w="11240"/>
          </w:cols>
          <w:pgMar w:left="320" w:top="927" w:right="339" w:bottom="1440" w:gutter="0" w:footer="0" w:header="0"/>
        </w:sectPr>
      </w:pPr>
    </w:p>
    <w:bookmarkStart w:id="3" w:name="page4"/>
    <w:bookmarkEnd w:id="3"/>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You are cordially invited to attend the meeting by live webcast as described in the proxy statement accompanying this notice. Whether or not you expect to attend the meeting, please vote as soon as possible in order to ensure your representation at the meeting. You may vote over the internet or by a toll-free telephone number, or you may vote by mailing a completed, signed and dated proxy card or voting instruction card in the envelope provided with the proxy card or voting instruction card. Please note that any stockholder attending the virtual Annual Meeting may vote online during the meeting, even if the stockholder has already returned a proxy card or voting instruction card. Please see the instructions in the attached proxy statement and on your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95050</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16, 2022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 MATERIALS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JUNE 16, 2022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statement and our 2022 Annual Report to Stockholders, which includes our Annual Report on Form 10-K for the fiscal year ended December 31, 2021, are available on our website at https://investor.si-bone.com/financial-information/annual-reports and www.proxyvote.com. We intend to mail these proxy materials on or about April 22, 2022 to all stockholders of record entitled to vote at the annual meeting.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 AGENDA</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1620" w:type="dxa"/>
            <w:vAlign w:val="bottom"/>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w w:val="95"/>
              </w:rPr>
              <w:t>Proposal</w:t>
            </w:r>
          </w:p>
        </w:tc>
        <w:tc>
          <w:tcPr>
            <w:tcW w:w="0" w:type="dxa"/>
            <w:vAlign w:val="bottom"/>
          </w:tcPr>
          <w:p>
            <w:pPr>
              <w:spacing w:after="0"/>
              <w:rPr>
                <w:sz w:val="1"/>
                <w:szCs w:val="1"/>
                <w:color w:val="auto"/>
              </w:rPr>
            </w:pPr>
          </w:p>
        </w:tc>
      </w:tr>
      <w:tr>
        <w:trPr>
          <w:trHeight w:val="212"/>
        </w:trPr>
        <w:tc>
          <w:tcPr>
            <w:tcW w:w="1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2540</wp:posOffset>
            </wp:positionV>
            <wp:extent cx="314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2040" w:right="100" w:hanging="788"/>
        <w:spacing w:after="0" w:line="224" w:lineRule="auto"/>
        <w:tabs>
          <w:tab w:leader="none" w:pos="2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three nominees for director to serve until the 2025 Annual Meeting of Stockholders or until their successors are elected and qualified.</w:t>
      </w:r>
    </w:p>
    <w:p>
      <w:pPr>
        <w:spacing w:after="0" w:line="64" w:lineRule="exact"/>
        <w:rPr>
          <w:sz w:val="20"/>
          <w:szCs w:val="20"/>
          <w:color w:val="auto"/>
        </w:rPr>
      </w:pPr>
    </w:p>
    <w:p>
      <w:pPr>
        <w:ind w:left="2040" w:right="60" w:hanging="788"/>
        <w:spacing w:after="0" w:line="220" w:lineRule="auto"/>
        <w:tabs>
          <w:tab w:leader="none" w:pos="2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PricewaterhouseCoopers LLP as our independent registered public accounting firm for the fiscal year ending December 31, 2022.</w:t>
      </w:r>
    </w:p>
    <w:p>
      <w:pPr>
        <w:spacing w:after="0" w:line="10" w:lineRule="exact"/>
        <w:rPr>
          <w:sz w:val="20"/>
          <w:szCs w:val="20"/>
          <w:color w:val="auto"/>
        </w:rPr>
      </w:pPr>
    </w:p>
    <w:p>
      <w:pPr>
        <w:ind w:left="2040" w:right="60" w:hanging="788"/>
        <w:spacing w:after="0" w:line="226" w:lineRule="auto"/>
        <w:tabs>
          <w:tab w:leader="none" w:pos="2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 advisory non-binding vote on the compensation of our named executive officers, as disclosed in this proxy statement.</w:t>
      </w:r>
    </w:p>
    <w:p>
      <w:pPr>
        <w:spacing w:after="0" w:line="9" w:lineRule="exact"/>
        <w:rPr>
          <w:sz w:val="20"/>
          <w:szCs w:val="20"/>
          <w:color w:val="auto"/>
        </w:rPr>
      </w:pPr>
    </w:p>
    <w:p>
      <w:pPr>
        <w:ind w:left="2040" w:hanging="788"/>
        <w:spacing w:after="0" w:line="226" w:lineRule="auto"/>
        <w:tabs>
          <w:tab w:leader="none" w:pos="2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indicate, on an advisory basis, the frequency of stockholder advisory votes on 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21590</wp:posOffset>
            </wp:positionV>
            <wp:extent cx="24085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3" w:lineRule="exact"/>
        <w:rPr>
          <w:sz w:val="20"/>
          <w:szCs w:val="20"/>
          <w:color w:val="auto"/>
        </w:rPr>
      </w:pPr>
    </w:p>
    <w:p>
      <w:pPr>
        <w:ind w:right="1520"/>
        <w:spacing w:after="0" w:line="226" w:lineRule="auto"/>
        <w:rPr>
          <w:sz w:val="20"/>
          <w:szCs w:val="20"/>
          <w:color w:val="auto"/>
        </w:rPr>
      </w:pPr>
      <w:r>
        <w:rPr>
          <w:rFonts w:ascii="Times New Roman" w:cs="Times New Roman" w:eastAsia="Times New Roman" w:hAnsi="Times New Roman"/>
          <w:sz w:val="18"/>
          <w:szCs w:val="18"/>
          <w:color w:val="auto"/>
        </w:rPr>
        <w:t>The three nominees receiving the most “For” votes will be elected; withheld votes will have no effect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votes from the holders of a</w:t>
      </w:r>
    </w:p>
    <w:p>
      <w:pPr>
        <w:spacing w:after="0" w:line="203" w:lineRule="auto"/>
        <w:rPr>
          <w:sz w:val="20"/>
          <w:szCs w:val="20"/>
          <w:color w:val="auto"/>
        </w:rPr>
      </w:pPr>
      <w:r>
        <w:rPr>
          <w:rFonts w:ascii="Times New Roman" w:cs="Times New Roman" w:eastAsia="Times New Roman" w:hAnsi="Times New Roman"/>
          <w:sz w:val="18"/>
          <w:szCs w:val="18"/>
          <w:color w:val="auto"/>
        </w:rPr>
        <w:t>majority of shares present,</w:t>
      </w:r>
    </w:p>
    <w:p>
      <w:pPr>
        <w:spacing w:after="0" w:line="219" w:lineRule="auto"/>
        <w:rPr>
          <w:sz w:val="20"/>
          <w:szCs w:val="20"/>
          <w:color w:val="auto"/>
        </w:rPr>
      </w:pPr>
      <w:r>
        <w:rPr>
          <w:rFonts w:ascii="Times New Roman" w:cs="Times New Roman" w:eastAsia="Times New Roman" w:hAnsi="Times New Roman"/>
          <w:sz w:val="18"/>
          <w:szCs w:val="18"/>
          <w:color w:val="auto"/>
        </w:rPr>
        <w:t>via webcast or represented by proxy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entitled to vote on the matter</w:t>
      </w:r>
    </w:p>
    <w:p>
      <w:pPr>
        <w:spacing w:after="0" w:line="192" w:lineRule="exact"/>
        <w:rPr>
          <w:sz w:val="20"/>
          <w:szCs w:val="20"/>
          <w:color w:val="auto"/>
        </w:rPr>
      </w:pPr>
    </w:p>
    <w:p>
      <w:pPr>
        <w:ind w:right="1400"/>
        <w:spacing w:after="0" w:line="226" w:lineRule="auto"/>
        <w:rPr>
          <w:sz w:val="20"/>
          <w:szCs w:val="20"/>
          <w:color w:val="auto"/>
        </w:rPr>
      </w:pPr>
      <w:r>
        <w:rPr>
          <w:rFonts w:ascii="Times New Roman" w:cs="Times New Roman" w:eastAsia="Times New Roman" w:hAnsi="Times New Roman"/>
          <w:sz w:val="18"/>
          <w:szCs w:val="18"/>
          <w:color w:val="auto"/>
        </w:rPr>
        <w:t>“For” votes from the holders of a majority of shares present via webcast or represented by proxy and entitled to vote on the matter.</w:t>
      </w:r>
    </w:p>
    <w:p>
      <w:pPr>
        <w:spacing w:after="0" w:line="9" w:lineRule="exact"/>
        <w:rPr>
          <w:sz w:val="20"/>
          <w:szCs w:val="20"/>
          <w:color w:val="auto"/>
        </w:rPr>
      </w:pPr>
    </w:p>
    <w:p>
      <w:pPr>
        <w:ind w:right="1420"/>
        <w:spacing w:after="0" w:line="216" w:lineRule="auto"/>
        <w:rPr>
          <w:sz w:val="20"/>
          <w:szCs w:val="20"/>
          <w:color w:val="auto"/>
        </w:rPr>
      </w:pPr>
      <w:r>
        <w:rPr>
          <w:rFonts w:ascii="Times New Roman" w:cs="Times New Roman" w:eastAsia="Times New Roman" w:hAnsi="Times New Roman"/>
          <w:sz w:val="18"/>
          <w:szCs w:val="18"/>
          <w:color w:val="auto"/>
        </w:rPr>
        <w:t>The frequency receiving “For” votes from the holders of a majority of shares present via webcast or represented by proxy and entitled to vote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will be the frequency approved.</w:t>
      </w:r>
    </w:p>
    <w:p>
      <w:pPr>
        <w:sectPr>
          <w:pgSz w:w="11900" w:h="16838" w:orient="portrait"/>
          <w:cols w:equalWidth="0" w:num="2">
            <w:col w:w="5660" w:space="500"/>
            <w:col w:w="5080"/>
          </w:cols>
          <w:pgMar w:left="320" w:top="1143" w:right="339" w:bottom="1440" w:gutter="0" w:footer="0" w:header="0"/>
          <w:type w:val="continuous"/>
        </w:sectPr>
      </w:pPr>
    </w:p>
    <w:bookmarkStart w:id="4" w:name="page5"/>
    <w:bookmarkEnd w:id="4"/>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364"/>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QUESTIONS AND ANSWERS ABOUT THESE PROXY MATERIALS AND VOTING</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PROPOSAL NO. 1 ELECTION OF DIRECTORS</w:t>
            </w:r>
          </w:p>
        </w:tc>
        <w:tc>
          <w:tcPr>
            <w:tcW w:w="250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INFORMATION REGARDING THE BOARD OF DIRECTORS AND CORPORATE GOVERNANCE</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02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Family Relationships</w:t>
            </w:r>
          </w:p>
        </w:tc>
        <w:tc>
          <w:tcPr>
            <w:tcW w:w="144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6"/>
              </w:rPr>
              <w:t>Independence of the Board of Directors</w:t>
            </w:r>
          </w:p>
        </w:tc>
        <w:tc>
          <w:tcPr>
            <w:tcW w:w="5660" w:type="dxa"/>
            <w:vAlign w:val="bottom"/>
            <w:gridSpan w:val="17"/>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Board Skills and Attributes</w:t>
            </w:r>
          </w:p>
        </w:tc>
        <w:tc>
          <w:tcPr>
            <w:tcW w:w="6480" w:type="dxa"/>
            <w:vAlign w:val="bottom"/>
            <w:gridSpan w:val="29"/>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Board Leadership Structure</w:t>
            </w:r>
          </w:p>
        </w:tc>
        <w:tc>
          <w:tcPr>
            <w:tcW w:w="6460" w:type="dxa"/>
            <w:vAlign w:val="bottom"/>
            <w:gridSpan w:val="28"/>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Role of the Board in Risk Oversight</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Meetings of The Board of Directors</w:t>
            </w:r>
          </w:p>
        </w:tc>
        <w:tc>
          <w:tcPr>
            <w:tcW w:w="5860" w:type="dxa"/>
            <w:vAlign w:val="bottom"/>
            <w:gridSpan w:val="20"/>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Board Committees and Meetings</w:t>
            </w:r>
          </w:p>
        </w:tc>
        <w:tc>
          <w:tcPr>
            <w:tcW w:w="5880" w:type="dxa"/>
            <w:vAlign w:val="bottom"/>
            <w:gridSpan w:val="21"/>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Audit Committee</w:t>
            </w:r>
          </w:p>
        </w:tc>
        <w:tc>
          <w:tcPr>
            <w:tcW w:w="6120" w:type="dxa"/>
            <w:vAlign w:val="bottom"/>
            <w:gridSpan w:val="24"/>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Report of the Audit Committee of the Board of Directors</w:t>
            </w:r>
          </w:p>
        </w:tc>
        <w:tc>
          <w:tcPr>
            <w:tcW w:w="3900" w:type="dxa"/>
            <w:vAlign w:val="bottom"/>
            <w:gridSpan w:val="9"/>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Compensation Committee</w:t>
            </w:r>
          </w:p>
        </w:tc>
        <w:tc>
          <w:tcPr>
            <w:tcW w:w="2220" w:type="dxa"/>
            <w:vAlign w:val="bottom"/>
            <w:gridSpan w:val="15"/>
          </w:tcPr>
          <w:p>
            <w:pPr>
              <w:spacing w:after="0"/>
              <w:rPr>
                <w:sz w:val="18"/>
                <w:szCs w:val="18"/>
                <w:color w:val="auto"/>
              </w:rPr>
            </w:pPr>
          </w:p>
        </w:tc>
        <w:tc>
          <w:tcPr>
            <w:tcW w:w="3900" w:type="dxa"/>
            <w:vAlign w:val="bottom"/>
            <w:gridSpan w:val="9"/>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Nominating and Corporate Governance Committee</w:t>
            </w:r>
          </w:p>
        </w:tc>
        <w:tc>
          <w:tcPr>
            <w:tcW w:w="4320" w:type="dxa"/>
            <w:vAlign w:val="bottom"/>
            <w:gridSpan w:val="11"/>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Stockholder Communications With The Board Of Directors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Code of Business Conduct and Ethics</w:t>
            </w:r>
          </w:p>
        </w:tc>
        <w:tc>
          <w:tcPr>
            <w:tcW w:w="4160" w:type="dxa"/>
            <w:vAlign w:val="bottom"/>
            <w:gridSpan w:val="10"/>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Corporate Governance Guidelines</w:t>
            </w:r>
          </w:p>
        </w:tc>
        <w:tc>
          <w:tcPr>
            <w:tcW w:w="5740" w:type="dxa"/>
            <w:vAlign w:val="bottom"/>
            <w:gridSpan w:val="18"/>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Hedging and Pledging Prohibition</w:t>
            </w:r>
          </w:p>
        </w:tc>
        <w:tc>
          <w:tcPr>
            <w:tcW w:w="5980" w:type="dxa"/>
            <w:vAlign w:val="bottom"/>
            <w:gridSpan w:val="22"/>
          </w:tcPr>
          <w:p>
            <w:pPr>
              <w:spacing w:after="0"/>
              <w:rPr>
                <w:sz w:val="18"/>
                <w:szCs w:val="18"/>
                <w:color w:val="auto"/>
              </w:rPr>
            </w:pPr>
          </w:p>
        </w:tc>
        <w:tc>
          <w:tcPr>
            <w:tcW w:w="7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19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Stock Ownership Guidelines</w:t>
            </w:r>
          </w:p>
        </w:tc>
        <w:tc>
          <w:tcPr>
            <w:tcW w:w="400" w:type="dxa"/>
            <w:vAlign w:val="bottom"/>
            <w:gridSpan w:val="5"/>
          </w:tcPr>
          <w:p>
            <w:pPr>
              <w:spacing w:after="0"/>
              <w:rPr>
                <w:sz w:val="18"/>
                <w:szCs w:val="18"/>
                <w:color w:val="auto"/>
              </w:rPr>
            </w:pPr>
          </w:p>
        </w:tc>
        <w:tc>
          <w:tcPr>
            <w:tcW w:w="5980" w:type="dxa"/>
            <w:vAlign w:val="bottom"/>
            <w:gridSpan w:val="22"/>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PROPOSAL NO. 2 RATIFICATION OF SELECTION OF INDEPENDENT REGISTERED PUBLIC ACCOUNTING</w:t>
            </w:r>
          </w:p>
        </w:tc>
        <w:tc>
          <w:tcPr>
            <w:tcW w:w="600" w:type="dxa"/>
            <w:vAlign w:val="bottom"/>
            <w:gridSpan w:val="2"/>
            <w:vMerge w:val="restart"/>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00" w:type="dxa"/>
            <w:vAlign w:val="bottom"/>
            <w:tcBorders>
              <w:top w:val="single" w:sz="8" w:color="0000FF"/>
            </w:tcBorders>
            <w:gridSpan w:val="38"/>
          </w:tcPr>
          <w:p>
            <w:pPr>
              <w:spacing w:after="0" w:line="169" w:lineRule="exact"/>
              <w:rPr>
                <w:sz w:val="20"/>
                <w:szCs w:val="20"/>
                <w:color w:val="auto"/>
              </w:rPr>
            </w:pPr>
            <w:r>
              <w:rPr>
                <w:rFonts w:ascii="Times New Roman" w:cs="Times New Roman" w:eastAsia="Times New Roman" w:hAnsi="Times New Roman"/>
                <w:sz w:val="18"/>
                <w:szCs w:val="18"/>
                <w:color w:val="0000FF"/>
              </w:rPr>
              <w:t>FIRM</w:t>
            </w:r>
          </w:p>
        </w:tc>
        <w:tc>
          <w:tcPr>
            <w:tcW w:w="3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Pre-Approval Policies and Procedures</w:t>
            </w:r>
          </w:p>
        </w:tc>
        <w:tc>
          <w:tcPr>
            <w:tcW w:w="5660" w:type="dxa"/>
            <w:vAlign w:val="bottom"/>
            <w:gridSpan w:val="17"/>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w w:val="99"/>
              </w:rPr>
              <w:t>PROPOSAL NO. 3: ADVISORY VOTE ON EXECUTIVE COMPENSATION</w:t>
            </w:r>
          </w:p>
        </w:tc>
        <w:tc>
          <w:tcPr>
            <w:tcW w:w="3240" w:type="dxa"/>
            <w:vAlign w:val="bottom"/>
            <w:gridSpan w:val="6"/>
          </w:tcPr>
          <w:p>
            <w:pPr>
              <w:spacing w:after="0"/>
              <w:rPr>
                <w:sz w:val="18"/>
                <w:szCs w:val="18"/>
                <w:color w:val="auto"/>
              </w:rPr>
            </w:pPr>
          </w:p>
        </w:tc>
        <w:tc>
          <w:tcPr>
            <w:tcW w:w="7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22</w:t>
            </w: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PROPOSAL NO. 4: ADVISORY VOTE ON THE FREQUENCY OF STOCKHOLDER ADVISORY VOTES ON</w:t>
            </w:r>
          </w:p>
        </w:tc>
        <w:tc>
          <w:tcPr>
            <w:tcW w:w="740" w:type="dxa"/>
            <w:vAlign w:val="bottom"/>
            <w:gridSpan w:val="3"/>
            <w:vMerge w:val="restart"/>
          </w:tcPr>
          <w:p>
            <w:pPr>
              <w:jc w:val="center"/>
              <w:ind w:left="270"/>
              <w:spacing w:after="0"/>
              <w:rPr>
                <w:sz w:val="20"/>
                <w:szCs w:val="20"/>
                <w:color w:val="auto"/>
              </w:rPr>
            </w:pPr>
            <w:r>
              <w:rPr>
                <w:rFonts w:ascii="Times New Roman" w:cs="Times New Roman" w:eastAsia="Times New Roman" w:hAnsi="Times New Roman"/>
                <w:sz w:val="18"/>
                <w:szCs w:val="18"/>
                <w:color w:val="0000FF"/>
                <w:w w:val="99"/>
              </w:rPr>
              <w:t>22</w:t>
            </w:r>
          </w:p>
        </w:tc>
        <w:tc>
          <w:tcPr>
            <w:tcW w:w="0" w:type="dxa"/>
            <w:vAlign w:val="bottom"/>
          </w:tcPr>
          <w:p>
            <w:pPr>
              <w:spacing w:after="0"/>
              <w:rPr>
                <w:sz w:val="1"/>
                <w:szCs w:val="1"/>
                <w:color w:val="auto"/>
              </w:rPr>
            </w:pPr>
          </w:p>
        </w:tc>
      </w:tr>
      <w:tr>
        <w:trPr>
          <w:trHeight w:val="169"/>
        </w:trPr>
        <w:tc>
          <w:tcPr>
            <w:tcW w:w="8300" w:type="dxa"/>
            <w:vAlign w:val="bottom"/>
            <w:tcBorders>
              <w:top w:val="single" w:sz="8" w:color="0000FF"/>
            </w:tcBorders>
            <w:gridSpan w:val="37"/>
          </w:tcPr>
          <w:p>
            <w:pPr>
              <w:spacing w:after="0" w:line="169" w:lineRule="exact"/>
              <w:rPr>
                <w:sz w:val="20"/>
                <w:szCs w:val="20"/>
                <w:color w:val="auto"/>
              </w:rPr>
            </w:pPr>
            <w:r>
              <w:rPr>
                <w:rFonts w:ascii="Times New Roman" w:cs="Times New Roman" w:eastAsia="Times New Roman" w:hAnsi="Times New Roman"/>
                <w:sz w:val="18"/>
                <w:szCs w:val="18"/>
                <w:color w:val="0000FF"/>
              </w:rPr>
              <w:t>EXECUTIVE COMPENSATION</w:t>
            </w:r>
          </w:p>
        </w:tc>
        <w:tc>
          <w:tcPr>
            <w:tcW w:w="680" w:type="dxa"/>
            <w:vAlign w:val="bottom"/>
            <w:gridSpan w:val="2"/>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2"/>
              </w:rPr>
              <w:t>MANAGEMENT</w:t>
            </w:r>
          </w:p>
        </w:tc>
        <w:tc>
          <w:tcPr>
            <w:tcW w:w="5480" w:type="dxa"/>
            <w:vAlign w:val="bottom"/>
            <w:gridSpan w:val="31"/>
          </w:tcPr>
          <w:p>
            <w:pPr>
              <w:spacing w:after="0"/>
              <w:rPr>
                <w:sz w:val="18"/>
                <w:szCs w:val="18"/>
                <w:color w:val="auto"/>
              </w:rPr>
            </w:pPr>
          </w:p>
        </w:tc>
        <w:tc>
          <w:tcPr>
            <w:tcW w:w="2260" w:type="dxa"/>
            <w:vAlign w:val="bottom"/>
            <w:gridSpan w:val="4"/>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6"/>
              </w:rPr>
              <w:t>Executive Compensation Narrative</w:t>
            </w:r>
          </w:p>
        </w:tc>
        <w:tc>
          <w:tcPr>
            <w:tcW w:w="5980" w:type="dxa"/>
            <w:vAlign w:val="bottom"/>
            <w:gridSpan w:val="22"/>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Overview</w:t>
            </w:r>
          </w:p>
        </w:tc>
        <w:tc>
          <w:tcPr>
            <w:tcW w:w="1760" w:type="dxa"/>
            <w:vAlign w:val="bottom"/>
            <w:gridSpan w:val="13"/>
          </w:tcPr>
          <w:p>
            <w:pPr>
              <w:spacing w:after="0"/>
              <w:rPr>
                <w:sz w:val="18"/>
                <w:szCs w:val="18"/>
                <w:color w:val="auto"/>
              </w:rPr>
            </w:pPr>
          </w:p>
        </w:tc>
        <w:tc>
          <w:tcPr>
            <w:tcW w:w="5980" w:type="dxa"/>
            <w:vAlign w:val="bottom"/>
            <w:gridSpan w:val="22"/>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8"/>
              </w:rPr>
              <w:t>Compensation Philosophy and Guiding Principles</w:t>
            </w:r>
          </w:p>
        </w:tc>
        <w:tc>
          <w:tcPr>
            <w:tcW w:w="4860" w:type="dxa"/>
            <w:vAlign w:val="bottom"/>
            <w:gridSpan w:val="13"/>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Compensation-Setting Process</w:t>
            </w:r>
          </w:p>
        </w:tc>
        <w:tc>
          <w:tcPr>
            <w:tcW w:w="1380" w:type="dxa"/>
            <w:vAlign w:val="bottom"/>
            <w:gridSpan w:val="12"/>
          </w:tcPr>
          <w:p>
            <w:pPr>
              <w:spacing w:after="0"/>
              <w:rPr>
                <w:sz w:val="18"/>
                <w:szCs w:val="18"/>
                <w:color w:val="auto"/>
              </w:rPr>
            </w:pPr>
          </w:p>
        </w:tc>
        <w:tc>
          <w:tcPr>
            <w:tcW w:w="4860" w:type="dxa"/>
            <w:vAlign w:val="bottom"/>
            <w:gridSpan w:val="13"/>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Compensation Elements</w:t>
            </w:r>
          </w:p>
        </w:tc>
        <w:tc>
          <w:tcPr>
            <w:tcW w:w="6240" w:type="dxa"/>
            <w:vAlign w:val="bottom"/>
            <w:gridSpan w:val="25"/>
          </w:tcPr>
          <w:p>
            <w:pPr>
              <w:spacing w:after="0"/>
              <w:rPr>
                <w:sz w:val="18"/>
                <w:szCs w:val="18"/>
                <w:color w:val="auto"/>
              </w:rPr>
            </w:pPr>
          </w:p>
        </w:tc>
        <w:tc>
          <w:tcPr>
            <w:tcW w:w="7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SI-BONE, Inc. Severance Benefit Plan</w:t>
            </w:r>
          </w:p>
        </w:tc>
        <w:tc>
          <w:tcPr>
            <w:tcW w:w="7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Employment Arrangements</w:t>
            </w:r>
          </w:p>
        </w:tc>
        <w:tc>
          <w:tcPr>
            <w:tcW w:w="5660" w:type="dxa"/>
            <w:vAlign w:val="bottom"/>
            <w:gridSpan w:val="17"/>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Other Compensation Policies</w:t>
            </w:r>
          </w:p>
        </w:tc>
        <w:tc>
          <w:tcPr>
            <w:tcW w:w="6340" w:type="dxa"/>
            <w:vAlign w:val="bottom"/>
            <w:gridSpan w:val="26"/>
          </w:tcPr>
          <w:p>
            <w:pPr>
              <w:spacing w:after="0"/>
              <w:rPr>
                <w:sz w:val="18"/>
                <w:szCs w:val="18"/>
                <w:color w:val="auto"/>
              </w:rPr>
            </w:pPr>
          </w:p>
        </w:tc>
        <w:tc>
          <w:tcPr>
            <w:tcW w:w="7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Tax and Accounting Considerations</w:t>
            </w:r>
          </w:p>
        </w:tc>
        <w:tc>
          <w:tcPr>
            <w:tcW w:w="7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Summary Compensation Table</w:t>
            </w:r>
          </w:p>
        </w:tc>
        <w:tc>
          <w:tcPr>
            <w:tcW w:w="360" w:type="dxa"/>
            <w:vAlign w:val="bottom"/>
            <w:gridSpan w:val="4"/>
          </w:tcPr>
          <w:p>
            <w:pPr>
              <w:spacing w:after="0"/>
              <w:rPr>
                <w:sz w:val="18"/>
                <w:szCs w:val="18"/>
                <w:color w:val="auto"/>
              </w:rPr>
            </w:pPr>
          </w:p>
        </w:tc>
        <w:tc>
          <w:tcPr>
            <w:tcW w:w="5880" w:type="dxa"/>
            <w:vAlign w:val="bottom"/>
            <w:gridSpan w:val="21"/>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7"/>
              </w:rPr>
              <w:t>Outstanding Equity Awards at December 31, 2021</w:t>
            </w:r>
          </w:p>
        </w:tc>
        <w:tc>
          <w:tcPr>
            <w:tcW w:w="4860" w:type="dxa"/>
            <w:vAlign w:val="bottom"/>
            <w:gridSpan w:val="13"/>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gridSpan w:val="9"/>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Pension Benefits</w:t>
            </w:r>
          </w:p>
        </w:tc>
        <w:tc>
          <w:tcPr>
            <w:tcW w:w="4860" w:type="dxa"/>
            <w:vAlign w:val="bottom"/>
            <w:gridSpan w:val="13"/>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Nonqualified Deferred Compensation</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Securities Authorized for Issuance under Equity Compensation Plans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Compensation of Non-Employee Board Members</w:t>
            </w:r>
          </w:p>
        </w:tc>
        <w:tc>
          <w:tcPr>
            <w:tcW w:w="1380" w:type="dxa"/>
            <w:vAlign w:val="bottom"/>
            <w:gridSpan w:val="6"/>
          </w:tcPr>
          <w:p>
            <w:pPr>
              <w:spacing w:after="0"/>
              <w:rPr>
                <w:sz w:val="18"/>
                <w:szCs w:val="18"/>
                <w:color w:val="auto"/>
              </w:rPr>
            </w:pPr>
          </w:p>
        </w:tc>
        <w:tc>
          <w:tcPr>
            <w:tcW w:w="3480" w:type="dxa"/>
            <w:vAlign w:val="bottom"/>
            <w:gridSpan w:val="7"/>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0" w:type="dxa"/>
            <w:vAlign w:val="bottom"/>
            <w:gridSpan w:val="10"/>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Non-Employee Director Compensation Policy</w:t>
            </w:r>
          </w:p>
        </w:tc>
        <w:tc>
          <w:tcPr>
            <w:tcW w:w="260" w:type="dxa"/>
            <w:vAlign w:val="bottom"/>
          </w:tcPr>
          <w:p>
            <w:pPr>
              <w:spacing w:after="0"/>
              <w:rPr>
                <w:sz w:val="18"/>
                <w:szCs w:val="18"/>
                <w:color w:val="auto"/>
              </w:rPr>
            </w:pPr>
          </w:p>
        </w:tc>
        <w:tc>
          <w:tcPr>
            <w:tcW w:w="4860" w:type="dxa"/>
            <w:vAlign w:val="bottom"/>
            <w:gridSpan w:val="13"/>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0" w:type="dxa"/>
            <w:vAlign w:val="bottom"/>
            <w:gridSpan w:val="10"/>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3500" w:type="dxa"/>
            <w:vAlign w:val="bottom"/>
            <w:gridSpan w:val="8"/>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0" w:type="dxa"/>
            <w:vAlign w:val="bottom"/>
            <w:gridSpan w:val="10"/>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Related Person Transactions Policy and Procedures</w:t>
            </w:r>
          </w:p>
        </w:tc>
        <w:tc>
          <w:tcPr>
            <w:tcW w:w="3500" w:type="dxa"/>
            <w:vAlign w:val="bottom"/>
            <w:gridSpan w:val="8"/>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0" w:type="dxa"/>
            <w:vAlign w:val="bottom"/>
            <w:gridSpan w:val="10"/>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5580" w:type="dxa"/>
            <w:vAlign w:val="bottom"/>
            <w:gridSpan w:val="16"/>
            <w:shd w:val="clear" w:color="auto" w:fill="0000FF"/>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Certain Related Person Transactions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0" w:type="dxa"/>
            <w:vAlign w:val="bottom"/>
            <w:gridSpan w:val="10"/>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580" w:type="dxa"/>
            <w:vAlign w:val="bottom"/>
            <w:gridSpan w:val="1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INDEMNIFICATION AGREEMENTS</w:t>
            </w:r>
          </w:p>
        </w:tc>
        <w:tc>
          <w:tcPr>
            <w:tcW w:w="6120" w:type="dxa"/>
            <w:vAlign w:val="bottom"/>
            <w:gridSpan w:val="24"/>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5"/>
            <w:shd w:val="clear" w:color="auto" w:fill="0000FF"/>
          </w:tcPr>
          <w:p>
            <w:pPr>
              <w:spacing w:after="0" w:line="20" w:lineRule="exact"/>
              <w:rPr>
                <w:sz w:val="1"/>
                <w:szCs w:val="1"/>
                <w:color w:val="auto"/>
              </w:rPr>
            </w:pPr>
          </w:p>
        </w:tc>
        <w:tc>
          <w:tcPr>
            <w:tcW w:w="1400" w:type="dxa"/>
            <w:vAlign w:val="bottom"/>
            <w:gridSpan w:val="10"/>
            <w:shd w:val="clear" w:color="auto" w:fill="0000FF"/>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5580" w:type="dxa"/>
            <w:vAlign w:val="bottom"/>
            <w:gridSpan w:val="1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HOUSEHOLDING OF PROXY MATERIALS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5"/>
            <w:shd w:val="clear" w:color="auto" w:fill="0000FF"/>
          </w:tcPr>
          <w:p>
            <w:pPr>
              <w:spacing w:after="0" w:line="20" w:lineRule="exact"/>
              <w:rPr>
                <w:sz w:val="1"/>
                <w:szCs w:val="1"/>
                <w:color w:val="auto"/>
              </w:rPr>
            </w:pPr>
          </w:p>
        </w:tc>
        <w:tc>
          <w:tcPr>
            <w:tcW w:w="1940" w:type="dxa"/>
            <w:vAlign w:val="bottom"/>
            <w:gridSpan w:val="18"/>
            <w:shd w:val="clear" w:color="auto" w:fill="0000FF"/>
          </w:tcPr>
          <w:p>
            <w:pPr>
              <w:spacing w:after="0" w:line="20" w:lineRule="exact"/>
              <w:rPr>
                <w:sz w:val="1"/>
                <w:szCs w:val="1"/>
                <w:color w:val="auto"/>
              </w:rPr>
            </w:pPr>
          </w:p>
        </w:tc>
        <w:tc>
          <w:tcPr>
            <w:tcW w:w="5580" w:type="dxa"/>
            <w:vAlign w:val="bottom"/>
            <w:gridSpan w:val="1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5580" w:type="dxa"/>
            <w:vAlign w:val="bottom"/>
            <w:gridSpan w:val="16"/>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720"/>
          </w:cols>
          <w:pgMar w:left="960" w:top="122" w:right="1219" w:bottom="1440" w:gutter="0" w:footer="0" w:header="0"/>
        </w:sectPr>
      </w:pPr>
    </w:p>
    <w:bookmarkStart w:id="5" w:name="page6"/>
    <w:bookmarkEnd w:id="5"/>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sent you these proxy materials because our Board of Directors (the “Board” or “Board of Directors”) is soliciting your proxy to vote at the 2022 Annual Meeting of Stockholders, including at any adjournments or postponements of the meeting. You are invited to attend the virtual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on the internet.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mail these proxy materials on or about April 22, 2022 to all stockholders of record entitled to vote at the annual meeting.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included in the proxy materials?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materials include:</w:t>
      </w:r>
    </w:p>
    <w:p>
      <w:pPr>
        <w:spacing w:after="0" w:line="239" w:lineRule="exact"/>
        <w:rPr>
          <w:sz w:val="20"/>
          <w:szCs w:val="20"/>
          <w:color w:val="auto"/>
        </w:rPr>
      </w:pPr>
    </w:p>
    <w:p>
      <w:pPr>
        <w:ind w:left="660" w:hanging="328"/>
        <w:spacing w:after="0" w:line="27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which includes information regarding the proposals to be voted on at the Annual Meeting, the voting process, corporate governance, the compensation of our directors and certain executive officers, and other required information;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2021 Annual Report to Stockholders, which is our Annual Report on Form 10-K for the fiscal year ended December 31, 2021;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or a voting instruction card for the Annual Meeting.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annual meeting will be held on Thursday, June 16, 2022 at 8:00 a.m. local time by live webcast. There will not be a physical meeting location and you will not be able to attend the meeting in person physically. We invite you to attend the annual meeting by live webcast. The live audio webcast will be held on Thursday, June 16, 2022, and will begin promptly at 8:00 a.m. local time. Online check-in will begin approximately 15 minutes prior to the start of the Annual Meeting. We encourage our stockholders to access the meeting in advance of the designated start time to have ample time for check-in procedures. To attend the Annual Meeting virtually via the internet, please visit www.virtualshareholdermeeting.com/SIBN2022. To attend by live webcast you will need the 16-digit control number provided on the proxy or information card you receive in order to gain access to the annual meeting. Therefore, it is important to retain a copy of your proxy or information card you receive to enable you to gain access to the annual meeting. However, as noted above, you do not need to attend the annual meeting to vote your shares. Instead, you may simply complete, sign and return a proxy card, or follow the instructions below to submit your proxy over the telephone or on the internet.</w:t>
      </w:r>
    </w:p>
    <w:p>
      <w:pPr>
        <w:spacing w:after="0" w:line="18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If you do not have your 16-digit control number, you will be able to access and listen to the Annual Meeting, but you will not be able to vote your shares or submit questions during the Annual Meeting. See caption below titled “Attending the Annual Meeting as a Guest.”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 as a Guest</w:t>
      </w:r>
    </w:p>
    <w:p>
      <w:pPr>
        <w:spacing w:after="0" w:line="28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Guests may enter the Annual Meeting in “listen-only” mode by entering the Annual Meeting at www.virtualshareholdermeeting.com/SIBN2021 and entering the information requested in the “Guest Login” section. Guests will not have the ability to vote at the Annual Meeting.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SI-BONE having a virtual Annual Meeting?</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Due to the continuing public health concerns regarding the COVID-19 outbreak and to assist in protecting the health and well-being of our stockholders and employees and facilitate stockholder participation in the Annual Meeting, this year’s annual meeting of our stockholders will be held virtually via the internet. Stockholders attending virtually via the internet will be able to listen and vote regardless of location via the internet at www.virtualshareholdermeeting.com/SIBN2022 by using the 16-digit control number included on your proxy card or information card and the instructions that accompanied your proxy materials.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2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4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18, 2022 will be entitled to vote at the annual meeting. On this record date, there were 33,883,545 shares of common stock outstanding and entitled to vote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on April 18, 2022, your shares were registered directly in your name with our transfer agent, American Stock Transfer &amp; Trust Company, LLC, then you are a stockholder of record. As a stockholder of record, you may vote via webcast at the meeting or vote by proxy. Whether or not you plan to attend the meeting via webcast, we urge you to fill out and return the enclosed proxy card or vote by proxy over the telephone or on the internet as instructed below to ensure your vote is counted.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4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If on April 18, 2022,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w:t>
      </w:r>
    </w:p>
    <w:p>
      <w:pPr>
        <w:spacing w:after="0" w:line="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w:t>
      </w:r>
      <w:r>
        <w:rPr>
          <w:rFonts w:ascii="Times New Roman" w:cs="Times New Roman" w:eastAsia="Times New Roman" w:hAnsi="Times New Roman"/>
          <w:sz w:val="18"/>
          <w:szCs w:val="18"/>
          <w:color w:val="3F3F3F"/>
        </w:rPr>
        <w:t>Many stockholders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F3F3F"/>
        </w:rPr>
        <w:t xml:space="preserve">record will provide you with a 16-digit control number via email or in your Notice of Availability or voting instruction form in order to attend and vote your shares at the virtual Annual Meeting. If you did not receive a 16-digit control number via email or on your Notice of Availability or voting instruction form, you will be provided with other instructions from your broker, bank or other stockholder of record that must be followed, including any requirement to obtain a valid legal proxy, in order for your broker, bank or other stockholder of record to vote your shares per your instructions or to attend and vote your shares at the Annual Meeting. Many brokers, banks or other stockholders of record allow a stockholder to obtain a valid legal proxy either online or by mail, and we recommend that you contact your broker, </w:t>
      </w:r>
      <w:r>
        <w:rPr>
          <w:rFonts w:ascii="Times New Roman" w:cs="Times New Roman" w:eastAsia="Times New Roman" w:hAnsi="Times New Roman"/>
          <w:sz w:val="18"/>
          <w:szCs w:val="18"/>
          <w:color w:val="000000"/>
        </w:rPr>
        <w:t>bank or other stockholder of record to do so.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ask questions at the Annual Meeting?</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you are attending the Annual Meeting as a stockholder of record or as a beneficial owner, questions can be submitted by accessing the meeting center at www.virtualshareholdermeeting.com/SIBN2022, entering your 16-digit control number and following the instructions. Instructions on how to ask questions and participate in the Annual Meeting are posted at www.virtualshareholdermeeting.com/SIBN2022. Guests will not have the ability to ask questions during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Stockholders</w:t>
      </w:r>
    </w:p>
    <w:p>
      <w:pPr>
        <w:spacing w:after="0" w:line="2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 list of stockholders entitled to vote at the Annual Meeting will be available for examination for any purpose germane to the Annual Meeting during normal business hours for ten days prior to the Annual Meeting at our corporate headquarters. Due to the COVID-19 pandemic, please email us at StockholderCommunications@si-bone.com to arrange a time to review. The stockholder list will also be available during the Annual Meeting at www.virtualshareholdermeeting.com/SIBN2022. Instructions on how stockholders of record can view the stockholder list during the Annual Meeting are posted at www.virtualshareholdermeeting.com/SIBN2022.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3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Election of three directors (Proposal No. 1);</w:t>
      </w:r>
    </w:p>
    <w:p>
      <w:pPr>
        <w:spacing w:after="0" w:line="49" w:lineRule="exact"/>
        <w:rPr>
          <w:rFonts w:ascii="Arial" w:cs="Arial" w:eastAsia="Arial" w:hAnsi="Arial"/>
          <w:sz w:val="22"/>
          <w:szCs w:val="22"/>
          <w:color w:val="auto"/>
        </w:rPr>
      </w:pPr>
    </w:p>
    <w:p>
      <w:pPr>
        <w:ind w:left="660" w:right="20" w:hanging="328"/>
        <w:spacing w:after="0" w:line="256"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Ratification of selection by the Audit Committee of the Board of Directors of PricewaterhouseCoopers LLP as independent registered public accounting firm of SI-BONE for its fiscal year ending December 31, 2022 (Proposal No. 2);</w:t>
      </w:r>
    </w:p>
    <w:p>
      <w:pPr>
        <w:spacing w:after="0" w:line="22" w:lineRule="exact"/>
        <w:rPr>
          <w:rFonts w:ascii="Arial" w:cs="Arial" w:eastAsia="Arial" w:hAnsi="Arial"/>
          <w:sz w:val="22"/>
          <w:szCs w:val="22"/>
          <w:color w:val="auto"/>
        </w:rPr>
      </w:pPr>
    </w:p>
    <w:p>
      <w:pPr>
        <w:ind w:left="660" w:hanging="328"/>
        <w:spacing w:after="0" w:line="256"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Advisory approval of the compensation of our named executive officers, as disclosed in this proxy statement in accordance with SEC rules (Proposal No. 3); and</w:t>
      </w:r>
    </w:p>
    <w:p>
      <w:pPr>
        <w:spacing w:after="0" w:line="22" w:lineRule="exact"/>
        <w:rPr>
          <w:rFonts w:ascii="Arial" w:cs="Arial" w:eastAsia="Arial" w:hAnsi="Arial"/>
          <w:sz w:val="22"/>
          <w:szCs w:val="22"/>
          <w:color w:val="auto"/>
        </w:rPr>
      </w:pPr>
    </w:p>
    <w:p>
      <w:pPr>
        <w:ind w:left="660" w:hanging="328"/>
        <w:spacing w:after="0" w:line="275"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Advisory indication of the preferred frequency of stockholder advisory votes on the compensation of our named executive officers (Proposal No. 4)</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77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to the extent permitted under Rule 14a-4(c)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under the Exchange Act, in accordance with their best judgment.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You may either vote “For” all of the nominees to the Board of Directors or you may “Withhold” your vote for any nominee you specify. For the ratification of selection by the Audit Committee of the Board of Directors of PricewaterhouseCoopers LLP as independent registered public accounting firm of SI-BONE for its fiscal year ending December 31, 2022, and the advisory approval of the compensation of our named executive officers, as disclosed in this proxy statement in accordance with SEC rules, you may vote “For” or “Against” or abstain from voting. With regard to your advisory vote on how frequently we should solicit stockholder advisory approval of executive compensation, you may vote for any one of the following: one year, two years or three years, or you may abstain from voting on that matter. For any of the other matters to be voted on, you may vote “For” or “Against” or abstain from voting.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4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If you are a stockholder of record, you may vote via webcast at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via webcast even if you have already voted by proxy.</w:t>
      </w:r>
    </w:p>
    <w:p>
      <w:pPr>
        <w:spacing w:after="0" w:line="197" w:lineRule="exact"/>
        <w:rPr>
          <w:sz w:val="20"/>
          <w:szCs w:val="20"/>
          <w:color w:val="auto"/>
        </w:rPr>
      </w:pPr>
    </w:p>
    <w:p>
      <w:pPr>
        <w:jc w:val="both"/>
        <w:ind w:left="660" w:right="20" w:hanging="328"/>
        <w:spacing w:after="0" w:line="259"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To vote during the meeting at the live webcast, if you are a stockholder of record as of the record date, follow the instructions at www.virtualshareholdermeeting.com/SIBN2022. You will need the 16-digit control number provided on the proxy card in order to gain access to the annual meeting via webcast.</w:t>
      </w:r>
    </w:p>
    <w:p>
      <w:pPr>
        <w:spacing w:after="0" w:line="36" w:lineRule="exact"/>
        <w:rPr>
          <w:rFonts w:ascii="Arial" w:cs="Arial" w:eastAsia="Arial" w:hAnsi="Arial"/>
          <w:sz w:val="22"/>
          <w:szCs w:val="22"/>
          <w:color w:val="auto"/>
        </w:rPr>
      </w:pPr>
    </w:p>
    <w:p>
      <w:pPr>
        <w:ind w:left="660" w:hanging="328"/>
        <w:spacing w:after="0" w:line="256"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22" w:lineRule="exact"/>
        <w:rPr>
          <w:rFonts w:ascii="Arial" w:cs="Arial" w:eastAsia="Arial" w:hAnsi="Arial"/>
          <w:sz w:val="22"/>
          <w:szCs w:val="22"/>
          <w:color w:val="auto"/>
        </w:rPr>
      </w:pPr>
    </w:p>
    <w:p>
      <w:pPr>
        <w:jc w:val="both"/>
        <w:ind w:left="660" w:hanging="328"/>
        <w:spacing w:after="0" w:line="259"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control number from the enclosed proxy card. Your telephone vote must be received by 11:59 p.m., Eastern Time on June 15, 2022, to be counted.</w:t>
      </w:r>
    </w:p>
    <w:p>
      <w:pPr>
        <w:spacing w:after="0" w:line="22" w:lineRule="exact"/>
        <w:rPr>
          <w:rFonts w:ascii="Arial" w:cs="Arial" w:eastAsia="Arial" w:hAnsi="Arial"/>
          <w:sz w:val="22"/>
          <w:szCs w:val="22"/>
          <w:color w:val="auto"/>
        </w:rPr>
      </w:pPr>
    </w:p>
    <w:p>
      <w:pPr>
        <w:ind w:left="660" w:hanging="328"/>
        <w:spacing w:after="0" w:line="275"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To vote through the internet, go to www.proxyvote.com to complete an electronic proxy card. You will be asked to provide control number from the enclosed proxy card. Your internet vote must be received by 11:59 p.m. Eastern Time on June 15, 2022 to be counted.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at the live webcast, you may be able to do so if your broker has provided you with a 16-digit control number, or if you have otherwise received a valid proxy. See “Who can vote at the annual meeting? - Stockholder of Record: Shares Registered in Your Name” above. To receive a valid proxy, follow the instructions from your broker or bank included with these proxy materials, or contact your broker or other agent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77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April 18, 2022.</w:t>
      </w:r>
    </w:p>
    <w:p>
      <w:pPr>
        <w:spacing w:after="0" w:line="24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15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via webcast at the annual meeting, your shares will not be voted.</w:t>
      </w:r>
    </w:p>
    <w:p>
      <w:pPr>
        <w:spacing w:after="0" w:line="14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of the nominees for director, “For” the ratification of selection by the Audit Committee of the Board of Directors of PricewaterhouseCoopers LLP as independent registered public accounting firm of SI-BONE for its fiscal year ending December 31, 2022, “For” the advisory approval of the compensation of our named executive officers, as disclosed in this proxy statement in accordance with SEC rules, and for “one year” on how frequently we should solicit stockholder advisory approval of executive compensation. If any other matter is properly presented at the meeting, your proxy holder (one of the individuals named on your proxy card) will vote your shares using his or her best judgment.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2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Proposals 1, 3 and 4 are considered to be “non-routine” under NYSE rules meaning that your broker may not vote your shares on those proposals in the absence of your voting instructions. However, Proposal 2 is considered to be a “routine” matter under NYSE rules meaning that if you do not return voting instructions to your broker by its deadline, your shares may be voted by your broker in its discretion on Proposal 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24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5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5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the attention of our Chief Legal Officer and Secretary at 471 El Camino Real, Suite 101, Santa Clara, California 95050.</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via webcast. Simply attending the meeting will not, by itself, revoke your proxy.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77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5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 or you may attend the virtual annual meeting and vote online. Simply attending the meeting will not, by itself, revoke your proxy.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December 23, 2022, to SI-BONE, Inc., Attn: Michael A. Pisetsky, Chief Legal Officer, 471 El Camino Real, Suite 101, Santa Clara, California 95050; provided, however, that if the 2023 annual meeting of stockholders is held before May 17, 2023 or after July 16, 2023, then your proposal must be submitted in writing a reasonable amount of time before the 2023 annual meeting of stockholders.</w:t>
      </w:r>
    </w:p>
    <w:p>
      <w:pPr>
        <w:spacing w:after="0" w:line="17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If you wish to submit a proposal (including a director nomination) at the meeting that is not to be included in next year’s proxy materials, your proposal must be submitted in writing and received by our Secretary at our executive offices located at 471 El Camino Real, Suite 101, Santa Clara, California 95050, not later than the close of business on March 18, 2023, nor earlier than the close of business on February 16, 2023; provided, however, that in the event that the date of the annual meeting is held earlier than May 17, 2023, or held later than July 16, 2023, notice by the stockholder to be timely must be so received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w:t>
      </w:r>
    </w:p>
    <w:p>
      <w:pPr>
        <w:spacing w:after="0" w:line="18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Stockholders wishing to make stockholder proposals or nominations for directors should consult our bylaws, which contain additional requirements and information regarding these matters.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(a) for the proposal to elect directors, votes “For,” votes “Withheld” and broker non-votes, (b) with respect to the ratification of selection by the Audit Committee of the Board of Directors of PricewaterhouseCoopers LLP as independent registered public accounting firm of SI-BONE for its fiscal year ending December 31, 2022, and the advisory approval of the compensation of our named executive officers, as disclosed in this proxy statement in accordance with SEC rules, votes “For” and “Against,” abstentions and, if applicable, broker non-votes, (c) with respect to the proposal regarding frequency of stockholder advisory votes to approve executive compensation, votes for frequencies of one year, two years or three years, abstentions and broker non-votes, and (d) for any other proposals, votes “For” and “Against,” abstentions and, if applicable, broker non-votes.</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Abstentions will be counted towards the vote total for each of Proposals No. 2 and No. 3, and will have the same effect as “Against” votes. For Proposal 4, abstentions will be counted towards the vote total, and will have the same effect as votes against each of the proposed voting frequencies. Broker non-votes on Proposals 1, 3 and 4 and will have no effect and will not be counted towards the vote total for any of those proposals. As Proposal No. 2 is a “routine” matter we do not expect there to be any broker non-votes, but if there are broker non-votes, they will have no effect and will not be counted towards the vote total for any proposal.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78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Proposal</w:t>
            </w:r>
          </w:p>
        </w:tc>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Effect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 of</w:t>
            </w:r>
          </w:p>
        </w:tc>
        <w:tc>
          <w:tcPr>
            <w:tcW w:w="0" w:type="dxa"/>
            <w:vAlign w:val="bottom"/>
          </w:tcPr>
          <w:p>
            <w:pPr>
              <w:spacing w:after="0"/>
              <w:rPr>
                <w:sz w:val="1"/>
                <w:szCs w:val="1"/>
                <w:color w:val="auto"/>
              </w:rPr>
            </w:pPr>
          </w:p>
        </w:tc>
      </w:tr>
      <w:tr>
        <w:trPr>
          <w:trHeight w:val="162"/>
        </w:trPr>
        <w:tc>
          <w:tcPr>
            <w:tcW w:w="1120" w:type="dxa"/>
            <w:vAlign w:val="bottom"/>
            <w:gridSpan w:val="2"/>
            <w:vMerge w:val="continue"/>
          </w:tcPr>
          <w:p>
            <w:pPr>
              <w:spacing w:after="0"/>
              <w:rPr>
                <w:sz w:val="14"/>
                <w:szCs w:val="14"/>
                <w:color w:val="auto"/>
              </w:rPr>
            </w:pPr>
          </w:p>
        </w:tc>
        <w:tc>
          <w:tcPr>
            <w:tcW w:w="384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Proposal Description</w:t>
            </w:r>
          </w:p>
        </w:tc>
        <w:tc>
          <w:tcPr>
            <w:tcW w:w="36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Vote Required for Approval</w:t>
            </w:r>
          </w:p>
        </w:tc>
        <w:tc>
          <w:tcPr>
            <w:tcW w:w="1520" w:type="dxa"/>
            <w:vAlign w:val="bottom"/>
            <w:gridSpan w:val="2"/>
            <w:vMerge w:val="continue"/>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Broker Non-</w:t>
            </w:r>
          </w:p>
        </w:tc>
        <w:tc>
          <w:tcPr>
            <w:tcW w:w="0" w:type="dxa"/>
            <w:vAlign w:val="bottom"/>
          </w:tcPr>
          <w:p>
            <w:pPr>
              <w:spacing w:after="0"/>
              <w:rPr>
                <w:sz w:val="1"/>
                <w:szCs w:val="1"/>
                <w:color w:val="auto"/>
              </w:rPr>
            </w:pPr>
          </w:p>
        </w:tc>
      </w:tr>
      <w:tr>
        <w:trPr>
          <w:trHeight w:val="214"/>
        </w:trPr>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840" w:type="dxa"/>
            <w:vAlign w:val="bottom"/>
            <w:gridSpan w:val="2"/>
            <w:vMerge w:val="continue"/>
          </w:tcPr>
          <w:p>
            <w:pPr>
              <w:spacing w:after="0"/>
              <w:rPr>
                <w:sz w:val="18"/>
                <w:szCs w:val="18"/>
                <w:color w:val="auto"/>
              </w:rPr>
            </w:pPr>
          </w:p>
        </w:tc>
        <w:tc>
          <w:tcPr>
            <w:tcW w:w="3600" w:type="dxa"/>
            <w:vAlign w:val="bottom"/>
            <w:gridSpan w:val="2"/>
            <w:vMerge w:val="continue"/>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Votes</w:t>
            </w:r>
          </w:p>
        </w:tc>
        <w:tc>
          <w:tcPr>
            <w:tcW w:w="0" w:type="dxa"/>
            <w:vAlign w:val="bottom"/>
          </w:tcPr>
          <w:p>
            <w:pPr>
              <w:spacing w:after="0"/>
              <w:rPr>
                <w:sz w:val="1"/>
                <w:szCs w:val="1"/>
                <w:color w:val="auto"/>
              </w:rPr>
            </w:pPr>
          </w:p>
        </w:tc>
      </w:tr>
      <w:tr>
        <w:trPr>
          <w:trHeight w:val="171"/>
        </w:trPr>
        <w:tc>
          <w:tcPr>
            <w:tcW w:w="8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tcPr>
          <w:p>
            <w:pPr>
              <w:spacing w:after="0"/>
              <w:rPr>
                <w:sz w:val="14"/>
                <w:szCs w:val="14"/>
                <w:color w:val="auto"/>
              </w:rPr>
            </w:pPr>
          </w:p>
        </w:tc>
        <w:tc>
          <w:tcPr>
            <w:tcW w:w="358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Election of Directors</w:t>
            </w:r>
          </w:p>
        </w:tc>
        <w:tc>
          <w:tcPr>
            <w:tcW w:w="260" w:type="dxa"/>
            <w:vAlign w:val="bottom"/>
          </w:tcPr>
          <w:p>
            <w:pPr>
              <w:spacing w:after="0"/>
              <w:rPr>
                <w:sz w:val="14"/>
                <w:szCs w:val="14"/>
                <w:color w:val="auto"/>
              </w:rPr>
            </w:pPr>
          </w:p>
        </w:tc>
        <w:tc>
          <w:tcPr>
            <w:tcW w:w="3340" w:type="dxa"/>
            <w:vAlign w:val="bottom"/>
            <w:tcBorders>
              <w:top w:val="single" w:sz="8" w:color="auto"/>
            </w:tcBorders>
          </w:tcPr>
          <w:p>
            <w:pPr>
              <w:ind w:left="80"/>
              <w:spacing w:after="0" w:line="171" w:lineRule="exact"/>
              <w:rPr>
                <w:sz w:val="20"/>
                <w:szCs w:val="20"/>
                <w:color w:val="auto"/>
              </w:rPr>
            </w:pPr>
            <w:r>
              <w:rPr>
                <w:rFonts w:ascii="Times New Roman" w:cs="Times New Roman" w:eastAsia="Times New Roman" w:hAnsi="Times New Roman"/>
                <w:sz w:val="18"/>
                <w:szCs w:val="18"/>
                <w:color w:val="auto"/>
              </w:rPr>
              <w:t>The three nominees receiving the most</w:t>
            </w:r>
          </w:p>
        </w:tc>
        <w:tc>
          <w:tcPr>
            <w:tcW w:w="260" w:type="dxa"/>
            <w:vAlign w:val="bottom"/>
          </w:tcPr>
          <w:p>
            <w:pPr>
              <w:spacing w:after="0"/>
              <w:rPr>
                <w:sz w:val="14"/>
                <w:szCs w:val="14"/>
                <w:color w:val="auto"/>
              </w:rPr>
            </w:pPr>
          </w:p>
        </w:tc>
        <w:tc>
          <w:tcPr>
            <w:tcW w:w="12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8"/>
              </w:rPr>
              <w:t>Not applicable</w:t>
            </w:r>
          </w:p>
        </w:tc>
        <w:tc>
          <w:tcPr>
            <w:tcW w:w="260" w:type="dxa"/>
            <w:vAlign w:val="bottom"/>
          </w:tcPr>
          <w:p>
            <w:pPr>
              <w:spacing w:after="0"/>
              <w:rPr>
                <w:sz w:val="14"/>
                <w:szCs w:val="14"/>
                <w:color w:val="auto"/>
              </w:rPr>
            </w:pPr>
          </w:p>
        </w:tc>
        <w:tc>
          <w:tcPr>
            <w:tcW w:w="10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“For” votes will be elected; withheld votes</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will have no effect</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9" w:right="339" w:bottom="1440" w:gutter="0" w:footer="0" w:header="0"/>
        </w:sectPr>
      </w:pPr>
    </w:p>
    <w:p>
      <w:pPr>
        <w:spacing w:after="0" w:line="47" w:lineRule="exact"/>
        <w:rPr>
          <w:sz w:val="20"/>
          <w:szCs w:val="20"/>
          <w:color w:val="auto"/>
        </w:rPr>
      </w:pPr>
    </w:p>
    <w:p>
      <w:pPr>
        <w:ind w:left="1200" w:right="40" w:hanging="764"/>
        <w:spacing w:after="0" w:line="224"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PricewaterhouseCoopers LLP as SI-BONE’s independent registered public accounting firm for the fiscal year ending December 31, 2022</w:t>
      </w:r>
    </w:p>
    <w:p>
      <w:pPr>
        <w:spacing w:after="0" w:line="2" w:lineRule="exact"/>
        <w:rPr>
          <w:sz w:val="20"/>
          <w:szCs w:val="20"/>
          <w:color w:val="auto"/>
        </w:rPr>
      </w:pPr>
    </w:p>
    <w:p>
      <w:pPr>
        <w:ind w:left="1200" w:right="320" w:hanging="764"/>
        <w:spacing w:after="0" w:line="234" w:lineRule="auto"/>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compensation of our named executive officers</w:t>
      </w:r>
    </w:p>
    <w:p>
      <w:pPr>
        <w:spacing w:after="0" w:line="186" w:lineRule="exact"/>
        <w:rPr>
          <w:sz w:val="20"/>
          <w:szCs w:val="20"/>
          <w:color w:val="auto"/>
        </w:rPr>
      </w:pPr>
    </w:p>
    <w:p>
      <w:pPr>
        <w:ind w:left="1200" w:hanging="764"/>
        <w:spacing w:after="0" w:line="237"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frequency of stockholder advisory votes on executive compensation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 majority</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Against</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No effect</w:t>
            </w:r>
          </w:p>
        </w:tc>
      </w:tr>
      <w:tr>
        <w:trPr>
          <w:trHeight w:val="175"/>
        </w:trPr>
        <w:tc>
          <w:tcPr>
            <w:tcW w:w="3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of shares present via webcast or</w:t>
            </w: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3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represented by proxy and entitled to vote</w:t>
            </w:r>
          </w:p>
        </w:tc>
        <w:tc>
          <w:tcPr>
            <w:tcW w:w="14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on the matter</w:t>
            </w:r>
          </w:p>
        </w:tc>
        <w:tc>
          <w:tcPr>
            <w:tcW w:w="1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80"/>
        </w:trPr>
        <w:tc>
          <w:tcPr>
            <w:tcW w:w="34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“For” votes from the holders of a majority</w:t>
            </w:r>
          </w:p>
        </w:tc>
        <w:tc>
          <w:tcPr>
            <w:tcW w:w="14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Against</w:t>
            </w:r>
          </w:p>
        </w:tc>
        <w:tc>
          <w:tcPr>
            <w:tcW w:w="8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w w:val="97"/>
              </w:rPr>
              <w:t>No effect</w:t>
            </w:r>
          </w:p>
        </w:tc>
      </w:tr>
      <w:tr>
        <w:trPr>
          <w:trHeight w:val="176"/>
        </w:trPr>
        <w:tc>
          <w:tcPr>
            <w:tcW w:w="3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of shares present via webcast or represented</w:t>
            </w: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by proxy and entitled to vote on the matter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84"/>
        </w:trPr>
        <w:tc>
          <w:tcPr>
            <w:tcW w:w="3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The frequency receiving the votes of the</w:t>
            </w:r>
          </w:p>
        </w:tc>
        <w:tc>
          <w:tcPr>
            <w:tcW w:w="14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Against each of</w:t>
            </w:r>
          </w:p>
        </w:tc>
        <w:tc>
          <w:tcPr>
            <w:tcW w:w="8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w w:val="97"/>
              </w:rPr>
              <w:t>No effect</w:t>
            </w:r>
          </w:p>
        </w:tc>
      </w:tr>
      <w:tr>
        <w:trPr>
          <w:trHeight w:val="175"/>
        </w:trPr>
        <w:tc>
          <w:tcPr>
            <w:tcW w:w="3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holders of a majority of shares present via</w:t>
            </w:r>
          </w:p>
        </w:tc>
        <w:tc>
          <w:tcPr>
            <w:tcW w:w="14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the proposed</w:t>
            </w:r>
          </w:p>
        </w:tc>
        <w:tc>
          <w:tcPr>
            <w:tcW w:w="820" w:type="dxa"/>
            <w:vAlign w:val="bottom"/>
          </w:tcPr>
          <w:p>
            <w:pPr>
              <w:spacing w:after="0"/>
              <w:rPr>
                <w:sz w:val="15"/>
                <w:szCs w:val="15"/>
                <w:color w:val="auto"/>
              </w:rPr>
            </w:pPr>
          </w:p>
        </w:tc>
      </w:tr>
      <w:tr>
        <w:trPr>
          <w:trHeight w:val="184"/>
        </w:trPr>
        <w:tc>
          <w:tcPr>
            <w:tcW w:w="3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webcast or represented by proxy and entitled</w:t>
            </w:r>
          </w:p>
        </w:tc>
        <w:tc>
          <w:tcPr>
            <w:tcW w:w="14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voting</w:t>
            </w:r>
          </w:p>
        </w:tc>
        <w:tc>
          <w:tcPr>
            <w:tcW w:w="820" w:type="dxa"/>
            <w:vAlign w:val="bottom"/>
          </w:tcPr>
          <w:p>
            <w:pPr>
              <w:spacing w:after="0"/>
              <w:rPr>
                <w:sz w:val="16"/>
                <w:szCs w:val="16"/>
                <w:color w:val="auto"/>
              </w:rPr>
            </w:pPr>
          </w:p>
        </w:tc>
      </w:tr>
      <w:tr>
        <w:trPr>
          <w:trHeight w:val="180"/>
        </w:trPr>
        <w:tc>
          <w:tcPr>
            <w:tcW w:w="34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to vote on the matter will be the frequency</w:t>
            </w:r>
          </w:p>
        </w:tc>
        <w:tc>
          <w:tcPr>
            <w:tcW w:w="14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frequencies</w:t>
            </w:r>
          </w:p>
        </w:tc>
        <w:tc>
          <w:tcPr>
            <w:tcW w:w="820" w:type="dxa"/>
            <w:vAlign w:val="bottom"/>
          </w:tcPr>
          <w:p>
            <w:pPr>
              <w:spacing w:after="0"/>
              <w:rPr>
                <w:sz w:val="15"/>
                <w:szCs w:val="15"/>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approved.</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568" w:lineRule="exact"/>
        <w:rPr>
          <w:sz w:val="20"/>
          <w:szCs w:val="20"/>
          <w:color w:val="auto"/>
        </w:rPr>
      </w:pPr>
    </w:p>
    <w:p>
      <w:pPr>
        <w:sectPr>
          <w:pgSz w:w="11900" w:h="16838" w:orient="portrait"/>
          <w:cols w:equalWidth="0" w:num="2">
            <w:col w:w="4560" w:space="540"/>
            <w:col w:w="6140"/>
          </w:cols>
          <w:pgMar w:left="320" w:top="779" w:right="339" w:bottom="1440" w:gutter="0" w:footer="0" w:header="0"/>
          <w:type w:val="continuous"/>
        </w:sectPr>
      </w:pPr>
    </w:p>
    <w:p>
      <w:pPr>
        <w:spacing w:after="0" w:line="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via webcast or represented by proxy. On the record date, there were 33,883,545 shares outstanding and entitled to vote. Thus, the holders of 16,941,773 shares must be present via webcast or represented by proxy at the meeting to have a quorum.</w:t>
      </w:r>
    </w:p>
    <w:p>
      <w:pPr>
        <w:spacing w:after="0" w:line="1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you are a stockholder of record your shares will be counted towards the quorum only if you submit a valid proxy (or one is submitted on your behalf by your broker, bank or other nominee) or if you vote via webcast at the meeting. Abstentions and broker non-votes will be counted towards the quorum requirement. If there is no quorum, the chairman of the meeting or the holders of a majority of shares present at the meeting via webcast or represented by proxy may adjourn the meeting to another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5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proxy statement and Annual Report to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tockholders are available at www.proxyvote.com</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779" w:right="339" w:bottom="1440" w:gutter="0" w:footer="0" w:header="0"/>
          <w:type w:val="continuous"/>
        </w:sectPr>
      </w:pPr>
    </w:p>
    <w:bookmarkStart w:id="11" w:name="page12"/>
    <w:bookmarkEnd w:id="11"/>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Board of Directors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2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Board of Directors currently has nine members. There are three directors in Class I, the class the term of which expires in 2022: Timothy E. Davis, Jr., Laura A. Francis and Jeryl L. Hilleman. Each is currently a member of our Board. If elected at the annual meeting, each of the three nominees would serve until the 2025 annual meeting and until his or her successor has been duly elected and qualified, or, if sooner, until the director’s death, resignation or removal. It is our policy to encourage directors and nominees for director to attend the Annual Meeting. All of our then-continuing directors and the nominees attended our 2021 annual meeting of stockholders.</w:t>
      </w:r>
    </w:p>
    <w:p>
      <w:pPr>
        <w:spacing w:after="0" w:line="20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Mr. Davis was previously elected by our stockholders, and Ms. Francis is our Chief Executive Officer. Ms. Hilleman was recommended for nomination to the Nominating and Corporate Governance Committee by a number of our non-management directors.</w:t>
      </w:r>
    </w:p>
    <w:p>
      <w:pPr>
        <w:spacing w:after="0" w:line="13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in person or represented by proxy and entitled to vote on the election of directors. Accordingly, the three nominees receiving the highest number of affirmative votes will be elected.</w:t>
      </w:r>
    </w:p>
    <w:p>
      <w:pPr>
        <w:spacing w:after="0" w:line="199"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223"/>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Timothy “Ted” Davis, Jr</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w:t>
            </w:r>
          </w:p>
        </w:tc>
      </w:tr>
      <w:tr>
        <w:trPr>
          <w:trHeight w:val="230"/>
        </w:trPr>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Laura A. Francis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CEO</w:t>
            </w: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w:t>
            </w:r>
          </w:p>
        </w:tc>
      </w:tr>
      <w:tr>
        <w:trPr>
          <w:trHeight w:val="229"/>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Jeryl L. Hilleman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w:t>
            </w:r>
          </w:p>
        </w:tc>
      </w:tr>
      <w:tr>
        <w:trPr>
          <w:trHeight w:val="230"/>
        </w:trPr>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Jeffrey W. Dunn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Chairman</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II</w:t>
            </w:r>
          </w:p>
        </w:tc>
      </w:tr>
      <w:tr>
        <w:trPr>
          <w:trHeight w:val="230"/>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John G. Freund</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II</w:t>
            </w:r>
          </w:p>
        </w:tc>
      </w:tr>
      <w:tr>
        <w:trPr>
          <w:trHeight w:val="230"/>
        </w:trPr>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Gregory K. Hinckley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II</w:t>
            </w:r>
          </w:p>
        </w:tc>
      </w:tr>
      <w:tr>
        <w:trPr>
          <w:trHeight w:val="229"/>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Helen Loh</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III</w:t>
            </w:r>
          </w:p>
        </w:tc>
      </w:tr>
      <w:tr>
        <w:trPr>
          <w:trHeight w:val="230"/>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Mika Nishimura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III</w:t>
            </w:r>
          </w:p>
        </w:tc>
      </w:tr>
      <w:tr>
        <w:trPr>
          <w:trHeight w:val="230"/>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Keith C. Valentine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III</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biography of each nominee and each director whose term will continue after the annual meeting.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FOR A THREE-YEAR TERM EXPIRING AT THE 2025 ANNUAL MEETING</w:t>
      </w:r>
    </w:p>
    <w:p>
      <w:pPr>
        <w:spacing w:after="0" w:line="2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E. Davis, Jr. </w:t>
      </w:r>
      <w:r>
        <w:rPr>
          <w:rFonts w:ascii="Times New Roman" w:cs="Times New Roman" w:eastAsia="Times New Roman" w:hAnsi="Times New Roman"/>
          <w:sz w:val="18"/>
          <w:szCs w:val="18"/>
          <w:color w:val="auto"/>
        </w:rPr>
        <w:t>has served as a member of our Board of Directors since our inception in April 2008. Mr. Davis has served as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TissueTech, Inc., a privately held parent company of Bio-Tissue, Inc. and Amniox Medical, Inc., which focuses on the development and clinical application of human birth tissue-based products, since January 2022. From February 2017 through December 2021, Mr. Davis served as President and Chief Executive Officer of Active Implants, LLC, a company that provides orthopedic implant solutions.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experience in the industry, his experience in compensation matters, and his knowledge of our company enable him to make valuable contributions to our Board of Directors.</w:t>
      </w:r>
    </w:p>
    <w:p>
      <w:pPr>
        <w:spacing w:after="0" w:line="1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Laura A. Francis </w:t>
      </w:r>
      <w:r>
        <w:rPr>
          <w:rFonts w:ascii="Times New Roman" w:cs="Times New Roman" w:eastAsia="Times New Roman" w:hAnsi="Times New Roman"/>
          <w:sz w:val="18"/>
          <w:szCs w:val="18"/>
          <w:color w:val="auto"/>
        </w:rPr>
        <w:t>has served as our Chief Executive Officer and as a member of our Board of Directors since April 2021. Previously, she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from July 2019 to April 2021, and as our Chief Financial Officer from May 2015 to April 2021. Prior to joining us, Ms. Francis was the Chief Financial Officer for 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Since January 2019, Ms. Francis has served as a member of the board of directors of ShockWave Medical, Inc, a medical device company. Ms. Francis received a B.B.A. from the University of Wisconsin and an M.B.A. from Stanford University. She is a Certified Public Accountant (inactive) in the State of California. We believe Ms. Francis’s experience in the industry, her role as our Chief Executive Officer, and her knowledge of our company enable her to make valuable contributions to our Board of Directors.</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Jeryl L. Hilleman </w:t>
      </w:r>
      <w:r>
        <w:rPr>
          <w:rFonts w:ascii="Times New Roman" w:cs="Times New Roman" w:eastAsia="Times New Roman" w:hAnsi="Times New Roman"/>
          <w:sz w:val="18"/>
          <w:szCs w:val="18"/>
          <w:color w:val="auto"/>
        </w:rPr>
        <w:t>has served as a member of our Board of Directors since December 2019. Ms. Hilleman brings extensive experience in life sciences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public company CFO for close to 20 years. Most recently, from June 2014 to November 2019, Ms. Hilleman served as the Chief Financial Officer for Intersect ENT, Inc., a commercial drug delivery company focusing on patients with ear, nose and throat conditions. Prior to Intersect ENT, Ms.</w:t>
      </w:r>
    </w:p>
    <w:p>
      <w:pPr>
        <w:sectPr>
          <w:pgSz w:w="11900" w:h="16888" w:orient="portrait"/>
          <w:cols w:equalWidth="0" w:num="1">
            <w:col w:w="11240"/>
          </w:cols>
          <w:pgMar w:left="320" w:top="779" w:right="339" w:bottom="0" w:gutter="0" w:footer="0" w:header="0"/>
        </w:sectPr>
      </w:pPr>
    </w:p>
    <w:bookmarkStart w:id="12" w:name="page13"/>
    <w:bookmarkEnd w:id="12"/>
    <w:p>
      <w:pPr>
        <w:spacing w:after="0" w:line="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Hilleman served as Chief Financial Officer of other public healthcare companies including Ocera Therapeutics, Inc., a biopharmaceutical company; Amyris, Inc., a renewable products company; and Symyx Technologies, a life sciences automation company. Ms. Hilleman has served as a member of the board of directors and the chair of the Audit Committee of NovoCure, Limited and Minerva Neurosciences, Inc. since July 2018, and of Talis Biomedical since March 2021. From January 2005 to July 2016, Ms. Hilleman served as a member of the board of directors of Xenoport, Inc., a biopharmaceutical company. Ms. Hilleman received a B.A. in History from Brown University and an M.B.A. from the Wharton School at the University of Pennsylvania. We believe Ms. Hilleman’s financial experience, experience with medical device companies and her knowledge of our company enable her to make valuable contributions to our Board of Directors.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EACH NAMED NOMINEE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2023 ANNUAL MEETING</w:t>
      </w:r>
    </w:p>
    <w:p>
      <w:pPr>
        <w:spacing w:after="0" w:line="2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W. Dunn </w:t>
      </w:r>
      <w:r>
        <w:rPr>
          <w:rFonts w:ascii="Times New Roman" w:cs="Times New Roman" w:eastAsia="Times New Roman" w:hAnsi="Times New Roman"/>
          <w:sz w:val="18"/>
          <w:szCs w:val="18"/>
          <w:color w:val="auto"/>
        </w:rPr>
        <w:t>has served as our Executive Chairman since April 2021, as Chairman of our Board of Directors since our inception in April 2008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2021, and as our President and Chief Executive Officer from April 2008 until April 2021.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prior role as our President and Chief Executive Officer, and his knowledge of our company enable him to make valuable contributions to our Board of Directors.</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G. Freund, M.D. </w:t>
      </w:r>
      <w:r>
        <w:rPr>
          <w:rFonts w:ascii="Times New Roman" w:cs="Times New Roman" w:eastAsia="Times New Roman" w:hAnsi="Times New Roman"/>
          <w:sz w:val="18"/>
          <w:szCs w:val="18"/>
          <w:color w:val="auto"/>
        </w:rPr>
        <w:t>has served as a member of our Board of Directors since January 2013. Dr. Freund founded Skyline Ventures, a venture capital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October 1997 and has served as a Managing Director of Skyline since then. In 2016, Dr. Freund co-founded and was CEO of Arixa Pharmaceuticals, Inc. an antibiotic company, which was acquired by Pfizer in 2020.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each of Collegium Pharmaceuticals, Inc., a biotechnology company, and Sutro Biopharma, Inc., a biotechnology company, since 2014. Dr. Freund also serves on the board of directors of six U.S. registered investment funds managed by affiliates of the Capital Group, Inc. He also previously served on the board of directors of a number of publicly traded companies, including Tetraphase Pharmaceuticals, Inc., a biopharmaceutical company, Map Pharmaceuticals, Inc., a biopharmaceutical company, MAKO Surgical Corp., a medical device company, Proteon Therapeutics, Inc., a biotechnology company, Concert Pharmaceuticals, Inc., a biopharmaceutical company and was Chairman of XenoPort, Inc., a biopharmaceutical company. Dr. Freund is a member of the Advisory Board for the Harvard Business School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K. Hinckley </w:t>
      </w:r>
      <w:r>
        <w:rPr>
          <w:rFonts w:ascii="Times New Roman" w:cs="Times New Roman" w:eastAsia="Times New Roman" w:hAnsi="Times New Roman"/>
          <w:sz w:val="18"/>
          <w:szCs w:val="18"/>
          <w:color w:val="auto"/>
        </w:rPr>
        <w:t>has served as a member of our Board of Directors since January 2011. Mr. Hinckley served as President of Mentor Graphics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an electronic design automation company, from November 2000 until his retirement in July 2017, and served on the board of directors from January 1999 to June 2016. From January 1997 to November 2000,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Intermec, Inc., a developer of automated identification and data collection solutions, from July 2004 to September 2013; and Amkor Technology, a semiconductor test and assembly company, from November 1997 to July 2007.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Mr. Hinckley received a B.A. in Physics and Mathematics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2024 ANNUAL MEETING</w:t>
      </w:r>
    </w:p>
    <w:p>
      <w:pPr>
        <w:spacing w:after="0" w:line="2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Helen Loh </w:t>
      </w:r>
      <w:r>
        <w:rPr>
          <w:rFonts w:ascii="Times New Roman" w:cs="Times New Roman" w:eastAsia="Times New Roman" w:hAnsi="Times New Roman"/>
          <w:sz w:val="18"/>
          <w:szCs w:val="18"/>
          <w:color w:val="auto"/>
        </w:rPr>
        <w:t>has served as a member of our Board of Directors since April, 2021. Since 2004, Ms. Loh has served as a marketing executive at Charles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Schwab, most recently as Managing Director of Digital Channels, Education &amp; Client Marketing. From 1999 to 2004, Ms. Loh served as Vice President of Marketing and Product at seeUthere Technologies, an enterprise event management software company. Earlier in her career, Ms. Loh held marketing roles at SINA Corporation, MySoftware Company, and the Clorox Company. Ms. Loh began her career as a management consultant at Marakon, a global strategy consulting firm. Ms. Loh has served on the board of directors of the Charles Schwab Foundation since November 2014. Ms. Loh received a B.S. in Industrial Engineering from Stanford University, and a M.B.A. from Stanford Business School. We believe that Ms. Loh’s experience with digital and consumer marketing will enable her to make valuable contributions to our Board of Directors.</w:t>
      </w:r>
    </w:p>
    <w:p>
      <w:pPr>
        <w:sectPr>
          <w:pgSz w:w="11900" w:h="16867" w:orient="portrait"/>
          <w:cols w:equalWidth="0" w:num="1">
            <w:col w:w="11240"/>
          </w:cols>
          <w:pgMar w:left="320" w:top="135" w:right="339" w:bottom="0" w:gutter="0" w:footer="0" w:header="0"/>
        </w:sectPr>
      </w:pPr>
    </w:p>
    <w:bookmarkStart w:id="13" w:name="page14"/>
    <w:bookmarkEnd w:id="13"/>
    <w:p>
      <w:pPr>
        <w:jc w:val="both"/>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Mika Nishimura </w:t>
      </w:r>
      <w:r>
        <w:rPr>
          <w:rFonts w:ascii="Times New Roman" w:cs="Times New Roman" w:eastAsia="Times New Roman" w:hAnsi="Times New Roman"/>
          <w:sz w:val="18"/>
          <w:szCs w:val="18"/>
          <w:color w:val="auto"/>
        </w:rPr>
        <w:t>has served as a member of our Board of Directors since March 2021. Since 2011, Ms. Nishimura has served as an Operational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Gilde Healthcare Partners. Ms. Nishimura is a board member for Accuray, Inc., a radiation therapy company and is a board advisor to Tristel, plc, a</w:t>
      </w:r>
    </w:p>
    <w:p>
      <w:pPr>
        <w:spacing w:after="0" w:line="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UK-based company. From 2016 to April 2020, Ms. Nishimura was Vice President, Commercialization at nVision Medical Corporation, an early clinical-stage company focused on early detection of ovarian cancer acquired by Boston Scientific. From 2011 to 2015, Ms. Nishimura was Vice President, Commercial Development at Auxogyn, which was acquired by Progyny in 2015. Earlier in her career, Ms. Nishimura was Vice President, International Sales Operations and Marketing at ev3 Inc. Ms. Nishimura has a BA in Economics from Yale University and an MBA from Harvard Graduate School of Business Administration. We believe that Ms. Nishimura’s experience working for medical device companies across multiple phases of commercialization will enable her to make valuable contributions to our Board of Directors.</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Keith C. Valentine </w:t>
      </w:r>
      <w:r>
        <w:rPr>
          <w:rFonts w:ascii="Times New Roman" w:cs="Times New Roman" w:eastAsia="Times New Roman" w:hAnsi="Times New Roman"/>
          <w:sz w:val="17"/>
          <w:szCs w:val="17"/>
          <w:color w:val="auto"/>
        </w:rPr>
        <w:t>has served as a member of our Board of Directors since August 2015. Since July 2015, Mr. Valentine has also served as President,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 and a member of the board of directors of SeaSpine Holdings Corporation, a global medical technology company.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w:t>
      </w:r>
    </w:p>
    <w:p>
      <w:pPr>
        <w:spacing w:after="0" w:line="2" w:lineRule="exact"/>
        <w:rPr>
          <w:sz w:val="20"/>
          <w:szCs w:val="20"/>
          <w:color w:val="auto"/>
        </w:rPr>
      </w:pPr>
    </w:p>
    <w:p>
      <w:pPr>
        <w:jc w:val="both"/>
        <w:ind w:firstLine="8"/>
        <w:spacing w:after="0" w:line="281" w:lineRule="auto"/>
        <w:tabs>
          <w:tab w:leader="none" w:pos="1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Nephew PLC, and spent eight years in various roles with Medtronic Sofamer Danek including Vice President of Marketing for the Rods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17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Each of our directors, other than Mr. Dunn and Ms. Francis, is independent as defined under the Nasdaq Global Market listing standards. See “Independence of the Board of Directors” immediately below.</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31" w:right="339" w:bottom="1440" w:gutter="0" w:footer="0" w:header="0"/>
        </w:sectPr>
      </w:pPr>
    </w:p>
    <w:bookmarkStart w:id="14" w:name="page15"/>
    <w:bookmarkEnd w:id="14"/>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the directors and executive officers.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required under the Nasdaq Global Market (“Nasdaq”) listing standards, a majority of the members of a listed company’s Board of Directors must qualify as “independent,” as affirmatively determined by the Board. The Board consults with SI-BONE’s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SI-BONE, its senior management and its independent auditors, the Board has affirmatively determined that the following seven directors are independent directors within the meaning of the applicable Nasdaq listing standards: Mr. Davis, Dr. Freund, Ms. Hilleman, Mr. Hinckley, Ms. Loh, Ms. Nishimura and Mr. Valentine. In making this determination, the Board found that none of the directors or nominees for director other than Mr. Dunn and Ms. Francis had a material or other disqualifying relationship with SI-BONE and that each of these directors is “independent” as that term is defined under the rules of the Nasdaq Global Market. Mr. Dunn is not independent given his position as our former President and Chief Executive Officer, and Ms. Francis is not independent given her position as our Chief Executive Officer. Accordingly, a majority of our directors are independent, as required under applicable Nasdaq listing rules.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SERVICE OF DIRECTORS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described in Proposal 1 above, our directors serve for staggered three-year terms. We believe that a classified board, with a supermajority vote of our stockholders required to amend our certificate of incorporation and bylaws and thereby change this structure and/or to take other significant stockholder actions, is in the best long-term interest of our stockholders because it improves board stability and encourages long-term planning. These governance structures are also shared among a majority of our peer companies, including among our compensation peer groups described below. As our company matures, we will continue to evaluate this and other decisions we have made regarding our corporate governance structures. Members of our leadership team hold regular meetings with investors and their governance representatives to discuss their views. While some stockholders have, as a matter of general application, a preference for one-year terms for directors and simple majority voting to amend our certificate of incorporation or bylaws, we have not generally encountered significant or specific objections to the corporate governance decisions we have made.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AND ATTRIBUTES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matrix provides information regarding the members of our Board, including certain types of knowledge, skills, experiences and attributes possessed by one or more of our directors which our Board believes are relevant to our business and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ectPr>
          <w:pgSz w:w="11900" w:h="16838" w:orient="portrait"/>
          <w:cols w:equalWidth="0" w:num="1">
            <w:col w:w="11240"/>
          </w:cols>
          <w:pgMar w:left="320" w:top="995" w:right="339" w:bottom="1440" w:gutter="0" w:footer="0" w:header="0"/>
        </w:sectPr>
      </w:pPr>
    </w:p>
    <w:bookmarkStart w:id="15" w:name="page16"/>
    <w:bookmarkEnd w:id="15"/>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gridSpan w:val="2"/>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Knowledge, Skills, Experience</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Davis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Dunn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Francis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Freund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Hilleman</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Hinckley</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Loh</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Nishimura</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Valentine</w:t>
            </w:r>
          </w:p>
        </w:tc>
        <w:tc>
          <w:tcPr>
            <w:tcW w:w="0" w:type="dxa"/>
            <w:vAlign w:val="bottom"/>
          </w:tcPr>
          <w:p>
            <w:pPr>
              <w:spacing w:after="0"/>
              <w:rPr>
                <w:sz w:val="1"/>
                <w:szCs w:val="1"/>
                <w:color w:val="auto"/>
              </w:rPr>
            </w:pPr>
          </w:p>
        </w:tc>
      </w:tr>
      <w:tr>
        <w:trPr>
          <w:trHeight w:val="141"/>
        </w:trPr>
        <w:tc>
          <w:tcPr>
            <w:tcW w:w="17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Public Company</w:t>
            </w:r>
          </w:p>
        </w:tc>
        <w:tc>
          <w:tcPr>
            <w:tcW w:w="8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CEO/Exec Chair (last 5</w:t>
            </w:r>
          </w:p>
        </w:tc>
        <w:tc>
          <w:tcPr>
            <w:tcW w:w="8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years)</w:t>
            </w: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Company CFO</w:t>
            </w: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Senior Executive</w:t>
            </w:r>
          </w:p>
        </w:tc>
        <w:tc>
          <w:tcPr>
            <w:tcW w:w="84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35"/>
        </w:trPr>
        <w:tc>
          <w:tcPr>
            <w:tcW w:w="1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Leadership</w:t>
            </w:r>
          </w:p>
        </w:tc>
        <w:tc>
          <w:tcPr>
            <w:tcW w:w="8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8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Financial</w:t>
            </w:r>
          </w:p>
        </w:tc>
        <w:tc>
          <w:tcPr>
            <w:tcW w:w="84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Literacy/Expertise</w:t>
            </w:r>
          </w:p>
        </w:tc>
        <w:tc>
          <w:tcPr>
            <w:tcW w:w="8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7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Medical Device Industry</w:t>
            </w:r>
          </w:p>
        </w:tc>
        <w:tc>
          <w:tcPr>
            <w:tcW w:w="84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35"/>
        </w:trPr>
        <w:tc>
          <w:tcPr>
            <w:tcW w:w="1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Experience</w:t>
            </w:r>
          </w:p>
        </w:tc>
        <w:tc>
          <w:tcPr>
            <w:tcW w:w="8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8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Governance</w:t>
            </w: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8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Digital Marketing;</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DTP/DTC Marketing</w:t>
            </w: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Reimbursement/Payors</w:t>
            </w:r>
          </w:p>
        </w:tc>
        <w:tc>
          <w:tcPr>
            <w:tcW w:w="8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10"/>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Clinical/Medical</w:t>
            </w:r>
          </w:p>
        </w:tc>
        <w:tc>
          <w:tcPr>
            <w:tcW w:w="84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14"/>
        </w:trPr>
        <w:tc>
          <w:tcPr>
            <w:tcW w:w="17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w:t>
            </w:r>
          </w:p>
        </w:tc>
        <w:tc>
          <w:tcPr>
            <w:tcW w:w="8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R&amp;D</w:t>
            </w: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Business</w:t>
            </w:r>
          </w:p>
        </w:tc>
        <w:tc>
          <w:tcPr>
            <w:tcW w:w="84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135"/>
        </w:trPr>
        <w:tc>
          <w:tcPr>
            <w:tcW w:w="1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Development/M&amp;A</w:t>
            </w:r>
          </w:p>
        </w:tc>
        <w:tc>
          <w:tcPr>
            <w:tcW w:w="8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8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Planning</w:t>
            </w: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Relations</w:t>
            </w: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Management</w:t>
            </w:r>
          </w:p>
        </w:tc>
        <w:tc>
          <w:tcPr>
            <w:tcW w:w="8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Cybersecurity</w:t>
            </w: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Legal/Compliance/Risk</w:t>
            </w:r>
          </w:p>
        </w:tc>
        <w:tc>
          <w:tcPr>
            <w:tcW w:w="84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w:t>
            </w:r>
          </w:p>
        </w:tc>
        <w:tc>
          <w:tcPr>
            <w:tcW w:w="8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8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Human Resources</w:t>
            </w: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8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7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matrix provides race/ethnicity, as well as gender, of the members of our Board, as self-identified by members of the Board.</w:t>
      </w:r>
    </w:p>
    <w:p>
      <w:pPr>
        <w:spacing w:after="0" w:line="295" w:lineRule="exact"/>
        <w:rPr>
          <w:sz w:val="20"/>
          <w:szCs w:val="20"/>
          <w:color w:val="auto"/>
        </w:rPr>
      </w:pPr>
    </w:p>
    <w:p>
      <w:pPr>
        <w:ind w:left="2000"/>
        <w:spacing w:after="0"/>
        <w:tabs>
          <w:tab w:leader="none" w:pos="2840" w:val="left"/>
          <w:tab w:leader="none" w:pos="3620" w:val="left"/>
          <w:tab w:leader="none" w:pos="4500" w:val="left"/>
          <w:tab w:leader="none" w:pos="5300" w:val="left"/>
          <w:tab w:leader="none" w:pos="6180" w:val="left"/>
          <w:tab w:leader="none" w:pos="7200" w:val="left"/>
          <w:tab w:leader="none" w:pos="7960" w:val="left"/>
          <w:tab w:leader="none" w:pos="9080" w:val="left"/>
        </w:tabs>
        <w:rPr>
          <w:sz w:val="20"/>
          <w:szCs w:val="20"/>
          <w:color w:val="auto"/>
        </w:rPr>
      </w:pPr>
      <w:r>
        <w:rPr>
          <w:rFonts w:ascii="Times New Roman" w:cs="Times New Roman" w:eastAsia="Times New Roman" w:hAnsi="Times New Roman"/>
          <w:sz w:val="16"/>
          <w:szCs w:val="16"/>
          <w:b w:val="1"/>
          <w:bCs w:val="1"/>
          <w:color w:val="auto"/>
        </w:rPr>
        <w:t>Davis</w:t>
      </w:r>
      <w:r>
        <w:rPr>
          <w:sz w:val="20"/>
          <w:szCs w:val="20"/>
          <w:color w:val="auto"/>
        </w:rPr>
        <w:tab/>
      </w:r>
      <w:r>
        <w:rPr>
          <w:rFonts w:ascii="Times New Roman" w:cs="Times New Roman" w:eastAsia="Times New Roman" w:hAnsi="Times New Roman"/>
          <w:sz w:val="16"/>
          <w:szCs w:val="16"/>
          <w:b w:val="1"/>
          <w:bCs w:val="1"/>
          <w:color w:val="auto"/>
        </w:rPr>
        <w:t>Dunn</w:t>
      </w:r>
      <w:r>
        <w:rPr>
          <w:sz w:val="20"/>
          <w:szCs w:val="20"/>
          <w:color w:val="auto"/>
        </w:rPr>
        <w:tab/>
      </w:r>
      <w:r>
        <w:rPr>
          <w:rFonts w:ascii="Times New Roman" w:cs="Times New Roman" w:eastAsia="Times New Roman" w:hAnsi="Times New Roman"/>
          <w:sz w:val="16"/>
          <w:szCs w:val="16"/>
          <w:b w:val="1"/>
          <w:bCs w:val="1"/>
          <w:color w:val="auto"/>
        </w:rPr>
        <w:t>Francis</w:t>
      </w:r>
      <w:r>
        <w:rPr>
          <w:sz w:val="20"/>
          <w:szCs w:val="20"/>
          <w:color w:val="auto"/>
        </w:rPr>
        <w:tab/>
      </w:r>
      <w:r>
        <w:rPr>
          <w:rFonts w:ascii="Times New Roman" w:cs="Times New Roman" w:eastAsia="Times New Roman" w:hAnsi="Times New Roman"/>
          <w:sz w:val="16"/>
          <w:szCs w:val="16"/>
          <w:b w:val="1"/>
          <w:bCs w:val="1"/>
          <w:color w:val="auto"/>
        </w:rPr>
        <w:t>Freund</w:t>
      </w:r>
      <w:r>
        <w:rPr>
          <w:sz w:val="20"/>
          <w:szCs w:val="20"/>
          <w:color w:val="auto"/>
        </w:rPr>
        <w:tab/>
      </w:r>
      <w:r>
        <w:rPr>
          <w:rFonts w:ascii="Times New Roman" w:cs="Times New Roman" w:eastAsia="Times New Roman" w:hAnsi="Times New Roman"/>
          <w:sz w:val="16"/>
          <w:szCs w:val="16"/>
          <w:b w:val="1"/>
          <w:bCs w:val="1"/>
          <w:color w:val="auto"/>
        </w:rPr>
        <w:t>Hilleman</w:t>
        <w:tab/>
        <w:t>Hinckley</w:t>
      </w:r>
      <w:r>
        <w:rPr>
          <w:sz w:val="20"/>
          <w:szCs w:val="20"/>
          <w:color w:val="auto"/>
        </w:rPr>
        <w:tab/>
      </w:r>
      <w:r>
        <w:rPr>
          <w:rFonts w:ascii="Times New Roman" w:cs="Times New Roman" w:eastAsia="Times New Roman" w:hAnsi="Times New Roman"/>
          <w:sz w:val="16"/>
          <w:szCs w:val="16"/>
          <w:b w:val="1"/>
          <w:bCs w:val="1"/>
          <w:color w:val="auto"/>
        </w:rPr>
        <w:t>Loh</w:t>
      </w:r>
      <w:r>
        <w:rPr>
          <w:sz w:val="20"/>
          <w:szCs w:val="20"/>
          <w:color w:val="auto"/>
        </w:rPr>
        <w:tab/>
      </w:r>
      <w:r>
        <w:rPr>
          <w:rFonts w:ascii="Times New Roman" w:cs="Times New Roman" w:eastAsia="Times New Roman" w:hAnsi="Times New Roman"/>
          <w:sz w:val="16"/>
          <w:szCs w:val="16"/>
          <w:b w:val="1"/>
          <w:bCs w:val="1"/>
          <w:color w:val="auto"/>
        </w:rPr>
        <w:t>Nishimura</w:t>
      </w:r>
      <w:r>
        <w:rPr>
          <w:sz w:val="20"/>
          <w:szCs w:val="20"/>
          <w:color w:val="auto"/>
        </w:rPr>
        <w:tab/>
      </w:r>
      <w:r>
        <w:rPr>
          <w:rFonts w:ascii="Times New Roman" w:cs="Times New Roman" w:eastAsia="Times New Roman" w:hAnsi="Times New Roman"/>
          <w:sz w:val="16"/>
          <w:szCs w:val="16"/>
          <w:b w:val="1"/>
          <w:bCs w:val="1"/>
          <w:color w:val="auto"/>
        </w:rPr>
        <w:t>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317615"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7615" cy="282575"/>
                    </a:xfrm>
                    <a:prstGeom prst="rect">
                      <a:avLst/>
                    </a:prstGeom>
                    <a:noFill/>
                  </pic:spPr>
                </pic:pic>
              </a:graphicData>
            </a:graphic>
          </wp:anchor>
        </w:drawing>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Part I: Demographic</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317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7615" cy="8255"/>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African American or</w:t>
      </w:r>
    </w:p>
    <w:p>
      <w:pPr>
        <w:ind w:left="140"/>
        <w:spacing w:after="0"/>
        <w:rPr>
          <w:sz w:val="20"/>
          <w:szCs w:val="20"/>
          <w:color w:val="auto"/>
        </w:rPr>
      </w:pPr>
      <w:r>
        <w:rPr>
          <w:rFonts w:ascii="Times New Roman" w:cs="Times New Roman" w:eastAsia="Times New Roman" w:hAnsi="Times New Roman"/>
          <w:sz w:val="16"/>
          <w:szCs w:val="16"/>
          <w:color w:val="auto"/>
        </w:rPr>
        <w:t>Black</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Alaskan Native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631761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7615" cy="2400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Native American</w:t>
      </w:r>
    </w:p>
    <w:p>
      <w:pPr>
        <w:spacing w:after="0" w:line="10" w:lineRule="exact"/>
        <w:rPr>
          <w:sz w:val="20"/>
          <w:szCs w:val="20"/>
          <w:color w:val="auto"/>
        </w:rPr>
      </w:pPr>
    </w:p>
    <w:p>
      <w:pPr>
        <w:ind w:left="140"/>
        <w:spacing w:after="0"/>
        <w:tabs>
          <w:tab w:leader="none" w:pos="7320" w:val="left"/>
          <w:tab w:leader="none" w:pos="8300" w:val="left"/>
        </w:tabs>
        <w:rPr>
          <w:sz w:val="20"/>
          <w:szCs w:val="20"/>
          <w:color w:val="auto"/>
        </w:rPr>
      </w:pPr>
      <w:r>
        <w:rPr>
          <w:rFonts w:ascii="Times New Roman" w:cs="Times New Roman" w:eastAsia="Times New Roman" w:hAnsi="Times New Roman"/>
          <w:sz w:val="16"/>
          <w:szCs w:val="16"/>
          <w:color w:val="auto"/>
        </w:rPr>
        <w:t>Asian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31761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17615"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Hispanic or Latinx</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Indian or South Asian</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Native Hawaiian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631761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7615" cy="2400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Pacific Islander</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Middle Eastern or North</w:t>
      </w:r>
    </w:p>
    <w:p>
      <w:pPr>
        <w:ind w:left="140"/>
        <w:spacing w:after="0"/>
        <w:rPr>
          <w:sz w:val="20"/>
          <w:szCs w:val="20"/>
          <w:color w:val="auto"/>
        </w:rPr>
      </w:pPr>
      <w:r>
        <w:rPr>
          <w:rFonts w:ascii="Times New Roman" w:cs="Times New Roman" w:eastAsia="Times New Roman" w:hAnsi="Times New Roman"/>
          <w:sz w:val="16"/>
          <w:szCs w:val="16"/>
          <w:color w:val="auto"/>
        </w:rPr>
        <w:t>African</w:t>
      </w:r>
    </w:p>
    <w:p>
      <w:pPr>
        <w:spacing w:after="0" w:line="10" w:lineRule="exact"/>
        <w:rPr>
          <w:sz w:val="20"/>
          <w:szCs w:val="20"/>
          <w:color w:val="auto"/>
        </w:rPr>
      </w:pPr>
    </w:p>
    <w:p>
      <w:pPr>
        <w:ind w:left="140"/>
        <w:spacing w:after="0"/>
        <w:tabs>
          <w:tab w:leader="none" w:pos="2140" w:val="left"/>
          <w:tab w:leader="none" w:pos="3000" w:val="left"/>
          <w:tab w:leader="none" w:pos="3860" w:val="left"/>
          <w:tab w:leader="none" w:pos="4720" w:val="left"/>
          <w:tab w:leader="none" w:pos="5580" w:val="left"/>
          <w:tab w:leader="none" w:pos="6460" w:val="left"/>
          <w:tab w:leader="none" w:pos="9380" w:val="left"/>
        </w:tabs>
        <w:rPr>
          <w:sz w:val="20"/>
          <w:szCs w:val="20"/>
          <w:color w:val="auto"/>
        </w:rPr>
      </w:pPr>
      <w:r>
        <w:rPr>
          <w:rFonts w:ascii="Times New Roman" w:cs="Times New Roman" w:eastAsia="Times New Roman" w:hAnsi="Times New Roman"/>
          <w:sz w:val="16"/>
          <w:szCs w:val="16"/>
          <w:color w:val="auto"/>
        </w:rPr>
        <w:t>White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31761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761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Two or More Races or</w:t>
      </w:r>
    </w:p>
    <w:p>
      <w:pPr>
        <w:ind w:left="140"/>
        <w:spacing w:after="0"/>
        <w:rPr>
          <w:sz w:val="20"/>
          <w:szCs w:val="20"/>
          <w:color w:val="auto"/>
        </w:rPr>
      </w:pPr>
      <w:r>
        <w:rPr>
          <w:rFonts w:ascii="Times New Roman" w:cs="Times New Roman" w:eastAsia="Times New Roman" w:hAnsi="Times New Roman"/>
          <w:sz w:val="16"/>
          <w:szCs w:val="16"/>
          <w:color w:val="auto"/>
        </w:rPr>
        <w:t>Ethnicities</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LGBTQ+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31761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7615" cy="137160"/>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Did not Disclose</w:t>
      </w:r>
    </w:p>
    <w:p>
      <w:pPr>
        <w:ind w:left="140"/>
        <w:spacing w:after="0" w:line="211" w:lineRule="auto"/>
        <w:rPr>
          <w:sz w:val="20"/>
          <w:szCs w:val="20"/>
          <w:color w:val="auto"/>
        </w:rPr>
      </w:pPr>
      <w:r>
        <w:rPr>
          <w:rFonts w:ascii="Times New Roman" w:cs="Times New Roman" w:eastAsia="Times New Roman" w:hAnsi="Times New Roman"/>
          <w:sz w:val="16"/>
          <w:szCs w:val="16"/>
          <w:color w:val="auto"/>
        </w:rPr>
        <w:t>Demographic</w:t>
      </w:r>
    </w:p>
    <w:p>
      <w:pPr>
        <w:ind w:left="140"/>
        <w:spacing w:after="0"/>
        <w:rPr>
          <w:sz w:val="20"/>
          <w:szCs w:val="20"/>
          <w:color w:val="auto"/>
        </w:rPr>
      </w:pPr>
      <w:r>
        <w:rPr>
          <w:rFonts w:ascii="Times New Roman" w:cs="Times New Roman" w:eastAsia="Times New Roman" w:hAnsi="Times New Roman"/>
          <w:sz w:val="16"/>
          <w:szCs w:val="16"/>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31761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7615" cy="16256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Part II: Gender Identity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Male</w:t>
            </w:r>
          </w:p>
        </w:tc>
        <w:tc>
          <w:tcPr>
            <w:tcW w:w="12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Female</w:t>
            </w: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ind w:left="140"/>
        <w:spacing w:after="0"/>
        <w:rPr>
          <w:sz w:val="20"/>
          <w:szCs w:val="20"/>
          <w:color w:val="auto"/>
        </w:rPr>
      </w:pPr>
      <w:r>
        <w:rPr>
          <w:rFonts w:ascii="Times New Roman" w:cs="Times New Roman" w:eastAsia="Times New Roman" w:hAnsi="Times New Roman"/>
          <w:sz w:val="16"/>
          <w:szCs w:val="16"/>
          <w:color w:val="auto"/>
        </w:rPr>
        <w:t>Non-Binary</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Did Not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631761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7615" cy="2400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Gender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4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Our Board of Directors is currently chaired by Mr. Dunn. We believe that the separation of the two roles of Executive Chairman and Chief Executive Officer is most beneficial in furthering SI-BONE’s ability to develop and implement strategy. In particular, in making this determination, Mr. Dunn, as our former Chief Executive Officer, will continue to have intimate knowledge of our operations, both historically and currently, which will enable him to continue to act as a bridge between management and the Board. Further, Mr. Dunn as Executive Chairman alleviates the need for Ms. Francis to take on the responsibilities of Chairman, enabling her to focus on her responsibilities in her role as our Chief Executive Officer. In addition, since January 1, 2022, Mr. Davis has resumed his role as our Lead Independent Director.</w:t>
      </w:r>
    </w:p>
    <w:p>
      <w:pPr>
        <w:spacing w:after="0" w:line="21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Board of Directors believes that our stockholders are best served at this time by having a Lead Independent Director who is an integral part of our Board structure and a critical aspect of effective corporate governance. Mr. Davis previously served as our Lead</w:t>
      </w:r>
    </w:p>
    <w:p>
      <w:pPr>
        <w:sectPr>
          <w:pgSz w:w="11900" w:h="16913" w:orient="portrait"/>
          <w:cols w:equalWidth="0" w:num="1">
            <w:col w:w="11240"/>
          </w:cols>
          <w:pgMar w:left="320" w:top="164" w:right="339" w:bottom="0" w:gutter="0" w:footer="0" w:header="0"/>
        </w:sect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913" w:orient="portrait"/>
          <w:cols w:equalWidth="0" w:num="1">
            <w:col w:w="11240"/>
          </w:cols>
          <w:pgMar w:left="320" w:top="164" w:right="339" w:bottom="0" w:gutter="0" w:footer="0" w:header="0"/>
          <w:type w:val="continuous"/>
        </w:sectPr>
      </w:pPr>
    </w:p>
    <w:bookmarkStart w:id="16" w:name="page17"/>
    <w:bookmarkEnd w:id="1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line="297" w:lineRule="auto"/>
        <w:rPr>
          <w:sz w:val="20"/>
          <w:szCs w:val="20"/>
          <w:color w:val="auto"/>
        </w:rPr>
      </w:pPr>
      <w:r>
        <w:rPr>
          <w:rFonts w:ascii="Times New Roman" w:cs="Times New Roman" w:eastAsia="Times New Roman" w:hAnsi="Times New Roman"/>
          <w:sz w:val="18"/>
          <w:szCs w:val="18"/>
          <w:color w:val="auto"/>
        </w:rPr>
        <w:t>Independent Director from June 2019 until Mr. Dunn ceased to be our Chief Executive Officer in April 2021.Mr. Davis brings considerable skills and experience, as described above, to the role. We believe as well that Mr. Davis can effectively oversee and drive the activities of the Board, including:</w:t>
      </w:r>
    </w:p>
    <w:p>
      <w:pPr>
        <w:spacing w:after="0" w:line="21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coordinate with the committee chairs regarding meeting agendas and informational requirements;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perform such other duties as may be necessary from time to time to ensure the effective functioning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 particular, our Board is responsible for monitoring and assessing strategic risk exposure. Our executive officers are responsible for the day-to-day management of the material risks we face. Our Board administers its oversight function directly as a whole, as well as through various standing committees of our Board that address risks inherent in their respective areas of oversight. For example, our Audit Committee is responsible for overseeing the management of risks associated with our financial reporting, accounting and auditing matters and cybersecurity;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director succession planning, development of and reporting on our sustainability program, and oversight of healthcare, regulatory, and fraud and abuse compliance.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recognize the importance of protecting our information technology (“IT”) systems. With this in mind, we focus on IT and cybersecurity measures on both an enterprise-wide operational level and on an individual employee level. Accordingly, we have in place various methods and levels of IT and cybersecurity measures which are aimed at protecting IT systems to help secure long-term value for our shareholders and other stakeholders.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way of example, these measures generally include the following:</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The alignment and implementation of formally recognized security frameworks into IT operations and control best practices;</w:t>
      </w:r>
    </w:p>
    <w:p>
      <w:pPr>
        <w:spacing w:after="0" w:line="36" w:lineRule="exact"/>
        <w:rPr>
          <w:sz w:val="20"/>
          <w:szCs w:val="20"/>
          <w:color w:val="auto"/>
        </w:rPr>
      </w:pPr>
    </w:p>
    <w:p>
      <w:pPr>
        <w:ind w:left="660" w:hanging="324"/>
        <w:spacing w:after="0" w:line="268" w:lineRule="auto"/>
        <w:rPr>
          <w:sz w:val="20"/>
          <w:szCs w:val="20"/>
          <w:color w:val="auto"/>
        </w:rPr>
      </w:pPr>
      <w:r>
        <w:rPr>
          <w:rFonts w:ascii="Times New Roman" w:cs="Times New Roman" w:eastAsia="Times New Roman" w:hAnsi="Times New Roman"/>
          <w:sz w:val="18"/>
          <w:szCs w:val="18"/>
          <w:color w:val="auto"/>
        </w:rPr>
        <w:t>– Utilization of detection and protection technologies such as endpoint detection response, vulnerability and patch management programs, and enhanced incident response capabilities;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Ongoing end-user security awareness training;</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Ongoing security metric reporting to senior organizational leaders;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Formal periodic risk assessments and maturity assessments to gauge current level of operational efficiency and effectiveness.</w:t>
      </w:r>
    </w:p>
    <w:p>
      <w:pPr>
        <w:spacing w:after="0" w:line="2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Audit Committee and senior management are responsible for overseeing matters relating to our IT and cybersecurity practices and initiatives and our Audit Committee is briefed regularly by our senior management on cybersecurity matters. To further assist our Audit Committee, we also have designated specific roles who oversee cybersecurity for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Board of Directors met six times during 2021. Each Board member attended 75% or more of the aggregate number of meetings of the Board and of the committees on which he or she served, held during the portion of the last fiscal year for which he or she was a director or committee member.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7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Compensation Committee and a Nominating and Corporate Governance Committee. The following table provides membership and meeting information for fiscal 2021 for each of the Board committees (Mr. Dunn did not serve on any committees in 2021, and neither Mr. Dunn nor Ms. Francis has served on any committee to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0" w:type="dxa"/>
            <w:vAlign w:val="bottom"/>
          </w:tcPr>
          <w:p>
            <w:pPr>
              <w:spacing w:after="0"/>
              <w:rPr>
                <w:sz w:val="1"/>
                <w:szCs w:val="1"/>
                <w:color w:val="auto"/>
              </w:rPr>
            </w:pPr>
          </w:p>
        </w:tc>
      </w:tr>
      <w:tr>
        <w:trPr>
          <w:trHeight w:val="184"/>
        </w:trPr>
        <w:tc>
          <w:tcPr>
            <w:tcW w:w="700" w:type="dxa"/>
            <w:vAlign w:val="bottom"/>
          </w:tcPr>
          <w:p>
            <w:pPr>
              <w:spacing w:after="0"/>
              <w:rPr>
                <w:sz w:val="16"/>
                <w:szCs w:val="16"/>
                <w:color w:val="auto"/>
              </w:rPr>
            </w:pPr>
          </w:p>
        </w:tc>
        <w:tc>
          <w:tcPr>
            <w:tcW w:w="4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2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4280" w:type="dxa"/>
            <w:vAlign w:val="bottom"/>
            <w:gridSpan w:val="3"/>
            <w:vMerge w:val="continue"/>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2080" w:type="dxa"/>
            <w:vAlign w:val="bottom"/>
            <w:gridSpan w:val="2"/>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Timothy E. Davis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X*</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280" w:type="dxa"/>
            <w:vAlign w:val="bottom"/>
            <w:gridSpan w:val="3"/>
          </w:tcPr>
          <w:p>
            <w:pPr>
              <w:ind w:left="140"/>
              <w:spacing w:after="0" w:line="230" w:lineRule="exact"/>
              <w:rPr>
                <w:sz w:val="20"/>
                <w:szCs w:val="20"/>
                <w:color w:val="auto"/>
              </w:rPr>
            </w:pPr>
            <w:r>
              <w:rPr>
                <w:rFonts w:ascii="Times New Roman" w:cs="Times New Roman" w:eastAsia="Times New Roman" w:hAnsi="Times New Roman"/>
                <w:sz w:val="18"/>
                <w:szCs w:val="18"/>
                <w:color w:val="auto"/>
              </w:rPr>
              <w:t>John G. Freund, M.D.</w:t>
            </w:r>
            <w:r>
              <w:rPr>
                <w:rFonts w:ascii="Times New Roman" w:cs="Times New Roman" w:eastAsia="Times New Roman" w:hAnsi="Times New Roman"/>
                <w:sz w:val="23"/>
                <w:szCs w:val="23"/>
                <w:color w:val="auto"/>
                <w:vertAlign w:val="superscript"/>
              </w:rPr>
              <w:t>(1)</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280" w:type="dxa"/>
            <w:vAlign w:val="bottom"/>
            <w:gridSpan w:val="3"/>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Jeryl L. Hilleman</w:t>
            </w:r>
            <w:r>
              <w:rPr>
                <w:rFonts w:ascii="Times New Roman" w:cs="Times New Roman" w:eastAsia="Times New Roman" w:hAnsi="Times New Roman"/>
                <w:sz w:val="23"/>
                <w:szCs w:val="23"/>
                <w:color w:val="auto"/>
                <w:vertAlign w:val="superscript"/>
              </w:rPr>
              <w:t>(2)</w:t>
            </w:r>
          </w:p>
        </w:tc>
        <w:tc>
          <w:tcPr>
            <w:tcW w:w="1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Gregory K. Hinckley</w:t>
            </w:r>
          </w:p>
        </w:tc>
        <w:tc>
          <w:tcPr>
            <w:tcW w:w="1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700" w:type="dxa"/>
            <w:vAlign w:val="bottom"/>
          </w:tcPr>
          <w:p>
            <w:pPr>
              <w:spacing w:after="0"/>
              <w:rPr>
                <w:sz w:val="24"/>
                <w:szCs w:val="24"/>
                <w:color w:val="auto"/>
              </w:rPr>
            </w:pPr>
          </w:p>
        </w:tc>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Helen Loh</w:t>
            </w:r>
            <w:r>
              <w:rPr>
                <w:rFonts w:ascii="Times New Roman" w:cs="Times New Roman" w:eastAsia="Times New Roman" w:hAnsi="Times New Roman"/>
                <w:sz w:val="23"/>
                <w:szCs w:val="23"/>
                <w:color w:val="auto"/>
                <w:vertAlign w:val="superscript"/>
              </w:rPr>
              <w:t>(3)</w:t>
            </w:r>
          </w:p>
        </w:tc>
        <w:tc>
          <w:tcPr>
            <w:tcW w:w="1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80" w:type="dxa"/>
            <w:vAlign w:val="bottom"/>
            <w:gridSpan w:val="3"/>
          </w:tcPr>
          <w:p>
            <w:pPr>
              <w:ind w:left="140"/>
              <w:spacing w:after="0" w:line="230" w:lineRule="exact"/>
              <w:rPr>
                <w:sz w:val="20"/>
                <w:szCs w:val="20"/>
                <w:color w:val="auto"/>
              </w:rPr>
            </w:pPr>
            <w:r>
              <w:rPr>
                <w:rFonts w:ascii="Times New Roman" w:cs="Times New Roman" w:eastAsia="Times New Roman" w:hAnsi="Times New Roman"/>
                <w:sz w:val="18"/>
                <w:szCs w:val="18"/>
                <w:color w:val="auto"/>
              </w:rPr>
              <w:t>Mika Nishimura</w:t>
            </w:r>
            <w:r>
              <w:rPr>
                <w:rFonts w:ascii="Times New Roman" w:cs="Times New Roman" w:eastAsia="Times New Roman" w:hAnsi="Times New Roman"/>
                <w:sz w:val="23"/>
                <w:szCs w:val="23"/>
                <w:color w:val="auto"/>
                <w:vertAlign w:val="superscript"/>
              </w:rPr>
              <w:t>(4)</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Keith C. Valentine</w:t>
            </w: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80" w:type="dxa"/>
            <w:vAlign w:val="bottom"/>
            <w:gridSpan w:val="3"/>
          </w:tcPr>
          <w:p>
            <w:pPr>
              <w:ind w:left="140"/>
              <w:spacing w:after="0" w:line="230" w:lineRule="exact"/>
              <w:rPr>
                <w:sz w:val="20"/>
                <w:szCs w:val="20"/>
                <w:color w:val="auto"/>
              </w:rPr>
            </w:pPr>
            <w:r>
              <w:rPr>
                <w:rFonts w:ascii="Times New Roman" w:cs="Times New Roman" w:eastAsia="Times New Roman" w:hAnsi="Times New Roman"/>
                <w:sz w:val="18"/>
                <w:szCs w:val="18"/>
                <w:color w:val="auto"/>
              </w:rPr>
              <w:t>Mark J. Foley</w:t>
            </w:r>
            <w:r>
              <w:rPr>
                <w:rFonts w:ascii="Times New Roman" w:cs="Times New Roman" w:eastAsia="Times New Roman" w:hAnsi="Times New Roman"/>
                <w:sz w:val="23"/>
                <w:szCs w:val="23"/>
                <w:color w:val="auto"/>
                <w:vertAlign w:val="superscript"/>
              </w:rPr>
              <w:t>(5)</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280" w:type="dxa"/>
            <w:vAlign w:val="bottom"/>
            <w:gridSpan w:val="3"/>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Karen A Licitra</w:t>
            </w:r>
            <w:r>
              <w:rPr>
                <w:rFonts w:ascii="Times New Roman" w:cs="Times New Roman" w:eastAsia="Times New Roman" w:hAnsi="Times New Roman"/>
                <w:sz w:val="23"/>
                <w:szCs w:val="23"/>
                <w:color w:val="auto"/>
                <w:vertAlign w:val="superscript"/>
              </w:rPr>
              <w:t>(5)</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meetings in fiscal 2021</w:t>
            </w:r>
          </w:p>
        </w:tc>
        <w:tc>
          <w:tcPr>
            <w:tcW w:w="1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76"/>
        </w:trPr>
        <w:tc>
          <w:tcPr>
            <w:tcW w:w="1880" w:type="dxa"/>
            <w:vAlign w:val="bottom"/>
            <w:tcBorders>
              <w:bottom w:val="single" w:sz="8" w:color="auto"/>
            </w:tcBorders>
            <w:gridSpan w:val="2"/>
          </w:tcPr>
          <w:p>
            <w:pPr>
              <w:spacing w:after="0"/>
              <w:rPr>
                <w:sz w:val="15"/>
                <w:szCs w:val="15"/>
                <w:color w:val="auto"/>
              </w:rPr>
            </w:pPr>
          </w:p>
        </w:tc>
        <w:tc>
          <w:tcPr>
            <w:tcW w:w="3100" w:type="dxa"/>
            <w:vAlign w:val="bottom"/>
            <w:gridSpan w:val="2"/>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Committee Chairperson</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line="261" w:lineRule="auto"/>
        <w:tabs>
          <w:tab w:leader="none" w:pos="4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Freund served on the Nominating and Corporate Governance Committee until June 10, 2021, the date of our 2021 annual meeting of stockholders, at which time he left the Nominating and Corporate Governance Committee and joined the Compensation Committee.</w:t>
      </w: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Hilleman joined the Nominating and Corporate Governance Committee on June 10, 2021.</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Loh joined our Board in April 2021 and joined the Nominating and Corporate Governance Committee on June 10, 2021.</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Nishimura joined our Board in March 2021 and joined the Compensation Committee on June 10, 2021.</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Foley and Ms. Licitra ceased to be a member of our Board and the Compensation Committee on June 10, 2021.</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Our Board has adopted a written charter for each of the Audit Committee, the Compensation Committee, and the Nominating and Corporate Governance Committee. Each of these charters are available to stockholders on SI-BONE’s website at </w:t>
      </w:r>
      <w:r>
        <w:rPr>
          <w:rFonts w:ascii="Times New Roman" w:cs="Times New Roman" w:eastAsia="Times New Roman" w:hAnsi="Times New Roman"/>
          <w:sz w:val="18"/>
          <w:szCs w:val="18"/>
          <w:u w:val="single" w:color="auto"/>
          <w:color w:val="3051F2"/>
        </w:rPr>
        <w:t>www.si-bone.com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Our Audit Committee consists of Mr. Davis, Mr. Hinckley, and Ms. Hilleman, each of whom satisfies the independence requirements under the Nasdaq Global Market listing standards and Rule 10A-3(b)(1) of the Exchange Act. The chairperson of our Audit Committee is Ms. Hilleman. Our Board has determined that each of Mr. Davis, Mr. Hinckley, and Ms. Hilleman are “audit committee financial experts” within the meaning of SEC regulations. Our Board has also determined that each member of our Audit Committee has the requisite financial expertise required under the applicable requirements of the Nasdaq Global Market. In arriving at this determination, the Board has examined each audit committee member’s scope of experience and the nature of their employment in the corporate finance sector.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995" w:right="339" w:bottom="1440" w:gutter="0" w:footer="0" w:header="0"/>
        </w:sectPr>
      </w:pPr>
    </w:p>
    <w:bookmarkStart w:id="19" w:name="page20"/>
    <w:bookmarkEnd w:id="19"/>
    <w:p>
      <w:pPr>
        <w:jc w:val="both"/>
        <w:spacing w:after="0" w:line="289"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accounting, financial, and other reporting and internal control practices and to oversee our independent registered public accounting firm. Specific responsibilities of our Audit Committee include, but are not limited to:</w:t>
      </w:r>
    </w:p>
    <w:p>
      <w:pPr>
        <w:spacing w:after="0" w:line="197" w:lineRule="exact"/>
        <w:rPr>
          <w:sz w:val="20"/>
          <w:szCs w:val="20"/>
          <w:color w:val="auto"/>
        </w:rPr>
      </w:pPr>
    </w:p>
    <w:p>
      <w:pPr>
        <w:ind w:left="660" w:right="20" w:hanging="328"/>
        <w:spacing w:after="0" w:line="27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 evaluating the qualifications, independence and performance of the independent registered public accounting firm;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scope of the annual audit and the audit fee;</w:t>
      </w:r>
    </w:p>
    <w:p>
      <w:pPr>
        <w:spacing w:after="0" w:line="27"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our management’s discussion and analysis of financial condition and results of operations to be included in our annual and quarterly reports to be filed with the SEC;</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overseeing procedures for employees to submit concerns anonymously about questionable accounting or audit matters;</w:t>
      </w:r>
    </w:p>
    <w:p>
      <w:pPr>
        <w:spacing w:after="0" w:line="22"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 reviewing and discussing the adequacy and effectiveness of our accounting and financial reporting processes and internal controls and the annual audits of our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guidelines and policies with respect to financial and information security risk management;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at least annually, the Audit Committee charter and the committee’s performance.</w:t>
      </w:r>
    </w:p>
    <w:p>
      <w:pPr>
        <w:spacing w:after="0" w:line="23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Board reviews the Nasdaq listing standards definition of independence for Audit Committee members on an annual basis and has determined that all members of SI-BONE’s Audit Committee are independent (as independence is currently defined in Rule 5605(c)(2)(A)(i) and (ii) of the Nasdaq listing standards).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Audit Committee has reviewed and discussed the audited financial statements for the fiscal year ended December 31, 2021 with management of SI-BONE.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SI-BONE’s Annual Report on Form 10-K for the fiscal year ended December 31,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Jeryl L. Hilleman (Chairperson)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K. Hinckley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E. Davis</w:t>
      </w:r>
    </w:p>
    <w:p>
      <w:pPr>
        <w:spacing w:after="0" w:line="2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Commission and is not to be incorporated by reference in any filing of SI-BONE under the Securities Act or the Exchange Act, whether made before or after the date hereof and irrespective of any general incorporation language in any such filing.</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7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Compensation Committee consists of Mr. Davis, Dr. Freund and Ms. Nishimura, each of whom our Board has determined to be independent under the Nasdaq Global Market listing standards, and a “non-employee director” as defined in Rule 16b-3 promulgated under the Exchange Act. The chairperson of our Compensation Committee is Mr. Davis.</w:t>
      </w:r>
    </w:p>
    <w:p>
      <w:pPr>
        <w:spacing w:after="0" w:line="19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70" w:lineRule="exact"/>
        <w:rPr>
          <w:sz w:val="20"/>
          <w:szCs w:val="20"/>
          <w:color w:val="auto"/>
        </w:rPr>
      </w:pPr>
    </w:p>
    <w:p>
      <w:pPr>
        <w:ind w:left="660" w:hanging="328"/>
        <w:spacing w:after="0" w:line="31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in the case of our Chief Executive Officer, recommending that our Board approve, the compensation of our executive officers;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our directors;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the terms of compensatory arrangements with our executive officers;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employee stock purchase and equity incentive plans;</w:t>
      </w:r>
    </w:p>
    <w:p>
      <w:pPr>
        <w:spacing w:after="0" w:line="130"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68"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Typically, our Compensation Committee meets at least four times annually and with greater frequency if necessary. The agenda for each meeting is usually developed by the chair of the Compensation Committee, in consultation with the Chief Legal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or her compensation or individual performance objectives. The charter of the Compensation Committee grants the Compensation Committee full access to all books, records, facilities and personnel of SI-BONE. In addition, under the charter, the Compensation Committee has the authority to obtain, at the expense of SI-BONE,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described above, the Compensation Committee engaged Compensia, Inc., a national compensation consulting firm with compensation expertise relating to technology and life science companies, as compensation consultants. The Compensation Committee requested that Compensia:</w:t>
      </w:r>
    </w:p>
    <w:p>
      <w:pPr>
        <w:spacing w:after="0" w:line="197" w:lineRule="exact"/>
        <w:rPr>
          <w:sz w:val="20"/>
          <w:szCs w:val="20"/>
          <w:color w:val="auto"/>
        </w:rPr>
      </w:pPr>
    </w:p>
    <w:p>
      <w:pPr>
        <w:ind w:left="660" w:hanging="328"/>
        <w:spacing w:after="0" w:line="275"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evaluate the efficacy of SI-BONE’s existing compensation strategy and practices in supporting and reinforcing SI-BONE’s long-term strategic goals;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995" w:right="339" w:bottom="1440" w:gutter="0" w:footer="0" w:header="0"/>
        </w:sectPr>
      </w:pPr>
    </w:p>
    <w:bookmarkStart w:id="21" w:name="page22"/>
    <w:bookmarkEnd w:id="21"/>
    <w:p>
      <w:pPr>
        <w:ind w:left="660" w:hanging="328"/>
        <w:spacing w:after="0" w:line="256"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assist in refining SI-BONE’s compensation strategy and in developing and implementing an executive compensation program to execute that strategy;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benchmark SI-BONE’s use of its equity in its compensation program against equity utilization of its peers;</w:t>
      </w:r>
    </w:p>
    <w:p>
      <w:pPr>
        <w:spacing w:after="0" w:line="49" w:lineRule="exact"/>
        <w:rPr>
          <w:rFonts w:ascii="Arial" w:cs="Arial" w:eastAsia="Arial" w:hAnsi="Arial"/>
          <w:sz w:val="22"/>
          <w:szCs w:val="22"/>
          <w:color w:val="auto"/>
        </w:rPr>
      </w:pPr>
    </w:p>
    <w:p>
      <w:pPr>
        <w:ind w:left="660" w:hanging="328"/>
        <w:spacing w:after="0" w:line="256"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review the adequacy and appropriateness of SI-BONE’s compensation of its independent directors and recommend annually updates to the Company’s non-employee director compensation policy; and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perform an annual independent compensation risk assessment.</w:t>
      </w:r>
    </w:p>
    <w:p>
      <w:pPr>
        <w:spacing w:after="0" w:line="2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part of its engagement, the Compensation Committee requested Compensia to develop a comparative group of companies and to perform analyses of competitive performance and compensation levels for that group. Compensia also conducted individual interviews with members of the Compensation Committee and senior management to learn more about SI-BONE’s business operations and strategy, key performance metrics and strategic goals, as well as the labor markets in which SI-BONE competes. Compensia ultimately developed recommendations that were presented to the Compensation Committee for its consideration. Following an active dialogue with Compensia, the Compensation Committee approved the recommendations of Compensia.</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fourth quarter of the preceding year and the first quarter of the year. However, the Compensation Committee also considers matters related to individual compensation, such as compensation for new executive hires, as well as high-level strategic issues, such as the efficacy of SI-BONE’s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Board conducts the evaluation of his or her performance, which determines any adjustments to his or her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Hilleman, Ms. Loh and Mr. Valentine. Our Board of Directors has determined Ms. Hilleman, Ms. Loh and Mr. Valentine each to be independent under the Nasdaq Global Market listing standards. The chairperson of our Nominating and Corporate Governance Committee is Mr. Valentine.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3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approve, nominees for election to our Board;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of Directors;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regarding corporate governance guidelines and matters;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 of our environmental, social and governance oversight program;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administration of our healthcare compliance program.</w:t>
      </w:r>
    </w:p>
    <w:p>
      <w:pPr>
        <w:spacing w:after="0" w:line="1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810" w:right="339" w:bottom="1440" w:gutter="0" w:footer="0" w:header="0"/>
        </w:sectPr>
      </w:pPr>
    </w:p>
    <w:bookmarkStart w:id="22" w:name="page23"/>
    <w:bookmarkEnd w:id="22"/>
    <w:p>
      <w:pPr>
        <w:jc w:val="both"/>
        <w:spacing w:after="0" w:line="276" w:lineRule="auto"/>
        <w:rPr>
          <w:sz w:val="20"/>
          <w:szCs w:val="20"/>
          <w:color w:val="auto"/>
        </w:rPr>
      </w:pPr>
      <w:r>
        <w:rPr>
          <w:rFonts w:ascii="Times New Roman" w:cs="Times New Roman" w:eastAsia="Times New Roman" w:hAnsi="Times New Roman"/>
          <w:sz w:val="18"/>
          <w:szCs w:val="18"/>
          <w:color w:val="auto"/>
        </w:rPr>
        <w:t>possessing relevant expertise upon which to be able to offer advice and guidance to management, having sufficient time to devote to the affairs of SI-BONE, demonstrated excellence in his or her field, having the ability to exercise sound business judgment and having the commitment to rigorously represent the long-term interests of SI-BONE’s stockholders. However, the Nominating and Corporate Governance Committee retains the right to modify these qualifications from time to time. Potential director nominees are reviewed in the context of the current composition of the Board, the operating requirements of SI-BONE and the long-term interests of its stockholders. In conducting this assessment, the Nominating and Corporate Governance Committee considers diversity (including gender, racial and ethnic diversity), age, skills and such other factors as it deems appropriate, given the current needs of the Board and SI-BONE, to maintain a balance of knowledge, experience and capability.</w:t>
      </w:r>
    </w:p>
    <w:p>
      <w:pPr>
        <w:spacing w:after="0" w:line="1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SI-BONE during their terms, including the number of meetings attended, level of participation, quality of performance and any other relationships and transactions that might impair the directors’ independence. In the case of potential director nominees, the Nominating and Corporate Governance Committee also determines whether the candidate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nominees,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8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attention of the Nominating and Corporate Governance Committee and care of the Chief Legal Officer at the following address: 471 El Camino Real, Suite 101, Santa Clara, CA 95050 no earlier than 120 days prior to the anniversary date of the mailing of SI-BONE’s proxy statement for the last Annual Meeting of Stockholders and no later than the 90th day prior to the upcoming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SI-BONE’s stock and has been a holder for at least one year. Any such submission must be accompanied by the written consent of the proposed nominee to be named as a nominee and to serve as a director if elected.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Historically, we have not provided a formal process related to stockholder communications with our Board of Directors.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our directors has been excellent. Stockholders may communicate with the Board or any of our directors. Stockholders who wish to communicate with the Board may do so by sending written communications addressed as follows: SI-BONE, Inc. Board Communication, 471 El Camino Real, Suite 101, Santa Clara, CA 95050. Any communication sent must state the number of shares owned by the stockholder making the communication. The communications will be reviewed by the Chairman of the Board. The Chairman of the Board will forward such communication to the Board or to any individual director to whom the communication is addressed unless the communication is unduly frivolous, hostile, threatening or similarly inappropriate, in which case, the Chairman of the Board shall discard the communication.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7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adopted the SI-BONE, Inc. Code of Business Conduct and Ethics that applies to all officers, directors and employees. The Code of Business Conduct and Ethics is available on SI-BONE’s website at www.si-bone.com. If SI-BONE makes any substantive amendments to the Code of Business Conduct and Ethics or grants any waiver from a provision of the Code to any executive officer or director, SI-BONE will promptly disclose the nature of the amendment or waiver on its website.</w:t>
      </w:r>
    </w:p>
    <w:p>
      <w:pPr>
        <w:spacing w:after="0" w:line="19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have a whistleblower hotline and website where people can report violations of the Code of Business Conduct and Ethics anonymously or by name; to date we have never had a good-faith complaint alleging violations of our Code of Conduct come into the hotline.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July 2018, the Board of Directors adopted, and in January 2021 revised, our Corporate Governance Guidelines to assure that the Board has the necessary authority and policies in place to review and evaluate SI-BONE’s business operations as needed and to make decisions that are independent of SI-BONE’s management. The guidelines are also intended to align the interests of directors and management with those of SI-BONE’s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board committees and compensation, board and committee self-assessments, and our prohibition on engaging in hedging, pledging or other inherently speculative transactions in our common stock. The Corporate Governance Guidelines, as well as the charters for each committee of the Board, may be viewed at www.si-bone.com.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PROHIBITION</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As set forth in our Insider Trading Policy and Corporate Governance Guidelines, no director, employee or consultant to SI-BONE may engage in short sales, transactions in put or call options, hedging transactions, margin accounts, pledges, or other inherently speculative transactions with respect to our stock at any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December 2020, the Board of Directors adopted stock ownership guidelines applicable to each of our directors and executive officers. Pursuant to these guidelines, our Chief Executive Officer is expected to own shares of our common stock with a value of at least three times his or her annual base pay, each of our executive officers other than our Chief Executive Officer is expected to own shares of our common stock with a value of at least his or her annual base salary, and each of our directors is expected to own shares of our common stock with a value of at least three times our annual retainer for independent directors for service on the Board of Directors. The guidelines provide that the applicable person has five years from the later of the adoption of this policy and the time the person becomes subject to this policy to achieve their applicable stock ownership.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OVERSIGHT AND ACTIVITIES</w:t>
      </w:r>
    </w:p>
    <w:p>
      <w:pPr>
        <w:spacing w:after="0" w:line="2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strive to advance the interests of all our stakeholders – including patients, healthcare professionals, employees, investors, and our communities – by operating in an ethical and sustainable way. We do this by holding true to our core values: Respect, Collaboration, Excellence, Creativity, Agility and Integrity. These values are at the heart of our sustainability activities. For more information about our sustainability achievements in 2021, we encourage you to read our 2021 Sustainability Report, which will be available for download at www.investor.si-bone.com in May 2022. This report and any content on our website is provided for reference only and is not incorporated by reference in this Proxy Statement.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40"/>
          </w:cols>
          <w:pgMar w:left="320" w:top="995"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PricewaterhouseCoopers LLP as SI-BONE’s independent registered public accounting firm for the fiscal year ending December 31, 2022, and has further directed that management submit the selection of its independent registered public accounting firm for ratification by the stockholders at the annual meeting. PricewaterhouseCoopers LLP has audited SI-BONE’s financial statements since our inception in 2008. Representatives of PricewaterhouseCoopers LLP are expected to be present at the Annual Meeting. They will have an opportunity to make a statement if they so desire and will be available to respond to appropriate questions.</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Neither our Bylaws or other governing documents nor law require stockholder ratification of the selection of PricewaterhouseCoopers LLP as SI-BONE’s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SI-BONE and its stockholders.</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and entitled to vote on the matter at the annual meeting will be required to ratify the selection of PricewaterhouseCoopers LLP.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table represents aggregate fees billed to SI-BONE for the fiscal years ended December 31, 2021 and 2020 by PricewaterhouseCoopers LLP, our independent registered public accounting firm.</w:t>
      </w:r>
    </w:p>
    <w:p>
      <w:pPr>
        <w:spacing w:after="0" w:line="186"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26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560" w:type="dxa"/>
            <w:vAlign w:val="bottom"/>
            <w:tcBorders>
              <w:bottom w:val="single" w:sz="8" w:color="auto"/>
            </w:tcBorders>
          </w:tcPr>
          <w:p>
            <w:pPr>
              <w:spacing w:after="0"/>
              <w:rPr>
                <w:sz w:val="20"/>
                <w:szCs w:val="20"/>
                <w:color w:val="auto"/>
              </w:rPr>
            </w:pPr>
          </w:p>
        </w:tc>
      </w:tr>
      <w:tr>
        <w:trPr>
          <w:trHeight w:val="223"/>
        </w:trPr>
        <w:tc>
          <w:tcPr>
            <w:tcW w:w="60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r>
      <w:tr>
        <w:trPr>
          <w:trHeight w:val="223"/>
        </w:trPr>
        <w:tc>
          <w:tcPr>
            <w:tcW w:w="6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9"/>
                <w:szCs w:val="19"/>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Audit Fees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1,039</w:t>
            </w:r>
          </w:p>
        </w:tc>
      </w:tr>
      <w:tr>
        <w:trPr>
          <w:trHeight w:val="229"/>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Audit-related Fees</w:t>
            </w:r>
          </w:p>
        </w:tc>
        <w:tc>
          <w:tcPr>
            <w:tcW w:w="96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Fees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6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Fees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Fees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1,613</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1,151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both"/>
        <w:ind w:left="660" w:hanging="328"/>
        <w:spacing w:after="0" w:line="267"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consist of fees incurred for professional services rendered for the audit of our annual consolidated financial statements, review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consolidated financial statements, and other services normally provided by PricewaterhouseCoopers LLP in connection with regulatory filings.</w:t>
      </w:r>
    </w:p>
    <w:p>
      <w:pPr>
        <w:spacing w:after="0" w:line="20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consist of fees for professional services for tax compliance, tax advice and tax planning.</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consist of fees for professional services other than the services reported above, including permissible consulting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40"/>
          </w:cols>
          <w:pgMar w:left="320" w:top="99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Our Audit Committee has adopted a policy and procedures for the pre-approval of audit and non-audit services rendered by SI-BONE’s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8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PricewaterhouseCoopers LLP is compatible with maintaining the principal accountant’s independence.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PROPOSAL NO. 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40"/>
          </w:cols>
          <w:pgMar w:left="320" w:top="99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w:t>
      </w:r>
    </w:p>
    <w:p>
      <w:pPr>
        <w:spacing w:after="0" w:line="2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 contained in this proxy statement. As discussed in those disclosures, we believe that our compensation policies and decisions are focused on pay-for-performance principles and strongly aligned with our stockholders’ interests, consistent with current market practices. Compensation of our named executive officers is designed to enable us to attract and retain talented and experienced executives to lead our company successfully in a competitive environment. Please see the Executive Compensation Narrative for a description of our compensation policies and decisions.</w:t>
      </w:r>
    </w:p>
    <w:p>
      <w:pPr>
        <w:spacing w:after="0" w:line="21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Accordingly, the Board is asking our stockholders to indicate their support for the compensation of our named executive officers as described in this proxy statement by casting a non-binding advisory vote “FOR” the following resolution:</w:t>
      </w:r>
    </w:p>
    <w:p>
      <w:pPr>
        <w:spacing w:after="0" w:line="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“RESOLVED, that the compensation paid to our named executive officers, as disclosed pursuant to Item 402 of Regulation S-K, including the compensation tables and narrative discussion, is hereby APPROVED.”</w:t>
      </w:r>
    </w:p>
    <w:p>
      <w:pPr>
        <w:spacing w:after="0" w:line="19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of Directors or SI-BONE.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9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shares present via webcast or represented by proxy and entitled to vote on the matter at the annual meeting. Unless the Board decides to modify its policy regarding the frequency of soliciting advisory votes on the compensation of our named executives, the next scheduled say-on-pay vote will be at the 2023 Annual Meeting of Stockholders.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40"/>
          </w:cols>
          <w:pgMar w:left="320" w:top="77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THE FREQUENCY OF STOCKHOLDER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VOTES ON EXECUTIVE COMPENSATION</w:t>
      </w:r>
    </w:p>
    <w:p>
      <w:pPr>
        <w:spacing w:after="0" w:line="24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and Section 14A of the Exchange Act, enable our stockholders, at least once every six years, to indicate their preference regarding how frequently we should solicit a non-binding advisory vote on the compensation of our named executive officers as disclosed in our proxy statement. In accordance with the Dodd-Frank Act, we are asking our stockholders to indicate whether they would prefer</w:t>
      </w:r>
    </w:p>
    <w:p>
      <w:pPr>
        <w:spacing w:after="0" w:line="2"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an advisory vote every year, every other year or every three years. Alternatively, our stockholders may abstain from casting a vote. For the reasons described below, the Board recommends that stockholders select a frequency of one year.</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Board believes that an annual advisory vote on the compensation of our named executive officers will enable our stockholders to collectively express their level of approval of our executive compensation program each year, thereby enabling us to be more responsive to the views of our stockholders as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both our compensation program and stockholder base evolve over time. In formulating its recommendation, the Board considered that an annual advisory vote on executive compensation will allow stockholders to provide direct and timely input on our compensation philosophy, policies and practices. Additionally, an annual advisory vote on executive compensation is consistent with our policy of seeking input from, and engaging in discussions with, our stockholders on executive compensation and corporate governance matters.</w:t>
      </w:r>
    </w:p>
    <w:p>
      <w:pPr>
        <w:spacing w:after="0" w:line="22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However, the Board encourages our stockholders to express their preference in accordance with what they determine to be best for SI-BONE. Accordingly, the Board is asking our stockholders to indicate their preferred voting frequency by voting for one, two or three years or abstaining from voting on this proposal. The alternative among one year, two years or three years that receives the votes of the holders of a majority of shares present via webcast or represented by proxy and entitled to vote on the matter at the annual meeting will be deemed to be the frequency preferred by the stockholders and will be the alternative selected in the following resolution to be submitted to the stockholders for a vote at the annual meeting:</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“RESOLVED, that the frequency of every [one year][two years][three years] is hereby APPROVED as the frequency preferred by stockholders for the solicitation of advisory stockholder approval of the compensation paid to the company’s NEOs.” While the Board believes that its recommendation is appropriate at this time, the stockholders are not voting to approve or disapprove that recommendation, but are instead asked to indicate their preferences, on an advisory basis, as to whether the non-binding advisory vote on the approval of our executive officer compensation practices should be held every year, every other year or every three years. If no frequency receives votes representing a majority of shares held by stockholders present via webcast or represented by proxy and entitled to vote at the meeting, the option among those choices that receives the highest number of votes from the holders of shares present via webcast or represented by proxy and entitled to vote at the annual meeting will be deemed to be the frequency preferred by the stockholders.</w:t>
      </w:r>
    </w:p>
    <w:p>
      <w:pPr>
        <w:spacing w:after="0" w:line="2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Board and the Compensation Committee value the opinions of our stockholders in this matter and, to the extent there is any significant vote in favor of one frequency over the other options, even if less than a majority, the Board will consider the stockholders’ concerns and evaluate any appropriate next</w:t>
      </w:r>
    </w:p>
    <w:p>
      <w:pPr>
        <w:spacing w:after="0" w:line="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steps. However, because this vote is advisory and, therefore, not binding on the Board of Directors or SI-BONE, the Board may decide that it is in the best interests of the stockholders that we hold an advisory vote on executive compensation more or less frequently than the option preferred by the stockholders. The vote will not be construed to create or imply any change or addition to the fiduciary duties of SI-BONE or the Board.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“ONE YEAR” ON PROPOSAL NO.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40"/>
          </w:cols>
          <w:pgMar w:left="320" w:top="752" w:right="33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SI-BONE’s common stock as of March 31, 2022, by: (i) each director and nominee for director; (ii) each of the executive officers named in the Summary Compensation Table; (iii) all executive officers and directors of SI-BONE as a group; and (iv) all those known by SI-BONE to be beneficial owners of more than five percent of its common stock.</w:t>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13G filed with the SEC. Unless otherwise indicated in the footnotes to this table and subject to community property laws where applicable, SI-BONE believes that each of the stockholders named in this table has sole voting and investment power with respect to the shares indicated as beneficially owned. Applicable percentages are based on 33,872,363 shares outstanding on March 31, 2022, adjusted as required by rules promulgated by the SEC.</w:t>
      </w:r>
    </w:p>
    <w:p>
      <w:pPr>
        <w:spacing w:after="0" w:line="329" w:lineRule="exact"/>
        <w:rPr>
          <w:sz w:val="20"/>
          <w:szCs w:val="20"/>
          <w:color w:val="auto"/>
        </w:rPr>
      </w:pPr>
    </w:p>
    <w:tbl>
      <w:tblPr>
        <w:tblLayout w:type="fixed"/>
        <w:tblInd w:w="88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2"/>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 Beneficial Ownership</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40" w:type="dxa"/>
            <w:vAlign w:val="bottom"/>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rPr>
              <w:t>Right to Acquire</w:t>
            </w:r>
          </w:p>
        </w:tc>
        <w:tc>
          <w:tcPr>
            <w:tcW w:w="142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3900" w:type="dxa"/>
            <w:vAlign w:val="bottom"/>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44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Shares Owned</w:t>
            </w:r>
          </w:p>
        </w:tc>
        <w:tc>
          <w:tcPr>
            <w:tcW w:w="154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Within 60</w:t>
            </w: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90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5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days</w:t>
            </w:r>
          </w:p>
        </w:tc>
        <w:tc>
          <w:tcPr>
            <w:tcW w:w="14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98"/>
        </w:trPr>
        <w:tc>
          <w:tcPr>
            <w:tcW w:w="39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Timothy E. Davis, Jr.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71,138</w:t>
            </w: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86,361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Jeffrey W. Dunn</w:t>
            </w:r>
            <w:r>
              <w:rPr>
                <w:rFonts w:ascii="Times New Roman" w:cs="Times New Roman" w:eastAsia="Times New Roman" w:hAnsi="Times New Roman"/>
                <w:sz w:val="10"/>
                <w:szCs w:val="10"/>
                <w:color w:val="auto"/>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84,975</w:t>
            </w: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683,463</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768,438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John G. Freund, M.D.</w:t>
            </w:r>
            <w:r>
              <w:rPr>
                <w:rFonts w:ascii="Times New Roman" w:cs="Times New Roman" w:eastAsia="Times New Roman" w:hAnsi="Times New Roman"/>
                <w:sz w:val="10"/>
                <w:szCs w:val="10"/>
                <w:color w:val="auto"/>
              </w:rPr>
              <w:t>(2)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142,696</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37,963</w:t>
            </w: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180,659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Jeryl L. Hilleman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21,135</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25,532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Gregory K. Hinckley</w:t>
            </w:r>
            <w:r>
              <w:rPr>
                <w:rFonts w:ascii="Times New Roman" w:cs="Times New Roman" w:eastAsia="Times New Roman" w:hAnsi="Times New Roman"/>
                <w:sz w:val="10"/>
                <w:szCs w:val="10"/>
                <w:color w:val="auto"/>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143,149</w:t>
            </w:r>
          </w:p>
        </w:tc>
        <w:tc>
          <w:tcPr>
            <w:tcW w:w="15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18,826</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161,975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Helen Loh</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685</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2,972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Mika Nishimura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Keith C. Valentine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40,171</w:t>
            </w: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37,963</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78,134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Laura A. Francis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101,664</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129,528</w:t>
            </w: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231,192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Anshul Maheshwari</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12,173</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12,173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Anthony J. Recupero</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15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201,402</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236,287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9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All executive officers and directors as a group (12</w:t>
            </w:r>
          </w:p>
        </w:tc>
        <w:tc>
          <w:tcPr>
            <w:tcW w:w="14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608,851</w:t>
            </w:r>
          </w:p>
        </w:tc>
        <w:tc>
          <w:tcPr>
            <w:tcW w:w="1540" w:type="dxa"/>
            <w:vAlign w:val="bottom"/>
          </w:tcPr>
          <w:p>
            <w:pPr>
              <w:jc w:val="right"/>
              <w:ind w:right="115"/>
              <w:spacing w:after="0" w:line="184" w:lineRule="exact"/>
              <w:rPr>
                <w:sz w:val="20"/>
                <w:szCs w:val="20"/>
                <w:color w:val="auto"/>
              </w:rPr>
            </w:pPr>
            <w:r>
              <w:rPr>
                <w:rFonts w:ascii="Times New Roman" w:cs="Times New Roman" w:eastAsia="Times New Roman" w:hAnsi="Times New Roman"/>
                <w:sz w:val="18"/>
                <w:szCs w:val="18"/>
                <w:color w:val="auto"/>
              </w:rPr>
              <w:t>1,281,908</w:t>
            </w:r>
          </w:p>
        </w:tc>
        <w:tc>
          <w:tcPr>
            <w:tcW w:w="1420" w:type="dxa"/>
            <w:vAlign w:val="bottom"/>
          </w:tcPr>
          <w:p>
            <w:pPr>
              <w:jc w:val="right"/>
              <w:ind w:right="111"/>
              <w:spacing w:after="0" w:line="184" w:lineRule="exact"/>
              <w:rPr>
                <w:sz w:val="20"/>
                <w:szCs w:val="20"/>
                <w:color w:val="auto"/>
              </w:rPr>
            </w:pPr>
            <w:r>
              <w:rPr>
                <w:rFonts w:ascii="Times New Roman" w:cs="Times New Roman" w:eastAsia="Times New Roman" w:hAnsi="Times New Roman"/>
                <w:sz w:val="18"/>
                <w:szCs w:val="18"/>
                <w:color w:val="auto"/>
              </w:rPr>
              <w:t>1,890,759</w:t>
            </w: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8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persons)</w:t>
            </w:r>
            <w:r>
              <w:rPr>
                <w:rFonts w:ascii="Times New Roman" w:cs="Times New Roman" w:eastAsia="Times New Roman" w:hAnsi="Times New Roman"/>
                <w:sz w:val="21"/>
                <w:szCs w:val="21"/>
                <w:color w:val="auto"/>
                <w:vertAlign w:val="superscript"/>
              </w:rPr>
              <w:t>(4)</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Brown Advisory Incorporated</w:t>
            </w:r>
            <w:r>
              <w:rPr>
                <w:rFonts w:ascii="Times New Roman" w:cs="Times New Roman" w:eastAsia="Times New Roman" w:hAnsi="Times New Roman"/>
                <w:sz w:val="23"/>
                <w:szCs w:val="23"/>
                <w:color w:val="auto"/>
                <w:vertAlign w:val="superscript"/>
              </w:rPr>
              <w:t>(5)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3,177,024</w:t>
            </w:r>
          </w:p>
        </w:tc>
        <w:tc>
          <w:tcPr>
            <w:tcW w:w="15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3,177,024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10"/>
                <w:szCs w:val="10"/>
                <w:color w:val="auto"/>
              </w:rPr>
              <w:t>(6)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2,699,798</w:t>
            </w: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2,699,798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OrbiMed Capital LLC</w:t>
            </w:r>
            <w:r>
              <w:rPr>
                <w:rFonts w:ascii="Times New Roman" w:cs="Times New Roman" w:eastAsia="Times New Roman" w:hAnsi="Times New Roman"/>
                <w:sz w:val="23"/>
                <w:szCs w:val="23"/>
                <w:color w:val="auto"/>
                <w:vertAlign w:val="superscript"/>
              </w:rPr>
              <w:t>(7)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2,305,300</w:t>
            </w:r>
          </w:p>
        </w:tc>
        <w:tc>
          <w:tcPr>
            <w:tcW w:w="15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2,305,300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325"/>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Champlain Investment Partners, LLC</w:t>
            </w:r>
            <w:r>
              <w:rPr>
                <w:rFonts w:ascii="Times New Roman" w:cs="Times New Roman" w:eastAsia="Times New Roman" w:hAnsi="Times New Roman"/>
                <w:sz w:val="23"/>
                <w:szCs w:val="23"/>
                <w:color w:val="auto"/>
                <w:vertAlign w:val="superscript"/>
              </w:rPr>
              <w:t>(8)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1,970,385</w:t>
            </w: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1,970,385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5944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one percent.</w:t>
      </w:r>
    </w:p>
    <w:p>
      <w:pPr>
        <w:spacing w:after="0" w:line="239" w:lineRule="exact"/>
        <w:rPr>
          <w:sz w:val="20"/>
          <w:szCs w:val="20"/>
          <w:color w:val="auto"/>
        </w:rPr>
      </w:pPr>
    </w:p>
    <w:p>
      <w:pPr>
        <w:ind w:left="500" w:hanging="492"/>
        <w:spacing w:after="0" w:line="313" w:lineRule="auto"/>
        <w:tabs>
          <w:tab w:leader="none" w:pos="4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consist of 84,975 shares of common stock held by Jeffrey W. Dunn as Trustee of the Jeffrey W. Dunn Living Trust Dated May 17, 2012.</w:t>
      </w:r>
    </w:p>
    <w:p>
      <w:pPr>
        <w:spacing w:after="0" w:line="175" w:lineRule="exact"/>
        <w:rPr>
          <w:rFonts w:ascii="Times New Roman" w:cs="Times New Roman" w:eastAsia="Times New Roman" w:hAnsi="Times New Roman"/>
          <w:sz w:val="18"/>
          <w:szCs w:val="18"/>
          <w:color w:val="auto"/>
        </w:rPr>
      </w:pPr>
    </w:p>
    <w:p>
      <w:pPr>
        <w:ind w:left="500" w:hanging="492"/>
        <w:spacing w:after="0" w:line="297" w:lineRule="auto"/>
        <w:tabs>
          <w:tab w:leader="none" w:pos="4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include (i) 133,899 shares of common stock held by the John Freund Family Partnership IV, L.P. and (ii) 8,797 shares held by Dr. Freud.</w:t>
      </w:r>
    </w:p>
    <w:p>
      <w:pPr>
        <w:spacing w:after="0" w:line="203" w:lineRule="exact"/>
        <w:rPr>
          <w:rFonts w:ascii="Times New Roman" w:cs="Times New Roman" w:eastAsia="Times New Roman" w:hAnsi="Times New Roman"/>
          <w:sz w:val="18"/>
          <w:szCs w:val="18"/>
          <w:color w:val="auto"/>
        </w:rPr>
      </w:pPr>
    </w:p>
    <w:p>
      <w:pPr>
        <w:ind w:left="500" w:hanging="492"/>
        <w:spacing w:after="0" w:line="297" w:lineRule="auto"/>
        <w:tabs>
          <w:tab w:leader="none" w:pos="2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consist of (i) 67,546 shares of common stock held by Mr. Hinckley and (ii) 75,603 shares of common stock held by Gregory K. Hinckley and Mary C. Hinckley as Community Property with the Right of Survivorship.</w:t>
      </w:r>
    </w:p>
    <w:p>
      <w:pPr>
        <w:spacing w:after="0" w:line="189" w:lineRule="exact"/>
        <w:rPr>
          <w:rFonts w:ascii="Times New Roman" w:cs="Times New Roman" w:eastAsia="Times New Roman" w:hAnsi="Times New Roman"/>
          <w:sz w:val="18"/>
          <w:szCs w:val="18"/>
          <w:color w:val="auto"/>
        </w:rPr>
      </w:pPr>
    </w:p>
    <w:p>
      <w:pPr>
        <w:ind w:left="500" w:hanging="492"/>
        <w:spacing w:after="0" w:line="276" w:lineRule="auto"/>
        <w:tabs>
          <w:tab w:leader="none" w:pos="4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571,947 shares of outstanding common stock beneficially owned by our directors and Named Executive Officers as listed in the table and 36,904 shares of outstanding common stock beneficially owned by our other executive officer as of</w:t>
      </w:r>
    </w:p>
    <w:p>
      <w:pPr>
        <w:spacing w:after="0" w:line="1" w:lineRule="exact"/>
        <w:rPr>
          <w:rFonts w:ascii="Times New Roman" w:cs="Times New Roman" w:eastAsia="Times New Roman" w:hAnsi="Times New Roman"/>
          <w:sz w:val="18"/>
          <w:szCs w:val="18"/>
          <w:color w:val="auto"/>
        </w:rPr>
      </w:pPr>
    </w:p>
    <w:p>
      <w:pPr>
        <w:jc w:val="both"/>
        <w:ind w:left="5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2022 not listed in the table, and (ii) the right to acquire 1,214,276 shares of common stock within 60 days of March 31, 2022 by our directors and Named Executive Officers listed in the table and by our other executive officer; the number of shares our other executive officer has the right to acquire is 67,632 shares of common stock.</w:t>
      </w:r>
    </w:p>
    <w:p>
      <w:pPr>
        <w:spacing w:after="0" w:line="200" w:lineRule="exact"/>
        <w:rPr>
          <w:rFonts w:ascii="Times New Roman" w:cs="Times New Roman" w:eastAsia="Times New Roman" w:hAnsi="Times New Roman"/>
          <w:sz w:val="18"/>
          <w:szCs w:val="18"/>
          <w:color w:val="auto"/>
        </w:rPr>
      </w:pPr>
    </w:p>
    <w:p>
      <w:pPr>
        <w:ind w:left="500" w:hanging="492"/>
        <w:spacing w:after="0" w:line="293" w:lineRule="auto"/>
        <w:tabs>
          <w:tab w:leader="none" w:pos="4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February 7, 2022, reporting beneficial ownership as of December 31, 2021. Brown Advisory Incorporated has sole voting power over 2,736,923 of these shares and shared dispositive power over all of these shares. Brown Advisory LLC has sole voting power over 2,720,499 of these shares and shared dispositive power over 3,160,600 of these shares. Brown Investment Advisory &amp; Trust Company has sole voting power and shared dispositive power over 16,424 of these shares. The address for Brown Advisory Incorporated is 901 S Bond Street, Suite 400, Baltimore, MD 21231.</w:t>
      </w:r>
    </w:p>
    <w:p>
      <w:pPr>
        <w:spacing w:after="0" w:line="194" w:lineRule="exact"/>
        <w:rPr>
          <w:rFonts w:ascii="Times New Roman" w:cs="Times New Roman" w:eastAsia="Times New Roman" w:hAnsi="Times New Roman"/>
          <w:sz w:val="18"/>
          <w:szCs w:val="18"/>
          <w:color w:val="auto"/>
        </w:rPr>
      </w:pPr>
    </w:p>
    <w:p>
      <w:pPr>
        <w:ind w:left="500" w:hanging="492"/>
        <w:spacing w:after="0" w:line="289" w:lineRule="auto"/>
        <w:tabs>
          <w:tab w:leader="none" w:pos="2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February 3, 2022, reporting beneficial ownership as of December 31, 2021. Blackrock, Inc. has sole voting power over 2,666,258 of these shares and sole dispositive power over all of these shares. The address for Blackrock, Inc. is 55 East 52nd Street, New York, New York 10055.</w:t>
      </w:r>
    </w:p>
    <w:p>
      <w:pPr>
        <w:sectPr>
          <w:pgSz w:w="11900" w:h="16838" w:orient="portrait"/>
          <w:cols w:equalWidth="0" w:num="1">
            <w:col w:w="11240"/>
          </w:cols>
          <w:pgMar w:left="320" w:top="995" w:right="339" w:bottom="0" w:gutter="0" w:footer="0" w:header="0"/>
        </w:sectPr>
      </w:pPr>
    </w:p>
    <w:bookmarkStart w:id="29" w:name="page30"/>
    <w:bookmarkEnd w:id="29"/>
    <w:p>
      <w:pPr>
        <w:ind w:left="500" w:hanging="492"/>
        <w:spacing w:after="0" w:line="297" w:lineRule="auto"/>
        <w:tabs>
          <w:tab w:leader="none" w:pos="4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February 11, 2022, reporting beneficial ownership as of December 31, 2021. OrbiMed Capital LLC has sole voting power and sole dispositive power over all of these shares. The address for OrbiMed Capital LLC is 601 Lexington Avenue, New York, NY 10022.</w:t>
      </w:r>
    </w:p>
    <w:p>
      <w:pPr>
        <w:spacing w:after="0" w:line="203" w:lineRule="exact"/>
        <w:rPr>
          <w:rFonts w:ascii="Times New Roman" w:cs="Times New Roman" w:eastAsia="Times New Roman" w:hAnsi="Times New Roman"/>
          <w:sz w:val="18"/>
          <w:szCs w:val="18"/>
          <w:color w:val="auto"/>
        </w:rPr>
      </w:pPr>
    </w:p>
    <w:p>
      <w:pPr>
        <w:ind w:left="500" w:hanging="492"/>
        <w:spacing w:after="0" w:line="281" w:lineRule="auto"/>
        <w:tabs>
          <w:tab w:leader="none" w:pos="4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February 11, 2022, reporting beneficial ownership as of December 31, 2021. Champlain Investment Partners, LLC has sole voting power over 1,536,640 of these shares and sole dispositive power over all of these shares. The address for Champlain Investment Partners, LLC is 180 Battery Street Burlington, Vermont 05401.</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40"/>
          </w:cols>
          <w:pgMar w:left="320" w:top="37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as of April 15, 2022.</w:t>
      </w:r>
    </w:p>
    <w:p>
      <w:pPr>
        <w:spacing w:after="0" w:line="275"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4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37"/>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Laura A. Francis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3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83"/>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Anshul Maheshwari</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34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83"/>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A. Pisetsky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34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SVP, Operations and Administration &amp; Chief Legal Officer</w:t>
            </w:r>
          </w:p>
        </w:tc>
      </w:tr>
      <w:tr>
        <w:trPr>
          <w:trHeight w:val="270"/>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Anthony J. Recupero</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3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Commercial Operations</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Ms. Francis’s biography, see “Proposal No. 1 – Election of Directors” above.</w:t>
      </w:r>
    </w:p>
    <w:p>
      <w:pPr>
        <w:spacing w:after="0" w:line="23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Anshul Maheshwari </w:t>
      </w:r>
      <w:r>
        <w:rPr>
          <w:rFonts w:ascii="Times New Roman" w:cs="Times New Roman" w:eastAsia="Times New Roman" w:hAnsi="Times New Roman"/>
          <w:sz w:val="18"/>
          <w:szCs w:val="18"/>
          <w:color w:val="auto"/>
        </w:rPr>
        <w:t>has served as our Chief Financial Officer since April 2021. Prior to joining us, Mr. Maheshwari was Vice President of Finance, 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Investor Relations and Treasurer at Varian Medical Systems, where he was responsible for and led finance transformation and built finance infrastructure to support growth for a leading, global cancer platform, from June 2018 to April 2021. In April 2013, Mr. Maheshwari joined Bechtel Corporation, the largest U.S.-headquartered engineering and construction company, initially as Manager of Investments and was promoted in June 2014 to Assistant Treasurer responsible for a centralized team managing banking and capital markets, investments, cash management and foreign exchange operations before departing Bechtel in June 2018. From November 2004 to March 2013, Mr. Maheshwari held various roles in Corporate and Investment Banking at Bank of America Merrill Lynch. Mr. Maheshwari received his BCom from H.R. College of Commerce and his M.B.A. from Boston College, Carroll Graduate School of Management.</w:t>
      </w:r>
    </w:p>
    <w:p>
      <w:pPr>
        <w:spacing w:after="0" w:line="1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 Pisetsky </w:t>
      </w:r>
      <w:r>
        <w:rPr>
          <w:rFonts w:ascii="Times New Roman" w:cs="Times New Roman" w:eastAsia="Times New Roman" w:hAnsi="Times New Roman"/>
          <w:sz w:val="18"/>
          <w:szCs w:val="18"/>
          <w:color w:val="auto"/>
        </w:rPr>
        <w:t>has served as our General Counsel and Chief Compliance Officer since August 2016, and as our Senior Vice President of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Administration and Chief Legal Officer since April 2021. Mr. Pisetsky joined us in March 2015 as our Director of Legal. From August 2011 to March 2015, Mr. Pisetsky practiced law privately advising a number of companies in the medical technology, healthcare services and real estate industries. From August 2008 to July 2011, Mr. Pisetsky practiced law in the Business Department at Cooley LLP in Palo Alto, California, representing a number of medical technology, biotech, healthcare services and general technology clients, from inception to public offering or sale. Mr. Pisetsky received his B.A. with Honors from Harvard College, and received his J.D. (magna cum laude) and M.B.A. concurrently from Duke University.</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J. Recupero </w:t>
      </w:r>
      <w:r>
        <w:rPr>
          <w:rFonts w:ascii="Times New Roman" w:cs="Times New Roman" w:eastAsia="Times New Roman" w:hAnsi="Times New Roman"/>
          <w:sz w:val="18"/>
          <w:szCs w:val="18"/>
          <w:color w:val="auto"/>
        </w:rPr>
        <w:t>has served as our President, Commercial Operations since April 2021, and previously served as our Chief Commercial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2016. Prior to joining us, Mr. Recupero was the President of Catalyst 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40"/>
          </w:cols>
          <w:pgMar w:left="320" w:top="995"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Narrative</w:t>
      </w:r>
    </w:p>
    <w:p>
      <w:pPr>
        <w:spacing w:after="0" w:line="2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material is intended to assist our stockholders in understanding our executive compensation program by providing an overview of our executive compensation-related policies, practices, and decisions for fiscal 2021. It also explains how we determined the material elements of compensation for our principal executive officer, our former principal executive officer, and our other two executive officers as of the end of fiscal 2021, and who we refer to as our “Named Executive Officers.” For 2021, our Named Executive Officers were:</w:t>
      </w:r>
    </w:p>
    <w:p>
      <w:pPr>
        <w:spacing w:after="0" w:line="219"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8"/>
          <w:szCs w:val="18"/>
          <w:color w:val="auto"/>
        </w:rPr>
        <w:t>Laura Francis, our Chief Executive Officer (our “CEO”);</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8"/>
          <w:szCs w:val="18"/>
          <w:color w:val="auto"/>
        </w:rPr>
        <w:t>Anshul Maheshwari, our Chief Financial Officer (our “CFO”);</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8"/>
          <w:szCs w:val="18"/>
          <w:color w:val="auto"/>
        </w:rPr>
        <w:t>Anthony Recupero, our President, Commercial Operations;</w:t>
      </w:r>
    </w:p>
    <w:p>
      <w:pPr>
        <w:spacing w:after="0" w:line="14" w:lineRule="exact"/>
        <w:rPr>
          <w:rFonts w:ascii="Arial" w:cs="Arial" w:eastAsia="Arial" w:hAnsi="Arial"/>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Dunn, our Executive Chairman and former CEO.</w:t>
      </w:r>
    </w:p>
    <w:p>
      <w:pPr>
        <w:spacing w:after="0" w:line="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We provide an overview of our executive compensation philosophy, the overall objectives of our executive compensation program, and each compensation element that we provide to our Named Executive Officers. In addition, we explain how and why the Compensation Committee of our Board of Directors (the “Compensation Committee”) arrived at the specific compensation decisions for our Named Executive Officers in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8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We are a global leader in technology for surgical treatment of musculoskeletal disorders of the sacropelvic anatomy. In 2009, we introduced the iFuse Implant System for minimally invasive surgery of the SI joint, shown to be a source of pain in 15% to 30% of chronic low back pain. Since then, more than 2,600 surgeons have performed a combined total of more than 65,000 SI joint fusion procedures. A unique body of evidence supporting the triangular iFuse implant, including two randomized controlled trials and over 100 peer reviewed publications, has enabled multiple government and private insurance payors to establish coverage of the SI joint fusion procedure exclusively when performed with our triangular iFuse implant. We are leveraging our market leadership position, supported by this proprietary reimbursement advantage, to commercialize other devices intended for surgical treatment of related aspects of the human anatomy.</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2021 Business Highlights</w:t>
      </w:r>
    </w:p>
    <w:p>
      <w:pPr>
        <w:spacing w:after="0" w:line="268" w:lineRule="exact"/>
        <w:rPr>
          <w:sz w:val="20"/>
          <w:szCs w:val="20"/>
          <w:color w:val="auto"/>
        </w:rPr>
      </w:pPr>
    </w:p>
    <w:p>
      <w:pPr>
        <w:ind w:right="600"/>
        <w:spacing w:after="0" w:line="313" w:lineRule="auto"/>
        <w:rPr>
          <w:sz w:val="20"/>
          <w:szCs w:val="20"/>
          <w:color w:val="auto"/>
        </w:rPr>
      </w:pPr>
      <w:r>
        <w:rPr>
          <w:rFonts w:ascii="Times New Roman" w:cs="Times New Roman" w:eastAsia="Times New Roman" w:hAnsi="Times New Roman"/>
          <w:sz w:val="18"/>
          <w:szCs w:val="18"/>
          <w:color w:val="auto"/>
        </w:rPr>
        <w:t>2021 was a strong year for the company in many critical areas of performance, despite sustained headwinds in the operating environment due to the COVID-19 pandemic.</w:t>
      </w:r>
    </w:p>
    <w:p>
      <w:pPr>
        <w:spacing w:after="0" w:line="189"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8"/>
          <w:szCs w:val="18"/>
          <w:color w:val="auto"/>
        </w:rPr>
        <w:t>Record worldwide revenue of $90.2 million, representing a 23% increase over 2020</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8"/>
          <w:szCs w:val="18"/>
          <w:color w:val="auto"/>
        </w:rPr>
        <w:t>U.S. revenue of $82.7 million, representing a 21% increase over 2020</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8"/>
          <w:szCs w:val="18"/>
          <w:color w:val="auto"/>
        </w:rPr>
        <w:t>Approximately 9,400 procedures performed in the US, representing a 25% increase over 2020, by over 1,000 surgeons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8"/>
          <w:szCs w:val="18"/>
          <w:color w:val="auto"/>
        </w:rPr>
        <w:t>Surpassed 65,000 procedures performed by over 2,600 surgeons worldwide</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near universal coverage of iFuse in the United States, with over 35 payors exclusive to iFuse</w:t>
      </w:r>
    </w:p>
    <w:p>
      <w:pPr>
        <w:spacing w:after="0" w:line="48" w:lineRule="exact"/>
        <w:rPr>
          <w:rFonts w:ascii="Times New Roman" w:cs="Times New Roman" w:eastAsia="Times New Roman" w:hAnsi="Times New Roman"/>
          <w:sz w:val="18"/>
          <w:szCs w:val="18"/>
          <w:color w:val="auto"/>
        </w:rPr>
      </w:pPr>
    </w:p>
    <w:p>
      <w:pPr>
        <w:ind w:left="660" w:hanging="328"/>
        <w:spacing w:after="0" w:line="262" w:lineRule="auto"/>
        <w:tabs>
          <w:tab w:leader="none" w:pos="648"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8"/>
          <w:szCs w:val="18"/>
          <w:color w:val="auto"/>
        </w:rPr>
        <w:t>Successfully launched iFuse-TORQ, a highly differentiated 3D-printed threaded implant, for pelvic trauma and minimally invasive sacroiliac joint fusion applications</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8"/>
          <w:szCs w:val="18"/>
          <w:color w:val="auto"/>
        </w:rPr>
        <w:t>Awarded FDA's Breakthrough Device Designation for iFuse Bedrock Granite</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8"/>
          <w:szCs w:val="18"/>
          <w:color w:val="auto"/>
        </w:rPr>
        <w:t>Gross margin of 88%</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8"/>
          <w:szCs w:val="18"/>
          <w:color w:val="auto"/>
        </w:rPr>
        <w:t>Reduced and refinanced outstanding debt with a new $35 million Term Loan from Silicon Valley Bank at more favorable terms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40"/>
          </w:cols>
          <w:pgMar w:left="320" w:top="995"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i w:val="1"/>
          <w:iCs w:val="1"/>
          <w:color w:val="auto"/>
        </w:rPr>
        <w:t>2021 Executive Leadership Transition</w:t>
      </w:r>
    </w:p>
    <w:p>
      <w:pPr>
        <w:spacing w:after="0" w:line="268"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In connection with our ongoing succession planning efforts, and as previously disclosed, we undertook an orderly leadership transition that went into effect in April 2021. The following changes to our leadership team occurred at that time:</w:t>
      </w:r>
    </w:p>
    <w:p>
      <w:pPr>
        <w:spacing w:after="0" w:line="189"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Jeffrey Dunn transitioned from Chief Executive Officer to Executive Chairman</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Laura Francis was promoted to Chief Executive Officer</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Anshul Maheshwari joined our company as Chief Financial Officer</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Anthony Recupero was promoted to President, Commercial Operations</w:t>
      </w:r>
    </w:p>
    <w:p>
      <w:pPr>
        <w:spacing w:after="0" w:line="2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This leadership team positions our company for strong execution on key strategic initiatives and the continued creation of stockholder value. Details of the impact on executive compensation of this leadership transition are summarized below and discussed in further detail in the relevant sections below.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2021 Executive Compensation Highlights</w:t>
      </w:r>
    </w:p>
    <w:p>
      <w:pPr>
        <w:spacing w:after="0" w:line="261"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Our approach to executive compensation in 2021 reflected our measured approach to attracting, retaining, and incentivizing key members of our management team, and aligning their interests with our stockholders.</w:t>
      </w:r>
    </w:p>
    <w:p>
      <w:pPr>
        <w:spacing w:after="0" w:line="17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provided our continuing Named Executive Officers with modest 3% increases in base salary at the beginning of 2021, with further modifications to base salary made only in conjunction with changes in responsibilities, as further described in “Base Salary” below.</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annual cash bonus program in 2021 was based on the achievement of goals on financial metrics—revenues, gross margin, and adjusted EBITDA—and operational metrics related to product launches. We set challenging target goals, as evidenced by the fact that, despite our strong performance in many respects in 2021, the annual bonus program resulted in a bonus payout of 86.27% of target to each of our Named Executive Officers. Details of this program appear in “Annual Cash Bonuses” below.</w:t>
      </w:r>
    </w:p>
    <w:p>
      <w:pPr>
        <w:spacing w:after="0" w:line="20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long-term incentives to Named Executive Officers in 2021 were granted in the form of restricted stock units, as detailed in “Long-Term Incentive Compensation” below. These awards align the interests of our Named Executive Officers with stockholders and are at-risk and subject to forfeiture.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Goals of Our Executive Compensation Program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structuring our executive compensation program, we are guided by the following objectives:</w:t>
      </w:r>
    </w:p>
    <w:p>
      <w:pPr>
        <w:spacing w:after="0" w:line="279" w:lineRule="exact"/>
        <w:rPr>
          <w:sz w:val="20"/>
          <w:szCs w:val="20"/>
          <w:color w:val="auto"/>
        </w:rPr>
      </w:pPr>
    </w:p>
    <w:p>
      <w:pPr>
        <w:ind w:left="660" w:hanging="328"/>
        <w:spacing w:after="0" w:line="268"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seek to attract, reward, motivate and retain diverse, talented individuals with relevant experience through a competitive pay structure.</w:t>
      </w:r>
    </w:p>
    <w:p>
      <w:pPr>
        <w:spacing w:after="0" w:line="1"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Balanced Packages. Our executive compensation program focuses on total compensation, combining short- and long-term components, cash and equity, and fixed and variable payments.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pay with our performance. We tie a substantial portion of executive compensation to Company performance.</w:t>
      </w:r>
    </w:p>
    <w:p>
      <w:pPr>
        <w:spacing w:after="0" w:line="22" w:lineRule="exact"/>
        <w:rPr>
          <w:rFonts w:ascii="Times New Roman" w:cs="Times New Roman" w:eastAsia="Times New Roman" w:hAnsi="Times New Roman"/>
          <w:sz w:val="18"/>
          <w:szCs w:val="18"/>
          <w:color w:val="auto"/>
        </w:rPr>
      </w:pPr>
    </w:p>
    <w:p>
      <w:pPr>
        <w:ind w:left="660" w:right="20" w:hanging="328"/>
        <w:spacing w:after="0" w:line="30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with stockholder objectives. We align our executives’ interests with those of our stockholders by linking compensation to corporate performance and corresponding creation of stockholder value.</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Adoption of 2022 Performance Share Unit Program, Clawback Policy, and New Stock Ownership Guidelines</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For 2022, we have adopted a Performance Share Unit (PSU) program for Ms. Francis and Mr. Maheshwari. Ms. Francis’ 2022 equity grants are issued 50% as PSUs and 50% as RSUs; Mr. Maheshwari’s 2022 equity grants are issued 25% as PSUs and 75% as RSUs. The 2022 PSUs measure the company’s relative total stockholder return against a group of industry peers in equal tranches over one-, two-, and three-year performance periods. In each period, the target performance is the median of the industry peer group. A maximum payout of 200% of target is earned if the company’s performance exceeds the industry group median by 50 percentage points or more; no payout is earned if the company’s performance trails the industry group median by 50 percentage points or more.</w:t>
      </w:r>
    </w:p>
    <w:p>
      <w:pPr>
        <w:spacing w:after="0" w:line="20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adopted a clawback policy in 2021 that enables us to recoup excess cash and equity incentive compensation in the event of an accounting restatement, and enables us to take further recoupment actions in the event of a current or former executive officer’s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40"/>
          </w:cols>
          <w:pgMar w:left="320" w:top="781" w:right="339" w:bottom="1440" w:gutter="0" w:footer="0" w:header="0"/>
        </w:sectPr>
      </w:pPr>
    </w:p>
    <w:bookmarkStart w:id="33" w:name="page34"/>
    <w:bookmarkEnd w:id="33"/>
    <w:p>
      <w:pPr>
        <w:jc w:val="both"/>
        <w:spacing w:after="0" w:line="297" w:lineRule="auto"/>
        <w:rPr>
          <w:sz w:val="20"/>
          <w:szCs w:val="20"/>
          <w:color w:val="auto"/>
        </w:rPr>
      </w:pPr>
      <w:r>
        <w:rPr>
          <w:rFonts w:ascii="Times New Roman" w:cs="Times New Roman" w:eastAsia="Times New Roman" w:hAnsi="Times New Roman"/>
          <w:sz w:val="18"/>
          <w:szCs w:val="18"/>
          <w:color w:val="auto"/>
        </w:rPr>
        <w:t>misconduct contributing to an accounting restatement. We also strengthened our executive stock ownership guidelines. Further information on these policies is set forth in “Other Compensation Policies” below.</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Stockholder Engagement on Executive Compensation</w:t>
      </w:r>
    </w:p>
    <w:p>
      <w:pPr>
        <w:spacing w:after="0" w:line="2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During 2021 and early 2022, we reached out to holders of 52.3% of our outstanding common stock, seeking to engage with them on executive compensation and other governance topics. We held discussions with holders of 40.2% of our outstanding common stock, including 8 of our top 25 stockholders.</w:t>
      </w:r>
    </w:p>
    <w:p>
      <w:pPr>
        <w:spacing w:after="0" w:line="19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We found these discussions to be extremely useful and received valuable feedback on our executive compensation program. Specific items of feedback relating to executive compensation that we heard through these engagements included:</w:t>
      </w:r>
    </w:p>
    <w:p>
      <w:pPr>
        <w:spacing w:after="0" w:line="217"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18"/>
          <w:szCs w:val="18"/>
          <w:color w:val="auto"/>
        </w:rPr>
        <w:t>An interest in seeing more detail on the annual bonus program and adjustments related to COVID-19 made in determining payouts</w:t>
      </w:r>
    </w:p>
    <w:p>
      <w:pPr>
        <w:spacing w:after="0" w:line="26" w:lineRule="exact"/>
        <w:rPr>
          <w:rFonts w:ascii="Arial" w:cs="Arial" w:eastAsia="Arial" w:hAnsi="Arial"/>
          <w:sz w:val="20"/>
          <w:szCs w:val="20"/>
          <w:color w:val="auto"/>
        </w:rPr>
      </w:pPr>
    </w:p>
    <w:p>
      <w:pPr>
        <w:ind w:left="660" w:hanging="328"/>
        <w:spacing w:after="0" w:line="262" w:lineRule="auto"/>
        <w:tabs>
          <w:tab w:leader="none" w:pos="649" w:val="left"/>
        </w:tabs>
        <w:numPr>
          <w:ilvl w:val="0"/>
          <w:numId w:val="33"/>
        </w:numPr>
        <w:rPr>
          <w:rFonts w:ascii="Arial" w:cs="Arial" w:eastAsia="Arial" w:hAnsi="Arial"/>
          <w:sz w:val="20"/>
          <w:szCs w:val="20"/>
          <w:color w:val="auto"/>
        </w:rPr>
      </w:pPr>
      <w:r>
        <w:rPr>
          <w:rFonts w:ascii="Times New Roman" w:cs="Times New Roman" w:eastAsia="Times New Roman" w:hAnsi="Times New Roman"/>
          <w:sz w:val="18"/>
          <w:szCs w:val="18"/>
          <w:color w:val="auto"/>
        </w:rPr>
        <w:t>Concern about the provision in Mr. Dunn’s employment agreement providing for a single-trigger severance payment in the event of a change in control</w:t>
      </w:r>
    </w:p>
    <w:p>
      <w:pPr>
        <w:spacing w:after="0" w:line="8" w:lineRule="exact"/>
        <w:rPr>
          <w:rFonts w:ascii="Arial" w:cs="Arial" w:eastAsia="Arial" w:hAnsi="Arial"/>
          <w:sz w:val="20"/>
          <w:szCs w:val="20"/>
          <w:color w:val="auto"/>
        </w:rPr>
      </w:pPr>
    </w:p>
    <w:p>
      <w:pPr>
        <w:ind w:left="660" w:hanging="328"/>
        <w:spacing w:after="0" w:line="286" w:lineRule="auto"/>
        <w:tabs>
          <w:tab w:leader="none" w:pos="649" w:val="left"/>
        </w:tabs>
        <w:numPr>
          <w:ilvl w:val="0"/>
          <w:numId w:val="33"/>
        </w:numPr>
        <w:rPr>
          <w:rFonts w:ascii="Arial" w:cs="Arial" w:eastAsia="Arial" w:hAnsi="Arial"/>
          <w:sz w:val="20"/>
          <w:szCs w:val="20"/>
          <w:color w:val="auto"/>
        </w:rPr>
      </w:pPr>
      <w:r>
        <w:rPr>
          <w:rFonts w:ascii="Times New Roman" w:cs="Times New Roman" w:eastAsia="Times New Roman" w:hAnsi="Times New Roman"/>
          <w:sz w:val="18"/>
          <w:szCs w:val="18"/>
          <w:color w:val="auto"/>
        </w:rPr>
        <w:t>An interest in seeing greater alignment in our long-term incentive awards between the relative returns to our stockholders and the size and value of the equity awards granted to our Chief Executive Officer and Chief Financial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response to this feedback, we took the following actions:</w:t>
      </w:r>
    </w:p>
    <w:p>
      <w:pPr>
        <w:spacing w:after="0" w:line="293" w:lineRule="exact"/>
        <w:rPr>
          <w:sz w:val="20"/>
          <w:szCs w:val="20"/>
          <w:color w:val="auto"/>
        </w:rPr>
      </w:pPr>
    </w:p>
    <w:p>
      <w:pPr>
        <w:ind w:left="660" w:hanging="328"/>
        <w:spacing w:after="0" w:line="262" w:lineRule="auto"/>
        <w:tabs>
          <w:tab w:leader="none" w:pos="649"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auto"/>
        </w:rPr>
        <w:t>We are providing additional detail in this proxy statement on the operation of the 2021 annual bonus program and the factors in the Compensation Committee’s determination of achievement levels, including adjustments made to account for impacts of the COVID-19 pandemic.</w:t>
      </w:r>
    </w:p>
    <w:p>
      <w:pPr>
        <w:spacing w:after="0" w:line="8" w:lineRule="exact"/>
        <w:rPr>
          <w:rFonts w:ascii="Arial" w:cs="Arial" w:eastAsia="Arial" w:hAnsi="Arial"/>
          <w:sz w:val="20"/>
          <w:szCs w:val="20"/>
          <w:color w:val="auto"/>
        </w:rPr>
      </w:pPr>
    </w:p>
    <w:p>
      <w:pPr>
        <w:ind w:left="660" w:hanging="328"/>
        <w:spacing w:after="0" w:line="265" w:lineRule="auto"/>
        <w:tabs>
          <w:tab w:leader="none" w:pos="649"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auto"/>
        </w:rPr>
        <w:t>In October 2021, we amended Mr. Dunn’s employment agreement to eliminate the single-trigger severance provision and replace it with a double-trigger severance provision.</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auto"/>
        </w:rPr>
        <w:t>We introduced Performance Stock Units for 2022, as detailed in the section above.</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18"/>
          <w:szCs w:val="18"/>
          <w:color w:val="auto"/>
        </w:rPr>
        <w:t>We adopted a clawback policy, as set forth in “Other Compensation Policies” below.</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intend to continue to initiate dialog with our stockholders on executive compensation and other governance topics. In addition, we welcome stockholder communication with the Board through the channels set forth in this proxy statement.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Emphasis on Variable and At-Risk Compensation</w:t>
      </w:r>
    </w:p>
    <w:p>
      <w:pPr>
        <w:spacing w:after="0" w:line="28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annual compensation of our Named Executive Officers varies from year to year based on our corporate financial and operational results. Consistent with our compensation philosophy, our executive compensation program emphasizes “variable” pay over “fixed” pay and seeks to balance short-term and long-term incentives, as well as performance-based and time-based incentives. In 2021, the majority of the target total direct compensation of our CEO consisted of variable pay, including cash awarded under our annual bonus plan and long-term incentives in the form of equity awards, the value of which will be strongly correlated with long-term corporate performance. Fixed pay, primarily consisting of base salary, made up only 15.3% of our CEO’s target total direct compensation in 2021, while variable pay, consisting of both annual and long-term incentives in the form of equity awards, made up 84.7% of her target total direct compensation. Similar allocations applied to our other Named Executive Officers.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40"/>
          </w:cols>
          <w:pgMar w:left="320" w:top="783"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i w:val="1"/>
          <w:iCs w:val="1"/>
          <w:color w:val="auto"/>
        </w:rPr>
        <w:t>Executive Compensation Best Practices</w:t>
      </w:r>
    </w:p>
    <w:p>
      <w:pPr>
        <w:spacing w:after="0" w:line="2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executive compensation philosophy. During 2021,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80" w:type="dxa"/>
            <w:vAlign w:val="bottom"/>
            <w:shd w:val="clear" w:color="auto" w:fill="44546A"/>
          </w:tcPr>
          <w:p>
            <w:pPr>
              <w:spacing w:after="0"/>
              <w:rPr>
                <w:sz w:val="19"/>
                <w:szCs w:val="19"/>
                <w:color w:val="auto"/>
              </w:rPr>
            </w:pPr>
          </w:p>
        </w:tc>
        <w:tc>
          <w:tcPr>
            <w:tcW w:w="4640" w:type="dxa"/>
            <w:vAlign w:val="bottom"/>
            <w:shd w:val="clear" w:color="auto" w:fill="44546A"/>
          </w:tcPr>
          <w:p>
            <w:pPr>
              <w:ind w:left="1880"/>
              <w:spacing w:after="0"/>
              <w:rPr>
                <w:sz w:val="20"/>
                <w:szCs w:val="20"/>
                <w:color w:val="auto"/>
              </w:rPr>
            </w:pPr>
            <w:r>
              <w:rPr>
                <w:rFonts w:ascii="Times New Roman" w:cs="Times New Roman" w:eastAsia="Times New Roman" w:hAnsi="Times New Roman"/>
                <w:sz w:val="18"/>
                <w:szCs w:val="18"/>
                <w:b w:val="1"/>
                <w:bCs w:val="1"/>
                <w:color w:val="FFFFFF"/>
              </w:rPr>
              <w:t>What We Do</w:t>
            </w:r>
          </w:p>
        </w:tc>
        <w:tc>
          <w:tcPr>
            <w:tcW w:w="260" w:type="dxa"/>
            <w:vAlign w:val="bottom"/>
            <w:shd w:val="clear" w:color="auto" w:fill="44546A"/>
          </w:tcPr>
          <w:p>
            <w:pPr>
              <w:spacing w:after="0"/>
              <w:rPr>
                <w:sz w:val="19"/>
                <w:szCs w:val="19"/>
                <w:color w:val="auto"/>
              </w:rPr>
            </w:pPr>
          </w:p>
        </w:tc>
        <w:tc>
          <w:tcPr>
            <w:tcW w:w="4440" w:type="dxa"/>
            <w:vAlign w:val="bottom"/>
            <w:shd w:val="clear" w:color="auto" w:fill="44546A"/>
          </w:tcPr>
          <w:p>
            <w:pPr>
              <w:ind w:left="1520"/>
              <w:spacing w:after="0"/>
              <w:rPr>
                <w:sz w:val="20"/>
                <w:szCs w:val="20"/>
                <w:color w:val="auto"/>
              </w:rPr>
            </w:pPr>
            <w:r>
              <w:rPr>
                <w:rFonts w:ascii="Times New Roman" w:cs="Times New Roman" w:eastAsia="Times New Roman" w:hAnsi="Times New Roman"/>
                <w:sz w:val="18"/>
                <w:szCs w:val="18"/>
                <w:b w:val="1"/>
                <w:bCs w:val="1"/>
                <w:color w:val="FFFFFF"/>
              </w:rPr>
              <w:t>What We Don’t Do</w:t>
            </w:r>
          </w:p>
        </w:tc>
      </w:tr>
      <w:tr>
        <w:trPr>
          <w:trHeight w:val="184"/>
        </w:trPr>
        <w:tc>
          <w:tcPr>
            <w:tcW w:w="2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Actively engage in year-round dialogue with our stockholders</w:t>
            </w:r>
          </w:p>
        </w:tc>
        <w:tc>
          <w:tcPr>
            <w:tcW w:w="260" w:type="dxa"/>
            <w:vAlign w:val="bottom"/>
          </w:tcPr>
          <w:p>
            <w:pPr>
              <w:jc w:val="right"/>
              <w:ind w:right="10"/>
              <w:spacing w:after="0" w:line="184" w:lineRule="exact"/>
              <w:rPr>
                <w:sz w:val="20"/>
                <w:szCs w:val="20"/>
                <w:color w:val="auto"/>
              </w:rPr>
            </w:pPr>
            <w:r>
              <w:rPr>
                <w:rFonts w:ascii="Arial" w:cs="Arial" w:eastAsia="Arial" w:hAnsi="Arial"/>
                <w:sz w:val="18"/>
                <w:szCs w:val="18"/>
                <w:color w:val="auto"/>
              </w:rPr>
              <w:t>û</w:t>
            </w:r>
          </w:p>
        </w:tc>
        <w:tc>
          <w:tcPr>
            <w:tcW w:w="44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No pension plans or Supplemental Executive Retirement</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incorporate feedback into our compensation programs</w:t>
            </w:r>
          </w:p>
        </w:tc>
        <w:tc>
          <w:tcPr>
            <w:tcW w:w="26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w:t>
            </w:r>
          </w:p>
        </w:tc>
      </w:tr>
      <w:tr>
        <w:trPr>
          <w:trHeight w:val="189"/>
        </w:trPr>
        <w:tc>
          <w:tcPr>
            <w:tcW w:w="28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r>
        <w:trPr>
          <w:trHeight w:val="178"/>
        </w:trPr>
        <w:tc>
          <w:tcPr>
            <w:tcW w:w="280" w:type="dxa"/>
            <w:vAlign w:val="bottom"/>
          </w:tcPr>
          <w:p>
            <w:pPr>
              <w:ind w:left="20"/>
              <w:spacing w:after="0" w:line="177"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Significant portion of compensation for Named Executive</w:t>
            </w:r>
          </w:p>
        </w:tc>
        <w:tc>
          <w:tcPr>
            <w:tcW w:w="260" w:type="dxa"/>
            <w:vAlign w:val="bottom"/>
          </w:tcPr>
          <w:p>
            <w:pPr>
              <w:jc w:val="right"/>
              <w:ind w:right="10"/>
              <w:spacing w:after="0" w:line="177" w:lineRule="exact"/>
              <w:rPr>
                <w:sz w:val="20"/>
                <w:szCs w:val="20"/>
                <w:color w:val="auto"/>
              </w:rPr>
            </w:pPr>
            <w:r>
              <w:rPr>
                <w:rFonts w:ascii="Arial" w:cs="Arial" w:eastAsia="Arial" w:hAnsi="Arial"/>
                <w:sz w:val="18"/>
                <w:szCs w:val="18"/>
                <w:color w:val="auto"/>
              </w:rPr>
              <w:t>û</w:t>
            </w:r>
          </w:p>
        </w:tc>
        <w:tc>
          <w:tcPr>
            <w:tcW w:w="44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No hedging or pledging of our securities</w:t>
            </w:r>
          </w:p>
        </w:tc>
      </w:tr>
      <w:tr>
        <w:trPr>
          <w:trHeight w:val="180"/>
        </w:trPr>
        <w:tc>
          <w:tcPr>
            <w:tcW w:w="280" w:type="dxa"/>
            <w:vAlign w:val="bottom"/>
          </w:tcPr>
          <w:p>
            <w:pPr>
              <w:spacing w:after="0"/>
              <w:rPr>
                <w:sz w:val="15"/>
                <w:szCs w:val="15"/>
                <w:color w:val="auto"/>
              </w:rPr>
            </w:pPr>
          </w:p>
        </w:tc>
        <w:tc>
          <w:tcPr>
            <w:tcW w:w="46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Officers is at risk, based on both company performance</w:t>
            </w:r>
          </w:p>
        </w:tc>
        <w:tc>
          <w:tcPr>
            <w:tcW w:w="260" w:type="dxa"/>
            <w:vAlign w:val="bottom"/>
          </w:tcPr>
          <w:p>
            <w:pPr>
              <w:spacing w:after="0"/>
              <w:rPr>
                <w:sz w:val="15"/>
                <w:szCs w:val="15"/>
                <w:color w:val="auto"/>
              </w:rPr>
            </w:pPr>
          </w:p>
        </w:tc>
        <w:tc>
          <w:tcPr>
            <w:tcW w:w="4440" w:type="dxa"/>
            <w:vAlign w:val="bottom"/>
          </w:tcPr>
          <w:p>
            <w:pPr>
              <w:spacing w:after="0"/>
              <w:rPr>
                <w:sz w:val="15"/>
                <w:szCs w:val="15"/>
                <w:color w:val="auto"/>
              </w:rPr>
            </w:pPr>
          </w:p>
        </w:tc>
      </w:tr>
      <w:tr>
        <w:trPr>
          <w:trHeight w:val="229"/>
        </w:trPr>
        <w:tc>
          <w:tcPr>
            <w:tcW w:w="28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(financial &amp; stock price) and the individual’s performance</w:t>
            </w:r>
          </w:p>
        </w:tc>
        <w:tc>
          <w:tcPr>
            <w:tcW w:w="26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tcPr>
          <w:p>
            <w:pPr>
              <w:spacing w:after="0"/>
              <w:rPr>
                <w:sz w:val="19"/>
                <w:szCs w:val="19"/>
                <w:color w:val="auto"/>
              </w:rPr>
            </w:pPr>
          </w:p>
        </w:tc>
      </w:tr>
      <w:tr>
        <w:trPr>
          <w:trHeight w:val="178"/>
        </w:trPr>
        <w:tc>
          <w:tcPr>
            <w:tcW w:w="280" w:type="dxa"/>
            <w:vAlign w:val="bottom"/>
          </w:tcPr>
          <w:p>
            <w:pPr>
              <w:ind w:left="20"/>
              <w:spacing w:after="0" w:line="177" w:lineRule="exact"/>
              <w:rPr>
                <w:sz w:val="20"/>
                <w:szCs w:val="20"/>
                <w:color w:val="auto"/>
              </w:rPr>
            </w:pPr>
            <w:r>
              <w:rPr>
                <w:rFonts w:ascii="MS PGothic" w:cs="MS PGothic" w:eastAsia="MS PGothic" w:hAnsi="MS PGothic"/>
                <w:sz w:val="18"/>
                <w:szCs w:val="18"/>
                <w:color w:val="auto"/>
              </w:rPr>
              <w:t>✔</w:t>
            </w:r>
          </w:p>
        </w:tc>
        <w:tc>
          <w:tcPr>
            <w:tcW w:w="4900" w:type="dxa"/>
            <w:vAlign w:val="bottom"/>
            <w:gridSpan w:val="2"/>
          </w:tcPr>
          <w:p>
            <w:pPr>
              <w:jc w:val="right"/>
              <w:ind w:right="10"/>
              <w:spacing w:after="0" w:line="178" w:lineRule="exact"/>
              <w:rPr>
                <w:sz w:val="20"/>
                <w:szCs w:val="20"/>
                <w:color w:val="auto"/>
              </w:rPr>
            </w:pPr>
            <w:r>
              <w:rPr>
                <w:rFonts w:ascii="Times New Roman" w:cs="Times New Roman" w:eastAsia="Times New Roman" w:hAnsi="Times New Roman"/>
                <w:sz w:val="18"/>
                <w:szCs w:val="18"/>
                <w:color w:val="auto"/>
              </w:rPr>
              <w:t xml:space="preserve">Provide compensation mix that more heavily weights variable </w:t>
            </w:r>
            <w:r>
              <w:rPr>
                <w:rFonts w:ascii="Arial" w:cs="Arial" w:eastAsia="Arial" w:hAnsi="Arial"/>
                <w:sz w:val="18"/>
                <w:szCs w:val="18"/>
                <w:color w:val="auto"/>
              </w:rPr>
              <w:t>û</w:t>
            </w:r>
          </w:p>
        </w:tc>
        <w:tc>
          <w:tcPr>
            <w:tcW w:w="44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No excise tax gross-ups upon a change of control</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 and long-term equity</w:t>
            </w:r>
          </w:p>
        </w:tc>
        <w:tc>
          <w:tcPr>
            <w:tcW w:w="2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189"/>
        </w:trPr>
        <w:tc>
          <w:tcPr>
            <w:tcW w:w="28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r>
        <w:trPr>
          <w:trHeight w:val="178"/>
        </w:trPr>
        <w:tc>
          <w:tcPr>
            <w:tcW w:w="280" w:type="dxa"/>
            <w:vAlign w:val="bottom"/>
          </w:tcPr>
          <w:p>
            <w:pPr>
              <w:ind w:left="20"/>
              <w:spacing w:after="0" w:line="177"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Stock ownership requirements apply to all Named Executive</w:t>
            </w:r>
          </w:p>
        </w:tc>
        <w:tc>
          <w:tcPr>
            <w:tcW w:w="260" w:type="dxa"/>
            <w:vAlign w:val="bottom"/>
          </w:tcPr>
          <w:p>
            <w:pPr>
              <w:jc w:val="right"/>
              <w:ind w:right="10"/>
              <w:spacing w:after="0" w:line="177" w:lineRule="exact"/>
              <w:rPr>
                <w:sz w:val="20"/>
                <w:szCs w:val="20"/>
                <w:color w:val="auto"/>
              </w:rPr>
            </w:pPr>
            <w:r>
              <w:rPr>
                <w:rFonts w:ascii="Arial" w:cs="Arial" w:eastAsia="Arial" w:hAnsi="Arial"/>
                <w:sz w:val="18"/>
                <w:szCs w:val="18"/>
                <w:color w:val="auto"/>
              </w:rPr>
              <w:t>û</w:t>
            </w:r>
          </w:p>
        </w:tc>
        <w:tc>
          <w:tcPr>
            <w:tcW w:w="44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No significant perquisites to our Named Executive Officers</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 and directors</w:t>
            </w:r>
          </w:p>
        </w:tc>
        <w:tc>
          <w:tcPr>
            <w:tcW w:w="2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189"/>
        </w:trPr>
        <w:tc>
          <w:tcPr>
            <w:tcW w:w="28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r>
        <w:trPr>
          <w:trHeight w:val="178"/>
        </w:trPr>
        <w:tc>
          <w:tcPr>
            <w:tcW w:w="280" w:type="dxa"/>
            <w:vAlign w:val="bottom"/>
          </w:tcPr>
          <w:p>
            <w:pPr>
              <w:ind w:left="20"/>
              <w:spacing w:after="0" w:line="177"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An independent compensation consultant advises the</w:t>
            </w:r>
          </w:p>
        </w:tc>
        <w:tc>
          <w:tcPr>
            <w:tcW w:w="260" w:type="dxa"/>
            <w:vAlign w:val="bottom"/>
          </w:tcPr>
          <w:p>
            <w:pPr>
              <w:jc w:val="right"/>
              <w:ind w:right="10"/>
              <w:spacing w:after="0" w:line="177" w:lineRule="exact"/>
              <w:rPr>
                <w:sz w:val="20"/>
                <w:szCs w:val="20"/>
                <w:color w:val="auto"/>
              </w:rPr>
            </w:pPr>
            <w:r>
              <w:rPr>
                <w:rFonts w:ascii="Arial" w:cs="Arial" w:eastAsia="Arial" w:hAnsi="Arial"/>
                <w:sz w:val="18"/>
                <w:szCs w:val="18"/>
                <w:color w:val="auto"/>
              </w:rPr>
              <w:t>û</w:t>
            </w:r>
          </w:p>
        </w:tc>
        <w:tc>
          <w:tcPr>
            <w:tcW w:w="44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No single-trigger equity acceleration or excessive</w:t>
            </w:r>
          </w:p>
        </w:tc>
      </w:tr>
      <w:tr>
        <w:trPr>
          <w:trHeight w:val="234"/>
        </w:trPr>
        <w:tc>
          <w:tcPr>
            <w:tcW w:w="28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Committee</w:t>
            </w:r>
          </w:p>
        </w:tc>
        <w:tc>
          <w:tcPr>
            <w:tcW w:w="26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severance benefits</w:t>
            </w:r>
          </w:p>
        </w:tc>
      </w:tr>
    </w:tbl>
    <w:p>
      <w:pPr>
        <w:spacing w:after="0" w:line="198" w:lineRule="exact"/>
        <w:rPr>
          <w:sz w:val="20"/>
          <w:szCs w:val="20"/>
          <w:color w:val="auto"/>
        </w:rPr>
      </w:pPr>
    </w:p>
    <w:p>
      <w:pPr>
        <w:ind w:left="1520" w:right="5300" w:hanging="360"/>
        <w:spacing w:after="0" w:line="250" w:lineRule="auto"/>
        <w:tabs>
          <w:tab w:leader="none" w:pos="1520" w:val="left"/>
        </w:tabs>
        <w:numPr>
          <w:ilvl w:val="0"/>
          <w:numId w:val="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Annually assess the risk-reward balance of our compensation programs in order to mitigate undue risks in our programs</w:t>
      </w:r>
    </w:p>
    <w:p>
      <w:pPr>
        <w:spacing w:after="0" w:line="189" w:lineRule="exact"/>
        <w:rPr>
          <w:rFonts w:ascii="MS PGothic" w:cs="MS PGothic" w:eastAsia="MS PGothic" w:hAnsi="MS PGothic"/>
          <w:sz w:val="18"/>
          <w:szCs w:val="18"/>
          <w:color w:val="auto"/>
        </w:rPr>
      </w:pPr>
    </w:p>
    <w:p>
      <w:pPr>
        <w:ind w:left="1520" w:hanging="360"/>
        <w:spacing w:after="0"/>
        <w:tabs>
          <w:tab w:leader="none" w:pos="1520" w:val="left"/>
        </w:tabs>
        <w:numPr>
          <w:ilvl w:val="0"/>
          <w:numId w:val="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a fully independent Compensation Committee</w:t>
      </w:r>
    </w:p>
    <w:p>
      <w:pPr>
        <w:spacing w:after="0" w:line="47" w:lineRule="exact"/>
        <w:rPr>
          <w:rFonts w:ascii="MS PGothic" w:cs="MS PGothic" w:eastAsia="MS PGothic" w:hAnsi="MS PGothic"/>
          <w:sz w:val="18"/>
          <w:szCs w:val="18"/>
          <w:color w:val="auto"/>
        </w:rPr>
      </w:pPr>
    </w:p>
    <w:p>
      <w:pPr>
        <w:ind w:left="1520" w:right="5460" w:hanging="360"/>
        <w:spacing w:after="0" w:line="238" w:lineRule="auto"/>
        <w:tabs>
          <w:tab w:leader="none" w:pos="1520" w:val="left"/>
        </w:tabs>
        <w:numPr>
          <w:ilvl w:val="0"/>
          <w:numId w:val="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have adopted a clawback policy that provides for the recoupment of incentive compensation in certain situations</w:t>
      </w:r>
    </w:p>
    <w:p>
      <w:pPr>
        <w:spacing w:after="0" w:line="10" w:lineRule="exact"/>
        <w:rPr>
          <w:rFonts w:ascii="MS PGothic" w:cs="MS PGothic" w:eastAsia="MS PGothic" w:hAnsi="MS PGothic"/>
          <w:sz w:val="18"/>
          <w:szCs w:val="18"/>
          <w:color w:val="auto"/>
        </w:rPr>
      </w:pPr>
    </w:p>
    <w:p>
      <w:pPr>
        <w:ind w:left="1520" w:hanging="360"/>
        <w:spacing w:after="0"/>
        <w:tabs>
          <w:tab w:leader="none" w:pos="1520" w:val="left"/>
        </w:tabs>
        <w:numPr>
          <w:ilvl w:val="0"/>
          <w:numId w:val="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Board maintains a robust succession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103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-136525</wp:posOffset>
            </wp:positionV>
            <wp:extent cx="6103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-410845</wp:posOffset>
            </wp:positionV>
            <wp:extent cx="6103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-565150</wp:posOffset>
            </wp:positionV>
            <wp:extent cx="61036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-959485</wp:posOffset>
            </wp:positionV>
            <wp:extent cx="6103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Philosophy and Guiding Principles</w:t>
      </w:r>
    </w:p>
    <w:p>
      <w:pPr>
        <w:spacing w:after="0" w:line="2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We have designed our executive compensation program to reward our Named Executive Officers at a level consistent with our overall strategic and financial performance and to provide remuneration sufficient to attract, retain, and motivate them to exert their best efforts in the highly competitive environments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as well as the tax efficiency of our compensation structure and its impact on our financial condition. While the Compensation Committee considers all of the factors in its deliberations, it places no formal weighting on any one factor.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40"/>
          </w:cols>
          <w:pgMar w:left="320" w:top="781" w:right="339" w:bottom="1440" w:gutter="0" w:footer="0" w:header="0"/>
        </w:sectPr>
      </w:pPr>
    </w:p>
    <w:bookmarkStart w:id="35" w:name="page36"/>
    <w:bookmarkEnd w:id="35"/>
    <w:p>
      <w:pPr>
        <w:jc w:val="both"/>
        <w:spacing w:after="0" w:line="297" w:lineRule="auto"/>
        <w:rPr>
          <w:sz w:val="20"/>
          <w:szCs w:val="20"/>
          <w:color w:val="auto"/>
        </w:rPr>
      </w:pPr>
      <w:r>
        <w:rPr>
          <w:rFonts w:ascii="Times New Roman" w:cs="Times New Roman" w:eastAsia="Times New Roman" w:hAnsi="Times New Roman"/>
          <w:sz w:val="18"/>
          <w:szCs w:val="18"/>
          <w:color w:val="auto"/>
        </w:rPr>
        <w:t>As we continue to grow, the Compensation Committee evaluates our compensation philosophy and program objectives as circumstances require. At a minimum, the Compensation Committee reviews executive compensation annually.</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2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among its other responsibilities, establishes our overall compensation philosophy and reviews and approves our executive compensation program, including the specific compensation of our Named Executive Officers. The Compensation Committee has the authority to retain special counsel and other advisors, including compensation consultants, to assist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our Company website at investor.si-bone.com/corporate-governance/governance-highlights</w:t>
      </w:r>
      <w:r>
        <w:rPr>
          <w:rFonts w:ascii="Times New Roman" w:cs="Times New Roman" w:eastAsia="Times New Roman" w:hAnsi="Times New Roman"/>
          <w:sz w:val="21"/>
          <w:szCs w:val="21"/>
          <w:color w:val="008080"/>
        </w:rPr>
        <w:t>.</w:t>
      </w:r>
    </w:p>
    <w:p>
      <w:pPr>
        <w:spacing w:after="0" w:line="2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While the Compensation Committee determines our overall compensation philosophy and approves the compensation of our Named Executive Officers, it relies on its compensation consultant and legal counsel, as well as members of our management team, including our CEO with respect to Named Executive Officers other than herself. The Compensation Committee makes all final decisions regarding compensation, including base salary levels, target annual cash bonus opportunities, actual cash bonus payments, and long-term incentives in the form of equity awards. The Compensation Committee meets on a regularly scheduled basis and at other times as needed. The Compensation Committee periodically reviews compensation matters with our Board of Directors.</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At the beginning of each year, the Compensation Committee reviews our executive compensation program, including any incentive compensation plans and arrangements, to assess whether our compensation elements, actions, and decisions are (i) properly coordinated, (ii) aligned with our mission, vision,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 of Directors.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considered by the Compensation Committee in determining the compensation of our Named Executive Officers for 2021 included:</w:t>
      </w:r>
    </w:p>
    <w:p>
      <w:pPr>
        <w:spacing w:after="0" w:line="26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our CEO (except with respect to her own compensation) as described below;</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growth and other elements of financial performance;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individual achievements against one or more short-term and long-term performance objectives;</w:t>
      </w:r>
    </w:p>
    <w:p>
      <w:pPr>
        <w:spacing w:after="0" w:line="265"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performance of each Named Executive Officer against his or her management objectives;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relevant competitive market analysis prepared by its compensation consultant (as described below);</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future contribution of the individual Named Executive Officer;</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compensation awards we have made to our executive officers;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based on the impact on our business and performance.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40"/>
          </w:cols>
          <w:pgMar w:left="320" w:top="783" w:right="339" w:bottom="1440" w:gutter="0" w:footer="0" w:header="0"/>
        </w:sectPr>
      </w:pPr>
    </w:p>
    <w:bookmarkStart w:id="36" w:name="page37"/>
    <w:bookmarkEnd w:id="36"/>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2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part of this process, the Compensation Committee also evaluates the performance of our CEO each year and makes all decisions regarding her base salary adjustments, target annual cash bonus opportunities, actual cash bonus payments, and long-term incentives in the form of equity awards. Our CEO and Executive Chairman are not present during any of the deliberations regarding their respective compensation, and no Named Executive Officer is present during any deliberations regarding their compensation.</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Role of Our CEO</w:t>
      </w:r>
    </w:p>
    <w:p>
      <w:pPr>
        <w:spacing w:after="0" w:line="2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CEO works closely with the Compensation Committee in determining the compensation of our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her.</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the beginning of each year, our CEO reviews the performance of our other Named Executive Officers for the previous year, and then shares these evaluations with, and makes recommendations to, the Compensation Committee for each element of compensation. Using her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herself)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2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19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2021, pursuant to this authority, the Compensation Committee engaged Compensia, Inc., a national compensation consulting firm, to provide information, analysis, and other assistance relating to our executive compensation program on an ongoing basis. The nature and scope of the services provided to the Compensation Committee by Compensia in 2021 were as follows:</w:t>
      </w:r>
    </w:p>
    <w:p>
      <w:pPr>
        <w:spacing w:after="0" w:line="211"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developed and subsequently updated the compensation peer group;</w:t>
      </w:r>
    </w:p>
    <w:p>
      <w:pPr>
        <w:spacing w:after="0" w:line="26" w:lineRule="exact"/>
        <w:rPr>
          <w:rFonts w:ascii="Arial" w:cs="Arial" w:eastAsia="Arial" w:hAnsi="Arial"/>
          <w:sz w:val="20"/>
          <w:szCs w:val="20"/>
          <w:color w:val="auto"/>
        </w:rPr>
      </w:pPr>
    </w:p>
    <w:p>
      <w:pPr>
        <w:ind w:left="660" w:right="20" w:hanging="328"/>
        <w:spacing w:after="0" w:line="265" w:lineRule="auto"/>
        <w:tabs>
          <w:tab w:leader="none" w:pos="64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provided advice with respect to compensation best practices and market trends for compensation of executive officers and members of our Board of Directors;</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conducted an analysis of the levels of overall compensation and each element of compensation for of our Named Executive Officers;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18"/>
          <w:szCs w:val="18"/>
          <w:color w:val="auto"/>
        </w:rPr>
        <w:t>conducted an analysis of the levels of overall compensation and each element of compensation for the members of our Board of Directors; and</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21"/>
          <w:szCs w:val="21"/>
          <w:i w:val="1"/>
          <w:iCs w:val="1"/>
          <w:color w:val="auto"/>
        </w:rPr>
        <w:t>ad hoc</w:t>
      </w:r>
      <w:r>
        <w:rPr>
          <w:rFonts w:ascii="Times New Roman" w:cs="Times New Roman" w:eastAsia="Times New Roman" w:hAnsi="Times New Roman"/>
          <w:sz w:val="18"/>
          <w:szCs w:val="18"/>
          <w:color w:val="auto"/>
        </w:rPr>
        <w:t xml:space="preserve"> advice and support on compensation and governance topics throughout the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240"/>
          </w:cols>
          <w:pgMar w:left="320" w:top="783" w:right="339" w:bottom="1440" w:gutter="0" w:footer="0" w:header="0"/>
        </w:sectPr>
      </w:pPr>
    </w:p>
    <w:bookmarkStart w:id="37" w:name="page38"/>
    <w:bookmarkEnd w:id="37"/>
    <w:p>
      <w:pPr>
        <w:jc w:val="both"/>
        <w:spacing w:after="0" w:line="277" w:lineRule="auto"/>
        <w:rPr>
          <w:sz w:val="20"/>
          <w:szCs w:val="20"/>
          <w:color w:val="auto"/>
        </w:rPr>
      </w:pPr>
      <w:r>
        <w:rPr>
          <w:rFonts w:ascii="Times New Roman" w:cs="Times New Roman" w:eastAsia="Times New Roman" w:hAnsi="Times New Roman"/>
          <w:sz w:val="18"/>
          <w:szCs w:val="18"/>
          <w:color w:val="auto"/>
        </w:rPr>
        <w:t>Representatives of Compensia attend meetings of the Compensation Committee as requested and also communicate with the Compensation Committee outside of meetings. Compensia reports to the Compensation Committee rather than to management, although Compensia may meet with members of management, including our CEO and members of our executive compensation staff, for purposes of gathering information on proposals that management may make to the Compensation Committee. During 2021, Compensia met with various executive officers to collect data and obtain management’s perspective on various executive compensation proposals.</w:t>
      </w:r>
    </w:p>
    <w:p>
      <w:pPr>
        <w:spacing w:after="0" w:line="2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Compensation Committee may replace its compensation consultant or hire additional advisors at any time. Compensia has not provided any other services to us and has received no compensation other than with respect to the services described above.</w:t>
      </w:r>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Compensia taking into account, among other things, the various factors as set forth in Exchange Act Rule 10C-1 and the enhanced independence standards and factors set forth in the applicable listing standards of the Nasdaq Stock Market, and has concluded that its relationship with Compensia and the work of Compensia on behalf of the Compensation Committee has not raised any conflict of interest.</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Competitive Positioning</w:t>
      </w:r>
    </w:p>
    <w:p>
      <w:pPr>
        <w:spacing w:after="0" w:line="2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Given our unique business profile, history, and market competitors, the Compensation Committee believes that the competitive market for executive talent includes primarily </w:t>
      </w:r>
      <w:r>
        <w:rPr>
          <w:rFonts w:ascii="Times New Roman" w:cs="Times New Roman" w:eastAsia="Times New Roman" w:hAnsi="Times New Roman"/>
          <w:sz w:val="21"/>
          <w:szCs w:val="21"/>
          <w:color w:val="auto"/>
        </w:rPr>
        <w:t>medical device and equipment</w:t>
      </w:r>
      <w:r>
        <w:rPr>
          <w:rFonts w:ascii="Times New Roman" w:cs="Times New Roman" w:eastAsia="Times New Roman" w:hAnsi="Times New Roman"/>
          <w:sz w:val="18"/>
          <w:szCs w:val="18"/>
          <w:color w:val="auto"/>
        </w:rPr>
        <w:t xml:space="preserve"> companies and, to a lesser extent, the broader healthcare sector. Accordingly, it develops a</w:t>
      </w:r>
    </w:p>
    <w:p>
      <w:pPr>
        <w:spacing w:after="0" w:line="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compensation peer group to contain a carefully selected cross-section of such public companies with revenues and market capitalizations that are similar to ours, using factors described below. The Compensation Committee considers the compensation practices of these peer group companies as one factor in its compensation deliberations. This peer group data is supplemented with executive compensation survey data representing both public and private technology companies that are of similar size, as well as market trends and best practices in executive compensation, and the judgment of the Compensation Committee members.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Peer Group</w:t>
      </w:r>
    </w:p>
    <w:p>
      <w:pPr>
        <w:spacing w:after="0" w:line="2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August 2019, the Compensation Committee directed its compensation consultant to formulate a group of peer companies to be used as a reference for market positioning and for assessing competitive market practices. The compensation consultant undertook a detailed review of the pool of U.S.-based publicly traded companies, taking into consideration our industry sector as well as the following factors:</w:t>
      </w:r>
    </w:p>
    <w:p>
      <w:pPr>
        <w:spacing w:after="0" w:line="9"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revenues of the company (focusing on companies with revenues between 0.4x and 2.5x our revenues)</w:t>
      </w:r>
    </w:p>
    <w:p>
      <w:pPr>
        <w:spacing w:after="0" w:line="2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market capitalization of the company (focusing on companies between $200 million and $2 billion in market capitalization)</w:t>
      </w:r>
    </w:p>
    <w:p>
      <w:pPr>
        <w:spacing w:after="0" w:line="2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comparability of the company’s business model; and</w:t>
      </w:r>
    </w:p>
    <w:p>
      <w:pPr>
        <w:spacing w:after="0" w:line="2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comparability of the company’s operating history and maturity.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40"/>
          </w:cols>
          <w:pgMar w:left="320" w:top="783" w:right="339" w:bottom="1440" w:gutter="0" w:footer="0" w:header="0"/>
        </w:sectPr>
      </w:pPr>
    </w:p>
    <w:bookmarkStart w:id="38" w:name="page39"/>
    <w:bookmarkEnd w:id="38"/>
    <w:p>
      <w:pPr>
        <w:jc w:val="both"/>
        <w:spacing w:after="0" w:line="281" w:lineRule="auto"/>
        <w:rPr>
          <w:sz w:val="20"/>
          <w:szCs w:val="20"/>
          <w:color w:val="auto"/>
        </w:rPr>
      </w:pPr>
      <w:r>
        <w:rPr>
          <w:rFonts w:ascii="Times New Roman" w:cs="Times New Roman" w:eastAsia="Times New Roman" w:hAnsi="Times New Roman"/>
          <w:sz w:val="18"/>
          <w:szCs w:val="18"/>
          <w:color w:val="auto"/>
        </w:rPr>
        <w:t>Following this review, the compensation consultant recommended to the Compensation Committee the following peer group to consist of 15 publicly traded companies, which the Compensation Committee subsequently approved. The selected companies had revenues ranging from $19 million to $382 million, with a median of $90 million, and market capitalizations as of August 2019 ranging from $46 million to $2.0 billion, with a median of $361 million. The companies comprising the compensation peer group were as follows:</w:t>
      </w:r>
    </w:p>
    <w:p>
      <w:pPr>
        <w:spacing w:after="0" w:line="327" w:lineRule="exact"/>
        <w:rPr>
          <w:sz w:val="20"/>
          <w:szCs w:val="20"/>
          <w:color w:val="auto"/>
        </w:rPr>
      </w:pPr>
    </w:p>
    <w:tbl>
      <w:tblPr>
        <w:tblLayout w:type="fixed"/>
        <w:tblInd w:w="1100" w:type="dxa"/>
        <w:tblCellMar>
          <w:top w:w="0" w:type="dxa"/>
          <w:left w:w="0" w:type="dxa"/>
          <w:bottom w:w="0" w:type="dxa"/>
          <w:right w:w="0" w:type="dxa"/>
        </w:tblCellMar>
      </w:tblPr>
      <w:tr>
        <w:trPr>
          <w:trHeight w:val="22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Alphatec Holdings, Inc.</w:t>
            </w:r>
          </w:p>
        </w:tc>
        <w:tc>
          <w:tcPr>
            <w:tcW w:w="3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GenMark Diagnostics, Inc.</w:t>
            </w:r>
          </w:p>
        </w:tc>
        <w:tc>
          <w:tcPr>
            <w:tcW w:w="2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Nuvectra Corporation</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Apyx Medical Corporation</w:t>
            </w:r>
          </w:p>
        </w:tc>
        <w:tc>
          <w:tcPr>
            <w:tcW w:w="3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Intersect ENT, Inc.</w:t>
            </w:r>
          </w:p>
        </w:tc>
        <w:tc>
          <w:tcPr>
            <w:tcW w:w="2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OrthoPediatrics Corp.</w:t>
            </w:r>
          </w:p>
        </w:tc>
      </w:tr>
      <w:tr>
        <w:trPr>
          <w:trHeight w:val="22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AxoGen, Inc.</w:t>
            </w:r>
          </w:p>
        </w:tc>
        <w:tc>
          <w:tcPr>
            <w:tcW w:w="3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iRhythm Technologies, Inc.</w:t>
            </w:r>
          </w:p>
        </w:tc>
        <w:tc>
          <w:tcPr>
            <w:tcW w:w="24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SeaSpine Holdings Corp.</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Cerus Corporation</w:t>
            </w:r>
          </w:p>
        </w:tc>
        <w:tc>
          <w:tcPr>
            <w:tcW w:w="3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LeMaitre Vascular, Inc.</w:t>
            </w:r>
          </w:p>
        </w:tc>
        <w:tc>
          <w:tcPr>
            <w:tcW w:w="2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Surmodics, Inc.</w:t>
            </w:r>
          </w:p>
        </w:tc>
      </w:tr>
      <w:tr>
        <w:trPr>
          <w:trHeight w:val="22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ConforMIS, Inc.</w:t>
            </w:r>
          </w:p>
        </w:tc>
        <w:tc>
          <w:tcPr>
            <w:tcW w:w="3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Misonix, Inc.</w:t>
            </w:r>
          </w:p>
        </w:tc>
        <w:tc>
          <w:tcPr>
            <w:tcW w:w="2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Zynex, Inc.</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Cutera, Inc.</w:t>
            </w:r>
          </w:p>
        </w:tc>
        <w:tc>
          <w:tcPr>
            <w:tcW w:w="3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Nevro Corp.</w:t>
            </w:r>
          </w:p>
        </w:tc>
        <w:tc>
          <w:tcPr>
            <w:tcW w:w="2440" w:type="dxa"/>
            <w:vAlign w:val="bottom"/>
          </w:tcPr>
          <w:p>
            <w:pPr>
              <w:spacing w:after="0"/>
              <w:rPr>
                <w:sz w:val="20"/>
                <w:szCs w:val="20"/>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approved this peer group in September 2019.</w:t>
      </w:r>
    </w:p>
    <w:p>
      <w:pPr>
        <w:spacing w:after="0" w:line="2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This compensation peer group was used by the Compensation Committee in connection with its annual review of our executive compensation program for 2020. Specifically, the Compensation Committee reviewed the compensation data drawn from the compensation peer group, in combination with industry-specific compensation survey data, to develop a subjective representation of the “competitive market” with respect to current executive compensation levels and related policies and practices. The Compensation Committee then evaluated how our pay practices and the compensation levels of our executive officers compared to the competitive market. As part of this evaluation, the Compensation Committee also reviewed the performance measures and performance goals generally used within the competitive market to reward performance.</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August 2020, using the same criteria as described above but updating the size criteria (revenue and market capitalization) to align with our then-current size, and to account for the filing by Nuvectra for bankruptcy in the prior year, the compensation consultant evaluated the existing compensation peer group and recommended to the Compensation Committee the following peer group for use in setting 2021 executive compensation, to consist of 15 publicly traded companies, which the Compensation Committee subsequently approved. The selected companies had revenues ranging from $28 million to $178 million, with a median of $79 million, and market capitalizations ranging from $175 million to $1.6 billion, with a median of $536 million. The companies comprising the updated compensation peer group were as follows:</w:t>
      </w:r>
    </w:p>
    <w:p>
      <w:pPr>
        <w:spacing w:after="0" w:line="330" w:lineRule="exact"/>
        <w:rPr>
          <w:sz w:val="20"/>
          <w:szCs w:val="20"/>
          <w:color w:val="auto"/>
        </w:rPr>
      </w:pPr>
    </w:p>
    <w:tbl>
      <w:tblPr>
        <w:tblLayout w:type="fixed"/>
        <w:tblInd w:w="1100" w:type="dxa"/>
        <w:tblCellMar>
          <w:top w:w="0" w:type="dxa"/>
          <w:left w:w="0" w:type="dxa"/>
          <w:bottom w:w="0" w:type="dxa"/>
          <w:right w:w="0" w:type="dxa"/>
        </w:tblCellMar>
      </w:tblPr>
      <w:tr>
        <w:trPr>
          <w:trHeight w:val="22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Alphatec Holdings, Inc.</w:t>
            </w:r>
          </w:p>
        </w:tc>
        <w:tc>
          <w:tcPr>
            <w:tcW w:w="3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GenMark Diagnostics, Inc.</w:t>
            </w:r>
          </w:p>
        </w:tc>
        <w:tc>
          <w:tcPr>
            <w:tcW w:w="24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SeaSpine Holdings Corp.</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Apyx Medical Corporation</w:t>
            </w:r>
          </w:p>
        </w:tc>
        <w:tc>
          <w:tcPr>
            <w:tcW w:w="3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Intersect ENT, Inc.</w:t>
            </w:r>
          </w:p>
        </w:tc>
        <w:tc>
          <w:tcPr>
            <w:tcW w:w="24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Shockwave Medical, Inc.</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AxoGen, Inc.</w:t>
            </w:r>
          </w:p>
        </w:tc>
        <w:tc>
          <w:tcPr>
            <w:tcW w:w="3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LeMaitre Vascular, Inc.</w:t>
            </w:r>
          </w:p>
        </w:tc>
        <w:tc>
          <w:tcPr>
            <w:tcW w:w="2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Silk Road Medical, Inc.</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Cerus Corporation</w:t>
            </w:r>
          </w:p>
        </w:tc>
        <w:tc>
          <w:tcPr>
            <w:tcW w:w="3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Misonix, Inc.</w:t>
            </w:r>
          </w:p>
        </w:tc>
        <w:tc>
          <w:tcPr>
            <w:tcW w:w="2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ViewRay, Inc.</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Cutera, Inc.</w:t>
            </w:r>
          </w:p>
        </w:tc>
        <w:tc>
          <w:tcPr>
            <w:tcW w:w="3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OrthoPediatrics Corp.</w:t>
            </w:r>
          </w:p>
        </w:tc>
        <w:tc>
          <w:tcPr>
            <w:tcW w:w="2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Zynex, Inc.</w:t>
            </w:r>
          </w:p>
        </w:tc>
      </w:tr>
    </w:tbl>
    <w:p>
      <w:pPr>
        <w:spacing w:after="0" w:line="3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40"/>
          </w:cols>
          <w:pgMar w:left="320" w:top="78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2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three primary elements of our executive compensation programs are: (1) base salary, (2) annual cash bonus opportunities, and (3) long-term incentives in the form of equity awards, as described below:</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560" w:type="dxa"/>
            <w:vAlign w:val="bottom"/>
            <w:tcBorders>
              <w:top w:val="single" w:sz="8" w:color="auto"/>
              <w:left w:val="single" w:sz="8" w:color="auto"/>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160" w:type="dxa"/>
            <w:vAlign w:val="bottom"/>
            <w:tcBorders>
              <w:top w:val="single" w:sz="8" w:color="auto"/>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What This Element Rewards</w:t>
            </w:r>
          </w:p>
        </w:tc>
        <w:tc>
          <w:tcPr>
            <w:tcW w:w="460" w:type="dxa"/>
            <w:vAlign w:val="bottom"/>
            <w:tcBorders>
              <w:top w:val="single" w:sz="8" w:color="auto"/>
              <w:bottom w:val="single" w:sz="8" w:color="auto"/>
              <w:right w:val="single" w:sz="8" w:color="auto"/>
            </w:tcBorders>
          </w:tcPr>
          <w:p>
            <w:pPr>
              <w:spacing w:after="0"/>
              <w:rPr>
                <w:sz w:val="22"/>
                <w:szCs w:val="22"/>
                <w:color w:val="auto"/>
              </w:rPr>
            </w:pPr>
          </w:p>
        </w:tc>
        <w:tc>
          <w:tcPr>
            <w:tcW w:w="3640" w:type="dxa"/>
            <w:vAlign w:val="bottom"/>
            <w:tcBorders>
              <w:top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Purpose and Key Features of Element</w:t>
            </w:r>
          </w:p>
        </w:tc>
      </w:tr>
      <w:tr>
        <w:trPr>
          <w:trHeight w:val="198"/>
        </w:trPr>
        <w:tc>
          <w:tcPr>
            <w:tcW w:w="356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Base salary</w:t>
            </w:r>
          </w:p>
        </w:tc>
        <w:tc>
          <w:tcPr>
            <w:tcW w:w="3620" w:type="dxa"/>
            <w:vAlign w:val="bottom"/>
            <w:tcBorders>
              <w:right w:val="single" w:sz="8" w:color="auto"/>
            </w:tcBorders>
            <w:gridSpan w:val="6"/>
          </w:tcPr>
          <w:p>
            <w:pPr>
              <w:spacing w:after="0" w:line="198" w:lineRule="exact"/>
              <w:rPr>
                <w:sz w:val="20"/>
                <w:szCs w:val="20"/>
                <w:color w:val="auto"/>
              </w:rPr>
            </w:pPr>
            <w:r>
              <w:rPr>
                <w:rFonts w:ascii="Times New Roman" w:cs="Times New Roman" w:eastAsia="Times New Roman" w:hAnsi="Times New Roman"/>
                <w:sz w:val="18"/>
                <w:szCs w:val="18"/>
                <w:color w:val="auto"/>
              </w:rPr>
              <w:t>Individual  performance,  level  of  experience,</w:t>
            </w:r>
          </w:p>
        </w:tc>
        <w:tc>
          <w:tcPr>
            <w:tcW w:w="364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Provides competitive level of fixed compensation</w:t>
            </w:r>
          </w:p>
        </w:tc>
      </w:tr>
      <w:tr>
        <w:trPr>
          <w:trHeight w:val="189"/>
        </w:trPr>
        <w:tc>
          <w:tcPr>
            <w:tcW w:w="3560" w:type="dxa"/>
            <w:vAlign w:val="bottom"/>
            <w:tcBorders>
              <w:left w:val="single" w:sz="8" w:color="auto"/>
              <w:right w:val="single" w:sz="8" w:color="auto"/>
            </w:tcBorders>
          </w:tcPr>
          <w:p>
            <w:pPr>
              <w:spacing w:after="0"/>
              <w:rPr>
                <w:sz w:val="16"/>
                <w:szCs w:val="16"/>
                <w:color w:val="auto"/>
              </w:rPr>
            </w:pPr>
          </w:p>
        </w:tc>
        <w:tc>
          <w:tcPr>
            <w:tcW w:w="3620" w:type="dxa"/>
            <w:vAlign w:val="bottom"/>
            <w:tcBorders>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color w:val="auto"/>
              </w:rPr>
              <w:t>expected future performance and contributions</w:t>
            </w:r>
          </w:p>
        </w:tc>
        <w:tc>
          <w:tcPr>
            <w:tcW w:w="36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determined by the market value of the position,</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with actual base salaries established based on the</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facts and circumstances of each executive officer</w:t>
            </w:r>
          </w:p>
        </w:tc>
      </w:tr>
      <w:tr>
        <w:trPr>
          <w:trHeight w:val="234"/>
        </w:trPr>
        <w:tc>
          <w:tcPr>
            <w:tcW w:w="3560" w:type="dxa"/>
            <w:vAlign w:val="bottom"/>
            <w:tcBorders>
              <w:left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each individual position</w:t>
            </w:r>
          </w:p>
        </w:tc>
      </w:tr>
      <w:tr>
        <w:trPr>
          <w:trHeight w:val="40"/>
        </w:trPr>
        <w:tc>
          <w:tcPr>
            <w:tcW w:w="356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6"/>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191"/>
        </w:trPr>
        <w:tc>
          <w:tcPr>
            <w:tcW w:w="35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Annual cash bonuses</w:t>
            </w:r>
          </w:p>
        </w:tc>
        <w:tc>
          <w:tcPr>
            <w:tcW w:w="3620" w:type="dxa"/>
            <w:vAlign w:val="bottom"/>
            <w:tcBorders>
              <w:right w:val="single" w:sz="8" w:color="auto"/>
            </w:tcBorders>
            <w:gridSpan w:val="6"/>
          </w:tcPr>
          <w:p>
            <w:pPr>
              <w:spacing w:after="0" w:line="191" w:lineRule="exact"/>
              <w:rPr>
                <w:sz w:val="20"/>
                <w:szCs w:val="20"/>
                <w:color w:val="auto"/>
              </w:rPr>
            </w:pPr>
            <w:r>
              <w:rPr>
                <w:rFonts w:ascii="Times New Roman" w:cs="Times New Roman" w:eastAsia="Times New Roman" w:hAnsi="Times New Roman"/>
                <w:sz w:val="18"/>
                <w:szCs w:val="18"/>
                <w:color w:val="auto"/>
              </w:rPr>
              <w:t>Achievement of pre-established corporate and</w:t>
            </w:r>
          </w:p>
        </w:tc>
        <w:tc>
          <w:tcPr>
            <w:tcW w:w="36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Motivate executive officers to achieve critical</w:t>
            </w:r>
          </w:p>
        </w:tc>
      </w:tr>
      <w:tr>
        <w:trPr>
          <w:trHeight w:val="189"/>
        </w:trPr>
        <w:tc>
          <w:tcPr>
            <w:tcW w:w="3560" w:type="dxa"/>
            <w:vAlign w:val="bottom"/>
            <w:tcBorders>
              <w:left w:val="single" w:sz="8" w:color="auto"/>
              <w:right w:val="single" w:sz="8" w:color="auto"/>
            </w:tcBorders>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individual</w:t>
            </w:r>
          </w:p>
        </w:tc>
        <w:tc>
          <w:tcPr>
            <w:tcW w:w="9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performance</w:t>
            </w:r>
          </w:p>
        </w:tc>
        <w:tc>
          <w:tcPr>
            <w:tcW w:w="9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objectives</w:t>
            </w:r>
          </w:p>
        </w:tc>
        <w:tc>
          <w:tcPr>
            <w:tcW w:w="4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(for</w:t>
            </w:r>
          </w:p>
        </w:tc>
        <w:tc>
          <w:tcPr>
            <w:tcW w:w="460" w:type="dxa"/>
            <w:vAlign w:val="bottom"/>
            <w:tcBorders>
              <w:right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2021,</w:t>
            </w:r>
          </w:p>
        </w:tc>
        <w:tc>
          <w:tcPr>
            <w:tcW w:w="36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financial and operational objectives.</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gridSpan w:val="6"/>
          </w:tcPr>
          <w:p>
            <w:pPr>
              <w:spacing w:after="0" w:line="202" w:lineRule="exact"/>
              <w:rPr>
                <w:sz w:val="20"/>
                <w:szCs w:val="20"/>
                <w:color w:val="auto"/>
              </w:rPr>
            </w:pPr>
            <w:r>
              <w:rPr>
                <w:rFonts w:ascii="Times New Roman" w:cs="Times New Roman" w:eastAsia="Times New Roman" w:hAnsi="Times New Roman"/>
                <w:sz w:val="18"/>
                <w:szCs w:val="18"/>
                <w:color w:val="auto"/>
              </w:rPr>
              <w:t>focused  on  revenue  growth,  gross  margin,</w:t>
            </w:r>
          </w:p>
        </w:tc>
        <w:tc>
          <w:tcPr>
            <w:tcW w:w="3640" w:type="dxa"/>
            <w:vAlign w:val="bottom"/>
            <w:tcBorders>
              <w:right w:val="single" w:sz="8" w:color="auto"/>
            </w:tcBorders>
          </w:tcPr>
          <w:p>
            <w:pPr>
              <w:spacing w:after="0"/>
              <w:rPr>
                <w:sz w:val="17"/>
                <w:szCs w:val="17"/>
                <w:color w:val="auto"/>
              </w:rPr>
            </w:pPr>
          </w:p>
        </w:tc>
      </w:tr>
      <w:tr>
        <w:trPr>
          <w:trHeight w:val="221"/>
        </w:trPr>
        <w:tc>
          <w:tcPr>
            <w:tcW w:w="3560" w:type="dxa"/>
            <w:vAlign w:val="bottom"/>
            <w:tcBorders>
              <w:left w:val="single" w:sz="8" w:color="auto"/>
              <w:right w:val="single" w:sz="8" w:color="auto"/>
            </w:tcBorders>
          </w:tcPr>
          <w:p>
            <w:pPr>
              <w:spacing w:after="0"/>
              <w:rPr>
                <w:sz w:val="19"/>
                <w:szCs w:val="19"/>
                <w:color w:val="auto"/>
              </w:rPr>
            </w:pPr>
          </w:p>
        </w:tc>
        <w:tc>
          <w:tcPr>
            <w:tcW w:w="36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adjusted EBITDA, and new product launches, as</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Generally, performance levels are established to</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gridSpan w:val="6"/>
          </w:tcPr>
          <w:p>
            <w:pPr>
              <w:spacing w:after="0" w:line="202" w:lineRule="exact"/>
              <w:rPr>
                <w:sz w:val="20"/>
                <w:szCs w:val="20"/>
                <w:color w:val="auto"/>
              </w:rPr>
            </w:pPr>
            <w:r>
              <w:rPr>
                <w:rFonts w:ascii="Times New Roman" w:cs="Times New Roman" w:eastAsia="Times New Roman" w:hAnsi="Times New Roman"/>
                <w:sz w:val="18"/>
                <w:szCs w:val="18"/>
                <w:color w:val="auto"/>
              </w:rPr>
              <w:t>well as individual contributions and management</w:t>
            </w:r>
          </w:p>
        </w:tc>
        <w:tc>
          <w:tcPr>
            <w:tcW w:w="3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incentivize our executive officers to achieve or</w:t>
            </w:r>
          </w:p>
        </w:tc>
      </w:tr>
      <w:tr>
        <w:trPr>
          <w:trHeight w:val="225"/>
        </w:trPr>
        <w:tc>
          <w:tcPr>
            <w:tcW w:w="3560" w:type="dxa"/>
            <w:vAlign w:val="bottom"/>
            <w:tcBorders>
              <w:left w:val="single" w:sz="8" w:color="auto"/>
              <w:right w:val="single" w:sz="8" w:color="auto"/>
            </w:tcBorders>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8"/>
              </w:rPr>
              <w:t>objectives)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exceed  performance  objectives.  For  2021,</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payouts  for  corporate  performance  objectives</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could range from 0% to 125% or 150% for each</w:t>
            </w:r>
          </w:p>
        </w:tc>
      </w:tr>
      <w:tr>
        <w:trPr>
          <w:trHeight w:val="234"/>
        </w:trPr>
        <w:tc>
          <w:tcPr>
            <w:tcW w:w="3560" w:type="dxa"/>
            <w:vAlign w:val="bottom"/>
            <w:tcBorders>
              <w:left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objective, depending on actual achievement.</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gridSpan w:val="6"/>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191"/>
        </w:trPr>
        <w:tc>
          <w:tcPr>
            <w:tcW w:w="35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Long-term incentives/equity awards</w:t>
            </w:r>
          </w:p>
        </w:tc>
        <w:tc>
          <w:tcPr>
            <w:tcW w:w="3620" w:type="dxa"/>
            <w:vAlign w:val="bottom"/>
            <w:tcBorders>
              <w:right w:val="single" w:sz="8" w:color="auto"/>
            </w:tcBorders>
            <w:gridSpan w:val="6"/>
          </w:tcPr>
          <w:p>
            <w:pPr>
              <w:spacing w:after="0" w:line="191" w:lineRule="exact"/>
              <w:rPr>
                <w:sz w:val="20"/>
                <w:szCs w:val="20"/>
                <w:color w:val="auto"/>
              </w:rPr>
            </w:pPr>
            <w:r>
              <w:rPr>
                <w:rFonts w:ascii="Times New Roman" w:cs="Times New Roman" w:eastAsia="Times New Roman" w:hAnsi="Times New Roman"/>
                <w:sz w:val="18"/>
                <w:szCs w:val="18"/>
                <w:color w:val="auto"/>
              </w:rPr>
              <w:t>Achievement  of  corporate  and  individual</w:t>
            </w:r>
          </w:p>
        </w:tc>
        <w:tc>
          <w:tcPr>
            <w:tcW w:w="364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Annual equity awards that provide a variable “at</w:t>
            </w:r>
          </w:p>
        </w:tc>
      </w:tr>
      <w:tr>
        <w:trPr>
          <w:trHeight w:val="189"/>
        </w:trPr>
        <w:tc>
          <w:tcPr>
            <w:tcW w:w="3560" w:type="dxa"/>
            <w:vAlign w:val="bottom"/>
            <w:tcBorders>
              <w:left w:val="single" w:sz="8" w:color="auto"/>
              <w:right w:val="single" w:sz="8" w:color="auto"/>
            </w:tcBorders>
          </w:tcPr>
          <w:p>
            <w:pPr>
              <w:spacing w:after="0"/>
              <w:rPr>
                <w:sz w:val="16"/>
                <w:szCs w:val="16"/>
                <w:color w:val="auto"/>
              </w:rPr>
            </w:pPr>
          </w:p>
        </w:tc>
        <w:tc>
          <w:tcPr>
            <w:tcW w:w="10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performance</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5"/>
              </w:rPr>
              <w:t>objectives</w:t>
            </w:r>
          </w:p>
        </w:tc>
        <w:tc>
          <w:tcPr>
            <w:tcW w:w="9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designed</w:t>
            </w:r>
          </w:p>
        </w:tc>
        <w:tc>
          <w:tcPr>
            <w:tcW w:w="940" w:type="dxa"/>
            <w:vAlign w:val="bottom"/>
            <w:tcBorders>
              <w:right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to  enhance</w:t>
            </w:r>
          </w:p>
        </w:tc>
        <w:tc>
          <w:tcPr>
            <w:tcW w:w="36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risk” pay opportunity. Restricted stock awards</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gridSpan w:val="6"/>
          </w:tcPr>
          <w:p>
            <w:pPr>
              <w:spacing w:after="0" w:line="202" w:lineRule="exact"/>
              <w:rPr>
                <w:sz w:val="20"/>
                <w:szCs w:val="20"/>
                <w:color w:val="auto"/>
              </w:rPr>
            </w:pPr>
            <w:r>
              <w:rPr>
                <w:rFonts w:ascii="Times New Roman" w:cs="Times New Roman" w:eastAsia="Times New Roman" w:hAnsi="Times New Roman"/>
                <w:sz w:val="18"/>
                <w:szCs w:val="18"/>
                <w:color w:val="auto"/>
              </w:rPr>
              <w:t>long-term stockholder value and attract, retain,</w:t>
            </w:r>
          </w:p>
        </w:tc>
        <w:tc>
          <w:tcPr>
            <w:tcW w:w="3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vest over four years. PSUs, granted beginning in</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motivate,</w:t>
            </w:r>
          </w:p>
        </w:tc>
        <w:tc>
          <w:tcPr>
            <w:tcW w:w="2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2"/>
              </w:rPr>
              <w:t>and</w:t>
            </w:r>
          </w:p>
        </w:tc>
        <w:tc>
          <w:tcPr>
            <w:tcW w:w="7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reward</w:t>
            </w:r>
          </w:p>
        </w:tc>
        <w:tc>
          <w:tcPr>
            <w:tcW w:w="13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executive  officers</w:t>
            </w:r>
          </w:p>
        </w:tc>
        <w:tc>
          <w:tcPr>
            <w:tcW w:w="4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over</w:t>
            </w:r>
          </w:p>
        </w:tc>
        <w:tc>
          <w:tcPr>
            <w:tcW w:w="3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2022, vest over three years.</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3620" w:type="dxa"/>
            <w:vAlign w:val="bottom"/>
            <w:tcBorders>
              <w:right w:val="single" w:sz="8" w:color="auto"/>
            </w:tcBorders>
            <w:gridSpan w:val="6"/>
          </w:tcPr>
          <w:p>
            <w:pPr>
              <w:spacing w:after="0" w:line="202" w:lineRule="exact"/>
              <w:rPr>
                <w:sz w:val="20"/>
                <w:szCs w:val="20"/>
                <w:color w:val="auto"/>
              </w:rPr>
            </w:pPr>
            <w:r>
              <w:rPr>
                <w:rFonts w:ascii="Times New Roman" w:cs="Times New Roman" w:eastAsia="Times New Roman" w:hAnsi="Times New Roman"/>
                <w:sz w:val="18"/>
                <w:szCs w:val="18"/>
                <w:color w:val="auto"/>
              </w:rPr>
              <w:t>extended  periods  for  achieving  important</w:t>
            </w:r>
          </w:p>
        </w:tc>
        <w:tc>
          <w:tcPr>
            <w:tcW w:w="364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Because  the  ultimate  value  of  these  equity</w:t>
            </w:r>
          </w:p>
        </w:tc>
      </w:tr>
      <w:tr>
        <w:trPr>
          <w:trHeight w:val="202"/>
        </w:trPr>
        <w:tc>
          <w:tcPr>
            <w:tcW w:w="3560" w:type="dxa"/>
            <w:vAlign w:val="bottom"/>
            <w:tcBorders>
              <w:left w:val="single" w:sz="8" w:color="auto"/>
              <w:right w:val="single" w:sz="8" w:color="auto"/>
            </w:tcBorders>
          </w:tcPr>
          <w:p>
            <w:pPr>
              <w:spacing w:after="0"/>
              <w:rPr>
                <w:sz w:val="17"/>
                <w:szCs w:val="17"/>
                <w:color w:val="auto"/>
              </w:rPr>
            </w:pPr>
          </w:p>
        </w:tc>
        <w:tc>
          <w:tcPr>
            <w:tcW w:w="17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corporate objectives</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awards is directly related to the market price of</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our common stock, and the awards are only</w:t>
            </w:r>
          </w:p>
        </w:tc>
      </w:tr>
      <w:tr>
        <w:trPr>
          <w:trHeight w:val="221"/>
        </w:trPr>
        <w:tc>
          <w:tcPr>
            <w:tcW w:w="3560" w:type="dxa"/>
            <w:vAlign w:val="bottom"/>
            <w:tcBorders>
              <w:left w:val="single" w:sz="8" w:color="auto"/>
              <w:right w:val="single" w:sz="8" w:color="auto"/>
            </w:tcBorders>
          </w:tcPr>
          <w:p>
            <w:pPr>
              <w:spacing w:after="0"/>
              <w:rPr>
                <w:sz w:val="19"/>
                <w:szCs w:val="19"/>
                <w:color w:val="auto"/>
              </w:rPr>
            </w:pPr>
          </w:p>
        </w:tc>
        <w:tc>
          <w:tcPr>
            <w:tcW w:w="36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Vesting requirements promote retention of highly</w:t>
            </w: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earned over an extended period of time subject to</w:t>
            </w:r>
          </w:p>
        </w:tc>
      </w:tr>
      <w:tr>
        <w:trPr>
          <w:trHeight w:val="203"/>
        </w:trPr>
        <w:tc>
          <w:tcPr>
            <w:tcW w:w="3560" w:type="dxa"/>
            <w:vAlign w:val="bottom"/>
            <w:tcBorders>
              <w:left w:val="single" w:sz="8" w:color="auto"/>
              <w:right w:val="single" w:sz="8" w:color="auto"/>
            </w:tcBorders>
          </w:tcPr>
          <w:p>
            <w:pPr>
              <w:spacing w:after="0"/>
              <w:rPr>
                <w:sz w:val="17"/>
                <w:szCs w:val="17"/>
                <w:color w:val="auto"/>
              </w:rPr>
            </w:pPr>
          </w:p>
        </w:tc>
        <w:tc>
          <w:tcPr>
            <w:tcW w:w="268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valued executive officers</w:t>
            </w:r>
          </w:p>
        </w:tc>
        <w:tc>
          <w:tcPr>
            <w:tcW w:w="4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vesting, they serve to focus management on the</w:t>
            </w:r>
          </w:p>
        </w:tc>
      </w:tr>
      <w:tr>
        <w:trPr>
          <w:trHeight w:val="184"/>
        </w:trPr>
        <w:tc>
          <w:tcPr>
            <w:tcW w:w="3560" w:type="dxa"/>
            <w:vAlign w:val="bottom"/>
            <w:tcBorders>
              <w:left w:val="single" w:sz="8" w:color="auto"/>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creation   and   maintenance   of   long-term</w:t>
            </w:r>
          </w:p>
        </w:tc>
      </w:tr>
      <w:tr>
        <w:trPr>
          <w:trHeight w:val="234"/>
        </w:trPr>
        <w:tc>
          <w:tcPr>
            <w:tcW w:w="3560" w:type="dxa"/>
            <w:vAlign w:val="bottom"/>
            <w:tcBorders>
              <w:left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stockholder value</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Named Executive Officers also participate in the standard employee benefit plans available to most of our employees. In addition, our Named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Named Executive Officers in 2021 under each of these elements.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believe that a competitive base salary is a necessary element of our executive compensation program, so that we can attract and retain a stable management team. Base salaries for our Named Executive Officers are also intended to be competitive with those received by other individuals in similar positions at the companies with which we compete for talent, as well as equitable across the executive team.</w:t>
      </w:r>
    </w:p>
    <w:p>
      <w:pPr>
        <w:spacing w:after="0" w:line="19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Generally, we establish the initial base salaries of our Named Executive Officers through arm’s-length negotiation at the time we hire the individual executive officer, taking into account his or her position, qualifications, experience, and the base salaries of our other executive officers.</w:t>
      </w:r>
    </w:p>
    <w:p>
      <w:pPr>
        <w:spacing w:after="0" w:line="2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Thereafter, the Compensation Committee reviews the base salaries of our Named Executive Officers annually and makes adjustments to base salaries as it determines to be necessary or appropriate.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240"/>
          </w:cols>
          <w:pgMar w:left="320" w:top="752" w:right="339" w:bottom="1440" w:gutter="0" w:footer="0" w:header="0"/>
        </w:sectPr>
      </w:pPr>
    </w:p>
    <w:bookmarkStart w:id="40" w:name="page41"/>
    <w:bookmarkEnd w:id="40"/>
    <w:p>
      <w:pPr>
        <w:jc w:val="both"/>
        <w:spacing w:after="0" w:line="293" w:lineRule="auto"/>
        <w:rPr>
          <w:sz w:val="20"/>
          <w:szCs w:val="20"/>
          <w:color w:val="auto"/>
        </w:rPr>
      </w:pPr>
      <w:r>
        <w:rPr>
          <w:rFonts w:ascii="Times New Roman" w:cs="Times New Roman" w:eastAsia="Times New Roman" w:hAnsi="Times New Roman"/>
          <w:sz w:val="18"/>
          <w:szCs w:val="18"/>
          <w:color w:val="auto"/>
        </w:rPr>
        <w:t>In 2021, the Compensation Committee reviewed the base salaries of our executive officers, taking into consideration a competitive market analysis performed by Compensia and the recommendations of our CEO and Executive Chairman (except with respect to their own respective base salaries), as well as the other factors described above. Following this review, the Compensation Committee set the base salaries of our executive officers at levels that it believed were appropriate to maintain their competitiveness. The base salaries of our Named Executive Officers established at the beginning of 2021 were as follows:</w:t>
      </w:r>
    </w:p>
    <w:p>
      <w:pPr>
        <w:spacing w:after="0" w:line="206" w:lineRule="exact"/>
        <w:rPr>
          <w:sz w:val="20"/>
          <w:szCs w:val="20"/>
          <w:color w:val="auto"/>
        </w:rPr>
      </w:pPr>
    </w:p>
    <w:tbl>
      <w:tblPr>
        <w:tblLayout w:type="fixed"/>
        <w:tblInd w:w="670" w:type="dxa"/>
        <w:tblCellMar>
          <w:top w:w="0" w:type="dxa"/>
          <w:left w:w="0" w:type="dxa"/>
          <w:bottom w:w="0" w:type="dxa"/>
          <w:right w:w="0" w:type="dxa"/>
        </w:tblCellMar>
      </w:tblPr>
      <w:tr>
        <w:trPr>
          <w:trHeight w:val="263"/>
        </w:trPr>
        <w:tc>
          <w:tcPr>
            <w:tcW w:w="2440" w:type="dxa"/>
            <w:vAlign w:val="bottom"/>
            <w:tcBorders>
              <w:top w:val="single" w:sz="8" w:color="auto"/>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 Base Salary</w:t>
            </w:r>
          </w:p>
        </w:tc>
        <w:tc>
          <w:tcPr>
            <w:tcW w:w="242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2021 Base Salary</w:t>
            </w: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Adjustment</w:t>
            </w:r>
          </w:p>
        </w:tc>
      </w:tr>
      <w:tr>
        <w:trPr>
          <w:trHeight w:val="257"/>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Laura Francis</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$420,000</w:t>
            </w:r>
          </w:p>
        </w:tc>
        <w:tc>
          <w:tcPr>
            <w:tcW w:w="2420" w:type="dxa"/>
            <w:vAlign w:val="bottom"/>
            <w:tcBorders>
              <w:bottom w:val="single" w:sz="8" w:color="auto"/>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8"/>
              </w:rPr>
              <w:t>$433,000</w:t>
            </w:r>
            <w:r>
              <w:rPr>
                <w:rFonts w:ascii="Times New Roman" w:cs="Times New Roman" w:eastAsia="Times New Roman" w:hAnsi="Times New Roman"/>
                <w:sz w:val="23"/>
                <w:szCs w:val="23"/>
                <w:color w:val="auto"/>
                <w:w w:val="98"/>
                <w:vertAlign w:val="superscript"/>
              </w:rPr>
              <w:t>1</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5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c>
          <w:tcPr>
            <w:tcW w:w="24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8"/>
              </w:rPr>
              <w:t>N/A</w:t>
            </w:r>
            <w:r>
              <w:rPr>
                <w:rFonts w:ascii="Times New Roman" w:cs="Times New Roman" w:eastAsia="Times New Roman" w:hAnsi="Times New Roman"/>
                <w:sz w:val="23"/>
                <w:szCs w:val="23"/>
                <w:color w:val="auto"/>
                <w:w w:val="98"/>
                <w:vertAlign w:val="superscript"/>
              </w:rPr>
              <w:t>2</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5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Anthony Recupero</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$380,000</w:t>
            </w:r>
          </w:p>
        </w:tc>
        <w:tc>
          <w:tcPr>
            <w:tcW w:w="24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8"/>
              </w:rPr>
              <w:t>$391,000</w:t>
            </w:r>
            <w:r>
              <w:rPr>
                <w:rFonts w:ascii="Times New Roman" w:cs="Times New Roman" w:eastAsia="Times New Roman" w:hAnsi="Times New Roman"/>
                <w:sz w:val="23"/>
                <w:szCs w:val="23"/>
                <w:color w:val="auto"/>
                <w:w w:val="98"/>
                <w:vertAlign w:val="superscript"/>
              </w:rPr>
              <w:t>3</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5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Jeffrey Dunn</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$600,000</w:t>
            </w:r>
          </w:p>
        </w:tc>
        <w:tc>
          <w:tcPr>
            <w:tcW w:w="24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8"/>
              </w:rPr>
              <w:t>$618,000</w:t>
            </w:r>
            <w:r>
              <w:rPr>
                <w:rFonts w:ascii="Times New Roman" w:cs="Times New Roman" w:eastAsia="Times New Roman" w:hAnsi="Times New Roman"/>
                <w:sz w:val="23"/>
                <w:szCs w:val="23"/>
                <w:color w:val="auto"/>
                <w:w w:val="98"/>
                <w:vertAlign w:val="superscript"/>
              </w:rPr>
              <w:t>4</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bl>
    <w:p>
      <w:pPr>
        <w:spacing w:after="0" w:line="360" w:lineRule="exact"/>
        <w:rPr>
          <w:sz w:val="20"/>
          <w:szCs w:val="20"/>
          <w:color w:val="auto"/>
        </w:rPr>
      </w:pPr>
    </w:p>
    <w:p>
      <w:pPr>
        <w:ind w:left="280" w:hanging="272"/>
        <w:spacing w:after="0"/>
        <w:tabs>
          <w:tab w:leader="none" w:pos="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the Compensation Committee further increased Ms. Francis’ base salary to $567,000 in conjunction with her promotion to CEO.</w:t>
      </w:r>
    </w:p>
    <w:p>
      <w:pPr>
        <w:spacing w:after="0" w:line="7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Maheshwari joined the company in April 2021. His base salary was set under the terms of his Offer Letter.</w:t>
      </w:r>
    </w:p>
    <w:p>
      <w:pPr>
        <w:spacing w:after="0" w:line="63" w:lineRule="exact"/>
        <w:rPr>
          <w:rFonts w:ascii="Times New Roman" w:cs="Times New Roman" w:eastAsia="Times New Roman" w:hAnsi="Times New Roman"/>
          <w:sz w:val="18"/>
          <w:szCs w:val="18"/>
          <w:color w:val="auto"/>
        </w:rPr>
      </w:pPr>
    </w:p>
    <w:p>
      <w:pPr>
        <w:ind w:left="420" w:hanging="412"/>
        <w:spacing w:after="0" w:line="284" w:lineRule="auto"/>
        <w:tabs>
          <w:tab w:leader="none" w:pos="27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the Compensation Committee further increased Mr. Recupero’s base salary to $430,000 in conjunction with his promotion to President, Commercial Operations.</w:t>
      </w:r>
    </w:p>
    <w:p>
      <w:pPr>
        <w:ind w:left="420" w:hanging="412"/>
        <w:spacing w:after="0" w:line="307" w:lineRule="auto"/>
        <w:tabs>
          <w:tab w:leader="none" w:pos="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Dunn transitioned to Executive Chairman in April 2021, at which time his base salary decreased to $309,000 pursuant to the terms of his amended Offer Letter Agreement and Severance Plan Participation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 salaries of our Named Executive Officers during 2021 are set forth in the “2021 Summary Compensation Table” below.</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Annual Cash Bonuses</w:t>
      </w:r>
    </w:p>
    <w:p>
      <w:pPr>
        <w:spacing w:after="0" w:line="2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Typically, the Compensation Committee establishes cash bonus opportunities pursuant to a formal cash bonus plan that measures and rewards our executive officers for our actual corporate over our fiscal year. The cash bonus plan is designed to pay above-target bonuses when we exceed our annual corporate objectives and below-target bonuses (or no bonuses) when we do not achieve these objectives.</w:t>
      </w:r>
    </w:p>
    <w:p>
      <w:pPr>
        <w:spacing w:after="0" w:line="21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January 2021, the Compensation Committee determined to award cash bonus opportunities to our Named Executive Officers, pursuant to the cash bonus plan for 2021. The Compensation Committee has the authority to select the performance measures and related target levels applicable to the annual cash bonus opportunities for our executive officers. The performance measures involving our financial results could be determined in accordance with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Under the 2021 bonus plan, the Compensation Committee could, in its sole discretion and at any time, increase, reduce, or eliminate a participant’s actual bonus payment, and/or increase, reduce, or eliminate the amount allocated to the bonus pool for the year. Further, the actual bonus payment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240"/>
          </w:cols>
          <w:pgMar w:left="320" w:top="783"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u w:val="single" w:color="auto"/>
          <w:color w:val="auto"/>
        </w:rPr>
        <w:t>Target Bonus Opportunities</w:t>
      </w:r>
    </w:p>
    <w:p>
      <w:pPr>
        <w:spacing w:after="0" w:line="2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January 2021, the target annual cash bonus opportunities for each of our Named Executive Officers under the 2021 bonus plan, expressed as a percentage of his or her annual base salary, were as follows. Adjustments made in April 2021 in conjunction with our leadership transition are noted below the table.</w:t>
      </w:r>
    </w:p>
    <w:p>
      <w:pPr>
        <w:spacing w:after="0" w:line="209"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21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January</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January 2021</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Portion of</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April 2021 Target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Portion of</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2021 Target</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2021 Base</w:t>
            </w:r>
          </w:p>
        </w:tc>
        <w:tc>
          <w:tcPr>
            <w:tcW w:w="13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Target Bonus</w:t>
            </w:r>
          </w:p>
        </w:tc>
        <w:tc>
          <w:tcPr>
            <w:tcW w:w="9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2021 at</w:t>
            </w:r>
          </w:p>
        </w:tc>
        <w:tc>
          <w:tcPr>
            <w:tcW w:w="11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Effective</w:t>
            </w:r>
          </w:p>
        </w:tc>
        <w:tc>
          <w:tcPr>
            <w:tcW w:w="14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9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2021 at</w:t>
            </w:r>
          </w:p>
        </w:tc>
        <w:tc>
          <w:tcPr>
            <w:tcW w:w="15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Salary</w:t>
            </w:r>
          </w:p>
        </w:tc>
        <w:tc>
          <w:tcPr>
            <w:tcW w:w="13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Opportunity</w:t>
            </w:r>
          </w:p>
        </w:tc>
        <w:tc>
          <w:tcPr>
            <w:tcW w:w="9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This Level</w:t>
            </w:r>
          </w:p>
        </w:tc>
        <w:tc>
          <w:tcPr>
            <w:tcW w:w="11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April 20,</w:t>
            </w:r>
          </w:p>
        </w:tc>
        <w:tc>
          <w:tcPr>
            <w:tcW w:w="14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Opportunity</w:t>
            </w:r>
          </w:p>
        </w:tc>
        <w:tc>
          <w:tcPr>
            <w:tcW w:w="9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This Level</w:t>
            </w:r>
          </w:p>
        </w:tc>
        <w:tc>
          <w:tcPr>
            <w:tcW w:w="15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Opportunity ($)</w:t>
            </w:r>
          </w:p>
        </w:tc>
      </w:tr>
      <w:tr>
        <w:trPr>
          <w:trHeight w:val="238"/>
        </w:trPr>
        <w:tc>
          <w:tcPr>
            <w:tcW w:w="2180" w:type="dxa"/>
            <w:vAlign w:val="bottom"/>
            <w:tcBorders>
              <w:left w:val="single" w:sz="8" w:color="auto"/>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9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9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50"/>
        </w:trPr>
        <w:tc>
          <w:tcPr>
            <w:tcW w:w="21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Laura Francis</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$433,000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$567,000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$408,995</w:t>
            </w:r>
          </w:p>
        </w:tc>
      </w:tr>
      <w:tr>
        <w:trPr>
          <w:trHeight w:val="250"/>
        </w:trPr>
        <w:tc>
          <w:tcPr>
            <w:tcW w:w="21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Anshul Maheshwari</w:t>
            </w:r>
            <w:r>
              <w:rPr>
                <w:rFonts w:ascii="Times New Roman" w:cs="Times New Roman" w:eastAsia="Times New Roman" w:hAnsi="Times New Roman"/>
                <w:sz w:val="23"/>
                <w:szCs w:val="23"/>
                <w:color w:val="auto"/>
                <w:vertAlign w:val="superscript"/>
              </w:rPr>
              <w:t>2</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$126,136</w:t>
            </w:r>
          </w:p>
        </w:tc>
      </w:tr>
      <w:tr>
        <w:trPr>
          <w:trHeight w:val="250"/>
        </w:trPr>
        <w:tc>
          <w:tcPr>
            <w:tcW w:w="21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Anthony Recupero</w:t>
            </w:r>
            <w:r>
              <w:rPr>
                <w:rFonts w:ascii="Times New Roman" w:cs="Times New Roman" w:eastAsia="Times New Roman" w:hAnsi="Times New Roman"/>
                <w:sz w:val="23"/>
                <w:szCs w:val="23"/>
                <w:color w:val="auto"/>
                <w:vertAlign w:val="superscript"/>
              </w:rPr>
              <w:t>3</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$391,000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$430,000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$286,980</w:t>
            </w:r>
          </w:p>
        </w:tc>
      </w:tr>
      <w:tr>
        <w:trPr>
          <w:trHeight w:val="250"/>
        </w:trPr>
        <w:tc>
          <w:tcPr>
            <w:tcW w:w="21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Jeffrey Dunn</w:t>
            </w:r>
            <w:r>
              <w:rPr>
                <w:rFonts w:ascii="Times New Roman" w:cs="Times New Roman" w:eastAsia="Times New Roman" w:hAnsi="Times New Roman"/>
                <w:sz w:val="23"/>
                <w:szCs w:val="23"/>
                <w:color w:val="auto"/>
                <w:vertAlign w:val="superscript"/>
              </w:rPr>
              <w:t>4</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$618,000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$309,000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$401,470</w:t>
            </w:r>
          </w:p>
        </w:tc>
      </w:tr>
    </w:tbl>
    <w:p>
      <w:pPr>
        <w:spacing w:after="0" w:line="360" w:lineRule="exact"/>
        <w:rPr>
          <w:sz w:val="20"/>
          <w:szCs w:val="20"/>
          <w:color w:val="auto"/>
        </w:rPr>
      </w:pPr>
    </w:p>
    <w:p>
      <w:pPr>
        <w:ind w:left="340" w:hanging="332"/>
        <w:spacing w:after="0" w:line="297" w:lineRule="auto"/>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Ms. Francis’ base salary increased to $567,000, and her target bonus opportunity increased to 85% of base salary, in conjunction with her promotion to CEO.</w:t>
      </w:r>
    </w:p>
    <w:p>
      <w:pPr>
        <w:ind w:left="280" w:hanging="272"/>
        <w:spacing w:after="0"/>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Maheshwari joined the company in April 2021. His target bonus opportunity was set under the terms of his Offer Letter.</w:t>
      </w:r>
    </w:p>
    <w:p>
      <w:pPr>
        <w:spacing w:after="0" w:line="76" w:lineRule="exact"/>
        <w:rPr>
          <w:rFonts w:ascii="Times New Roman" w:cs="Times New Roman" w:eastAsia="Times New Roman" w:hAnsi="Times New Roman"/>
          <w:sz w:val="18"/>
          <w:szCs w:val="18"/>
          <w:color w:val="auto"/>
        </w:rPr>
      </w:pPr>
    </w:p>
    <w:p>
      <w:pPr>
        <w:ind w:left="340" w:hanging="332"/>
        <w:spacing w:after="0" w:line="297" w:lineRule="auto"/>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Mr. Recupero’s base salary increased to $430,000, and his target bonus opportunity increased to 70% of base salary, in conjunction with his promotion to President, Commercial Operations.</w:t>
      </w:r>
    </w:p>
    <w:p>
      <w:pPr>
        <w:ind w:left="340" w:right="20" w:hanging="332"/>
        <w:spacing w:after="0" w:line="329" w:lineRule="auto"/>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Mr. Dunn’s base salary decreased to $309,000 in conjunction with his transition to Executive Chairman, and his target bonus opportunity was adjusted to 100% of his new base salary.</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target annual cash bonus opportunities of our executive officers, including the Named Executive Officers, were driven entirely by achievement of corporate financial and operational objectives. The Compensation Committee determined this allocation to be appropriate to focus our executive officers on our short-term financial objectives as reflected in our annual operating plan while, at the same time, recognizing their contributions to the achievement of these objectives and the successful execution of their individual roles and responsibilities.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Corporate Performance Objectives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2021 bonus plan, the Compensation Committee selected the following as the corporate performance measures.</w:t>
      </w:r>
    </w:p>
    <w:p>
      <w:pPr>
        <w:spacing w:after="0" w:line="279"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18"/>
          <w:szCs w:val="18"/>
          <w:color w:val="auto"/>
        </w:rPr>
        <w:t>Revenues, weighted 50%, utilizing quarterly goals due to uncertainty caused by the COVID-19 pandemic</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18"/>
          <w:szCs w:val="18"/>
          <w:color w:val="auto"/>
        </w:rPr>
        <w:t>Gross margin, weighted 10%</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18"/>
          <w:szCs w:val="18"/>
          <w:color w:val="auto"/>
        </w:rPr>
        <w:t>Adjusted EBITDA (adjusted for the impact of stock-based compensation), weighted 10%</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TORQ U.S. launch, weighted 15%</w:t>
      </w:r>
    </w:p>
    <w:p>
      <w:pPr>
        <w:spacing w:after="0" w:line="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iFuse Bedrock Granite U.S. launch, weighted 15%</w:t>
      </w:r>
    </w:p>
    <w:p>
      <w:pPr>
        <w:spacing w:after="0" w:line="2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Compensation Committee believed these performance measures were appropriate for our business because they provided a balance between generating revenue, managing our expenses, and growing our business,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chose to use quarterly revenues set at the beginning of each quarter due to the difficulty in planning or forecasting annual revenue as a result of the dynamic and uncertain operating environment caused by the COVID-19 pandemic.</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40"/>
          </w:cols>
          <w:pgMar w:left="320" w:top="783" w:right="339" w:bottom="1440" w:gutter="0" w:footer="0" w:header="0"/>
        </w:sectPr>
      </w:pPr>
    </w:p>
    <w:bookmarkStart w:id="42" w:name="page43"/>
    <w:bookmarkEnd w:id="42"/>
    <w:p>
      <w:pPr>
        <w:spacing w:after="0" w:line="297" w:lineRule="auto"/>
        <w:rPr>
          <w:sz w:val="20"/>
          <w:szCs w:val="20"/>
          <w:color w:val="auto"/>
        </w:rPr>
      </w:pPr>
      <w:r>
        <w:rPr>
          <w:rFonts w:ascii="Times New Roman" w:cs="Times New Roman" w:eastAsia="Times New Roman" w:hAnsi="Times New Roman"/>
          <w:sz w:val="18"/>
          <w:szCs w:val="18"/>
          <w:color w:val="auto"/>
        </w:rPr>
        <w:t>The minimum, target, and maximum levels of achievement for each corporate performance measure and their respective payment amounts, with the actual bonus payment with respect to each measure to be determined independently, were as follows:</w:t>
      </w:r>
    </w:p>
    <w:p>
      <w:pPr>
        <w:spacing w:after="0" w:line="215"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21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Corporate Performance</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Payment</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03"/>
        </w:trPr>
        <w:tc>
          <w:tcPr>
            <w:tcW w:w="2140" w:type="dxa"/>
            <w:vAlign w:val="bottom"/>
            <w:tcBorders>
              <w:left w:val="single" w:sz="8" w:color="auto"/>
              <w:right w:val="single" w:sz="8" w:color="auto"/>
            </w:tcBorders>
          </w:tcPr>
          <w:p>
            <w:pPr>
              <w:ind w:left="740"/>
              <w:spacing w:after="0" w:line="202" w:lineRule="exact"/>
              <w:rPr>
                <w:sz w:val="20"/>
                <w:szCs w:val="20"/>
                <w:color w:val="auto"/>
              </w:rPr>
            </w:pPr>
            <w:r>
              <w:rPr>
                <w:rFonts w:ascii="Times New Roman" w:cs="Times New Roman" w:eastAsia="Times New Roman" w:hAnsi="Times New Roman"/>
                <w:sz w:val="18"/>
                <w:szCs w:val="18"/>
                <w:b w:val="1"/>
                <w:bCs w:val="1"/>
                <w:color w:val="auto"/>
              </w:rPr>
              <w:t>Measure</w:t>
            </w:r>
          </w:p>
        </w:tc>
        <w:tc>
          <w:tcPr>
            <w:tcW w:w="14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3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Payment Level</w:t>
            </w:r>
          </w:p>
        </w:tc>
        <w:tc>
          <w:tcPr>
            <w:tcW w:w="14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3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Level</w:t>
            </w:r>
          </w:p>
        </w:tc>
        <w:tc>
          <w:tcPr>
            <w:tcW w:w="14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3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Payment Level</w:t>
            </w:r>
          </w:p>
        </w:tc>
      </w:tr>
      <w:tr>
        <w:trPr>
          <w:trHeight w:val="238"/>
        </w:trPr>
        <w:tc>
          <w:tcPr>
            <w:tcW w:w="214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3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3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360" w:type="dxa"/>
            <w:vAlign w:val="bottom"/>
            <w:tcBorders>
              <w:right w:val="single" w:sz="8" w:color="auto"/>
            </w:tcBorders>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8"/>
        </w:trPr>
        <w:tc>
          <w:tcPr>
            <w:tcW w:w="2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$90.5M</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$96.0M</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$101.5M</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
        </w:trPr>
        <w:tc>
          <w:tcPr>
            <w:tcW w:w="2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86%</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88%</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r>
      <w:tr>
        <w:trPr>
          <w:trHeight w:val="22"/>
        </w:trPr>
        <w:tc>
          <w:tcPr>
            <w:tcW w:w="2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($39M)</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($37M)</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($35M)</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r>
      <w:tr>
        <w:trPr>
          <w:trHeight w:val="22"/>
        </w:trPr>
        <w:tc>
          <w:tcPr>
            <w:tcW w:w="2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TORQ U.S. Launch</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2021</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April 2021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r>
      <w:tr>
        <w:trPr>
          <w:trHeight w:val="22"/>
        </w:trPr>
        <w:tc>
          <w:tcPr>
            <w:tcW w:w="2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1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iFuse Bedrock Granite U.S.</w:t>
            </w:r>
          </w:p>
        </w:tc>
        <w:tc>
          <w:tcPr>
            <w:tcW w:w="14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December 2021</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80%</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November 2021</w:t>
            </w:r>
          </w:p>
        </w:tc>
        <w:tc>
          <w:tcPr>
            <w:tcW w:w="13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4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October 2021</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125%</w:t>
            </w:r>
          </w:p>
        </w:tc>
      </w:tr>
      <w:tr>
        <w:trPr>
          <w:trHeight w:val="234"/>
        </w:trPr>
        <w:tc>
          <w:tcPr>
            <w:tcW w:w="2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Launch</w:t>
            </w:r>
          </w:p>
        </w:tc>
        <w:tc>
          <w:tcPr>
            <w:tcW w:w="14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7"/>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In the event of actual performance between the threshold and target, and target and maximum, performance levels, the payment amount was to be calculated between each designated segment on a linear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2021 Performance Results and Bonus Decisions</w:t>
      </w:r>
    </w:p>
    <w:p>
      <w:pPr>
        <w:spacing w:after="0" w:line="26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In January 2022, the Compensation Committee approved our actual achievement with respect to the corporate financial objectives under the 2021 bonus plan as follows:</w:t>
      </w:r>
    </w:p>
    <w:p>
      <w:pPr>
        <w:spacing w:after="0" w:line="187"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2340" w:type="dxa"/>
            <w:vAlign w:val="bottom"/>
            <w:tcBorders>
              <w:top w:val="single" w:sz="8" w:color="auto"/>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Corporate Performance</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Actual Achievement</w:t>
            </w:r>
          </w:p>
        </w:tc>
        <w:tc>
          <w:tcPr>
            <w:tcW w:w="2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Achievement Payout Level</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560" w:type="dxa"/>
            <w:vAlign w:val="bottom"/>
            <w:tcBorders>
              <w:top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Bonus</w:t>
            </w:r>
          </w:p>
        </w:tc>
      </w:tr>
      <w:tr>
        <w:trPr>
          <w:trHeight w:val="238"/>
        </w:trPr>
        <w:tc>
          <w:tcPr>
            <w:tcW w:w="2340" w:type="dxa"/>
            <w:vAlign w:val="bottom"/>
            <w:tcBorders>
              <w:left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7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Contribution</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50"/>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7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6"/>
              </w:rPr>
              <w:t>$92.4M</w:t>
            </w:r>
            <w:r>
              <w:rPr>
                <w:rFonts w:ascii="Times New Roman" w:cs="Times New Roman" w:eastAsia="Times New Roman" w:hAnsi="Times New Roman"/>
                <w:sz w:val="23"/>
                <w:szCs w:val="23"/>
                <w:color w:val="auto"/>
                <w:w w:val="96"/>
                <w:vertAlign w:val="superscript"/>
              </w:rPr>
              <w:t>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28"/>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760" w:type="dxa"/>
            <w:vAlign w:val="bottom"/>
            <w:tcBorders>
              <w:right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88%</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Greater than ($35M)</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TORQ U.S. Launch</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3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iFuse  Bedrock  Granite  U.S.</w:t>
            </w:r>
          </w:p>
        </w:tc>
        <w:tc>
          <w:tcPr>
            <w:tcW w:w="1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w w:val="98"/>
              </w:rPr>
              <w:t>N/A</w:t>
            </w:r>
            <w:r>
              <w:rPr>
                <w:rFonts w:ascii="Times New Roman" w:cs="Times New Roman" w:eastAsia="Times New Roman" w:hAnsi="Times New Roman"/>
                <w:sz w:val="22"/>
                <w:szCs w:val="22"/>
                <w:color w:val="auto"/>
                <w:w w:val="98"/>
                <w:vertAlign w:val="superscript"/>
              </w:rPr>
              <w:t>2</w:t>
            </w:r>
          </w:p>
        </w:tc>
        <w:tc>
          <w:tcPr>
            <w:tcW w:w="2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50%</w:t>
            </w:r>
          </w:p>
        </w:tc>
        <w:tc>
          <w:tcPr>
            <w:tcW w:w="1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15%</w:t>
            </w:r>
          </w:p>
        </w:tc>
        <w:tc>
          <w:tcPr>
            <w:tcW w:w="156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7.50%</w:t>
            </w:r>
          </w:p>
        </w:tc>
      </w:tr>
      <w:tr>
        <w:trPr>
          <w:trHeight w:val="234"/>
        </w:trPr>
        <w:tc>
          <w:tcPr>
            <w:tcW w:w="2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Launch</w:t>
            </w:r>
          </w:p>
        </w:tc>
        <w:tc>
          <w:tcPr>
            <w:tcW w:w="17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43"/>
        </w:trPr>
        <w:tc>
          <w:tcPr>
            <w:tcW w:w="23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86.27%</w:t>
            </w:r>
          </w:p>
        </w:tc>
      </w:tr>
    </w:tbl>
    <w:p>
      <w:pPr>
        <w:spacing w:after="0" w:line="360" w:lineRule="exact"/>
        <w:rPr>
          <w:sz w:val="20"/>
          <w:szCs w:val="20"/>
          <w:color w:val="auto"/>
        </w:rPr>
      </w:pPr>
    </w:p>
    <w:p>
      <w:pPr>
        <w:ind w:left="280" w:hanging="272"/>
        <w:spacing w:after="0"/>
        <w:tabs>
          <w:tab w:leader="none" w:pos="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aggregate add-back of $2.2M in identified case revenue that were deferred in Q3 and Q4 related to COVID-19.</w:t>
      </w:r>
    </w:p>
    <w:p>
      <w:pPr>
        <w:spacing w:after="0" w:line="36" w:lineRule="exact"/>
        <w:rPr>
          <w:rFonts w:ascii="Times New Roman" w:cs="Times New Roman" w:eastAsia="Times New Roman" w:hAnsi="Times New Roman"/>
          <w:sz w:val="18"/>
          <w:szCs w:val="18"/>
          <w:color w:val="auto"/>
        </w:rPr>
      </w:pPr>
    </w:p>
    <w:p>
      <w:pPr>
        <w:jc w:val="both"/>
        <w:ind w:left="340" w:hanging="332"/>
        <w:spacing w:after="0" w:line="289" w:lineRule="auto"/>
        <w:tabs>
          <w:tab w:leader="none" w:pos="2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attain U.S. launch for iFuse Bedrock Granite in 2021 due to supply chain constraints related to the COVID-19 pandemic. However, because of the FDA's designation of iFuse Bedrock Granite as a Breakthrough Device in November 2021, the Compensation Committee determined to award 50% achievement on this metric.</w:t>
      </w:r>
    </w:p>
    <w:p>
      <w:pPr>
        <w:spacing w:after="0" w:line="19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Compensation Committee determined that, based on our actual performance with respect to each corporate performance measure, the corporate performance objectives had been achieved, in the aggregate, at an 86.27% level. Accordingly, the Compensation Committee approved bonus payments as follows for our Named Executive Officers and our Executive Chairman:</w:t>
      </w:r>
    </w:p>
    <w:p>
      <w:pPr>
        <w:spacing w:after="0" w:line="209"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196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Named Executive</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Annual</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Bonus Achievement</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 Cash</w:t>
            </w:r>
          </w:p>
        </w:tc>
      </w:tr>
      <w:tr>
        <w:trPr>
          <w:trHeight w:val="203"/>
        </w:trPr>
        <w:tc>
          <w:tcPr>
            <w:tcW w:w="1960" w:type="dxa"/>
            <w:vAlign w:val="bottom"/>
            <w:tcBorders>
              <w:left w:val="single" w:sz="8" w:color="auto"/>
              <w:right w:val="single" w:sz="8" w:color="auto"/>
            </w:tcBorders>
          </w:tcPr>
          <w:p>
            <w:pPr>
              <w:ind w:left="700"/>
              <w:spacing w:after="0" w:line="202" w:lineRule="exact"/>
              <w:rPr>
                <w:sz w:val="20"/>
                <w:szCs w:val="20"/>
                <w:color w:val="auto"/>
              </w:rPr>
            </w:pPr>
            <w:r>
              <w:rPr>
                <w:rFonts w:ascii="Times New Roman" w:cs="Times New Roman" w:eastAsia="Times New Roman" w:hAnsi="Times New Roman"/>
                <w:sz w:val="18"/>
                <w:szCs w:val="18"/>
                <w:b w:val="1"/>
                <w:bCs w:val="1"/>
                <w:color w:val="auto"/>
              </w:rPr>
              <w:t>Officer</w:t>
            </w:r>
          </w:p>
        </w:tc>
        <w:tc>
          <w:tcPr>
            <w:tcW w:w="14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Cash Bonus</w:t>
            </w:r>
          </w:p>
        </w:tc>
        <w:tc>
          <w:tcPr>
            <w:tcW w:w="16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Bonus Payment</w:t>
            </w:r>
          </w:p>
        </w:tc>
      </w:tr>
      <w:tr>
        <w:trPr>
          <w:trHeight w:val="238"/>
        </w:trPr>
        <w:tc>
          <w:tcPr>
            <w:tcW w:w="1960" w:type="dxa"/>
            <w:vAlign w:val="bottom"/>
            <w:tcBorders>
              <w:left w:val="single" w:sz="8" w:color="auto"/>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Opportunity</w:t>
            </w:r>
          </w:p>
        </w:tc>
        <w:tc>
          <w:tcPr>
            <w:tcW w:w="16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Laura Francis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$408,995</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86.27%</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$352,840</w:t>
            </w:r>
          </w:p>
        </w:tc>
      </w:tr>
      <w:tr>
        <w:trPr>
          <w:trHeight w:val="22"/>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$126,136</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86.27%</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$108,818</w:t>
            </w:r>
          </w:p>
        </w:tc>
      </w:tr>
      <w:tr>
        <w:trPr>
          <w:trHeight w:val="22"/>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Anthony Recupero</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$286,980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86.27%</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$247,578</w:t>
            </w:r>
          </w:p>
        </w:tc>
      </w:tr>
      <w:tr>
        <w:trPr>
          <w:trHeight w:val="22"/>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Jeffrey Dunn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$401,470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86.27%</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$346,345</w:t>
            </w:r>
          </w:p>
        </w:tc>
      </w:tr>
      <w:tr>
        <w:trPr>
          <w:trHeight w:val="22"/>
        </w:trPr>
        <w:tc>
          <w:tcPr>
            <w:tcW w:w="1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cash bonuses paid to our Named Executive Officers for 2021 are set forth in the “2021 Summary Compensation Table” below.</w:t>
      </w:r>
    </w:p>
    <w:p>
      <w:pPr>
        <w:sectPr>
          <w:pgSz w:w="11900" w:h="16838" w:orient="portrait"/>
          <w:cols w:equalWidth="0" w:num="1">
            <w:col w:w="11240"/>
          </w:cols>
          <w:pgMar w:left="320" w:top="78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240"/>
          </w:cols>
          <w:pgMar w:left="320" w:top="783" w:right="339" w:bottom="1440" w:gutter="0" w:footer="0" w:header="0"/>
          <w:type w:val="continuous"/>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2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The Compensation Committee views equity awards, whether the awards are subject to time-based vesting requirements or are to be earned based on the attainment of specific performance objectives, are inherently variable since the grant date fair value of these awards may not necessarily be indicative of their value when, and if, the shares of our common stock underlying these awards are ever earned or purchased. The Compensation Committee further believes these awards enable us to attract and retain key talent in our industry and aligns our executive officers’ interests with the long-term interests of our stockholders.</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Generally, in determining the size of the equity awards granted to our executive officers the Compensation Committee takes into consideration the recommendations of our CEO and Executive Chairman (except with respect to their own respective equity awards),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January 2021, the Compensation Committee approved equity awards for our Named Executive Officers. In determining the amount of each Named Executive Officer’s equity award, the Compensation Committee took into consideration the recommendations of our then-serving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 In April 2021, the Board approved equity awards to Mr. Maheshwari upon his joining the company.</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These equity awards consisted of RSU awards that may be settled for shares of our common stock. The Compensation Committee also granted additional equity awards to Ms. Francis and Mr. Recupero in conjunction with their promotions during 2021. The equity awards granted to our Named Executive Officers in 2021 were as follows:</w:t>
      </w:r>
    </w:p>
    <w:p>
      <w:pPr>
        <w:spacing w:after="0" w:line="230" w:lineRule="exact"/>
        <w:rPr>
          <w:sz w:val="20"/>
          <w:szCs w:val="20"/>
          <w:color w:val="auto"/>
        </w:rPr>
      </w:pPr>
    </w:p>
    <w:tbl>
      <w:tblPr>
        <w:tblLayout w:type="fixed"/>
        <w:tblInd w:w="670" w:type="dxa"/>
        <w:tblCellMar>
          <w:top w:w="0" w:type="dxa"/>
          <w:left w:w="0" w:type="dxa"/>
          <w:bottom w:w="0" w:type="dxa"/>
          <w:right w:w="0" w:type="dxa"/>
        </w:tblCellMar>
      </w:tblPr>
      <w:tr>
        <w:trPr>
          <w:trHeight w:val="263"/>
        </w:trPr>
        <w:tc>
          <w:tcPr>
            <w:tcW w:w="3260" w:type="dxa"/>
            <w:vAlign w:val="bottom"/>
            <w:tcBorders>
              <w:top w:val="single" w:sz="8" w:color="auto"/>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Restricted Stock Units</w:t>
            </w:r>
          </w:p>
        </w:tc>
      </w:tr>
      <w:tr>
        <w:trPr>
          <w:trHeight w:val="256"/>
        </w:trPr>
        <w:tc>
          <w:tcPr>
            <w:tcW w:w="3260" w:type="dxa"/>
            <w:vAlign w:val="bottom"/>
            <w:tcBorders>
              <w:left w:val="single" w:sz="8" w:color="auto"/>
              <w:bottom w:val="single" w:sz="8" w:color="auto"/>
              <w:right w:val="single" w:sz="8" w:color="auto"/>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Laura Francis</w:t>
            </w:r>
            <w:r>
              <w:rPr>
                <w:rFonts w:ascii="Times New Roman" w:cs="Times New Roman" w:eastAsia="Times New Roman" w:hAnsi="Times New Roman"/>
                <w:sz w:val="23"/>
                <w:szCs w:val="23"/>
                <w:color w:val="auto"/>
                <w:vertAlign w:val="superscript"/>
              </w:rPr>
              <w:t>1</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82,244</w:t>
            </w:r>
          </w:p>
        </w:tc>
      </w:tr>
      <w:tr>
        <w:trPr>
          <w:trHeight w:val="250"/>
        </w:trPr>
        <w:tc>
          <w:tcPr>
            <w:tcW w:w="32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Anshul Maheshwari</w:t>
            </w:r>
            <w:r>
              <w:rPr>
                <w:rFonts w:ascii="Times New Roman" w:cs="Times New Roman" w:eastAsia="Times New Roman" w:hAnsi="Times New Roman"/>
                <w:sz w:val="23"/>
                <w:szCs w:val="23"/>
                <w:color w:val="auto"/>
                <w:vertAlign w:val="superscript"/>
              </w:rPr>
              <w:t>2</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38,240</w:t>
            </w:r>
          </w:p>
        </w:tc>
      </w:tr>
      <w:tr>
        <w:trPr>
          <w:trHeight w:val="250"/>
        </w:trPr>
        <w:tc>
          <w:tcPr>
            <w:tcW w:w="32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Anthony Recupero</w:t>
            </w:r>
            <w:r>
              <w:rPr>
                <w:rFonts w:ascii="Times New Roman" w:cs="Times New Roman" w:eastAsia="Times New Roman" w:hAnsi="Times New Roman"/>
                <w:sz w:val="23"/>
                <w:szCs w:val="23"/>
                <w:color w:val="auto"/>
                <w:vertAlign w:val="superscript"/>
              </w:rPr>
              <w:t>3</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59,552</w:t>
            </w:r>
          </w:p>
        </w:tc>
      </w:tr>
      <w:tr>
        <w:trPr>
          <w:trHeight w:val="250"/>
        </w:trPr>
        <w:tc>
          <w:tcPr>
            <w:tcW w:w="32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Jeffrey Dunn</w:t>
            </w:r>
            <w:r>
              <w:rPr>
                <w:rFonts w:ascii="Times New Roman" w:cs="Times New Roman" w:eastAsia="Times New Roman" w:hAnsi="Times New Roman"/>
                <w:sz w:val="23"/>
                <w:szCs w:val="23"/>
                <w:color w:val="auto"/>
                <w:vertAlign w:val="superscript"/>
              </w:rPr>
              <w:t>4</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126,000 (63,000 forfeited in April 2021)</w:t>
            </w:r>
          </w:p>
        </w:tc>
      </w:tr>
    </w:tbl>
    <w:p>
      <w:pPr>
        <w:spacing w:after="0" w:line="319" w:lineRule="exact"/>
        <w:rPr>
          <w:sz w:val="20"/>
          <w:szCs w:val="20"/>
          <w:color w:val="auto"/>
        </w:rPr>
      </w:pPr>
    </w:p>
    <w:p>
      <w:pPr>
        <w:ind w:left="340" w:hanging="332"/>
        <w:spacing w:after="0" w:line="276" w:lineRule="auto"/>
        <w:tabs>
          <w:tab w:leader="none" w:pos="29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49,280 shares granted on January 5, 2021, 100 shares granted on March 4, 2021, and 32,864 shares granted on April 18, 2021, in conjunction with Ms. Francis’ promotion to CEO.</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April 21, 2021, in conjunction with Mr. Maheshwari’s hiring.</w:t>
      </w:r>
    </w:p>
    <w:p>
      <w:pPr>
        <w:spacing w:after="0" w:line="22" w:lineRule="exact"/>
        <w:rPr>
          <w:rFonts w:ascii="Times New Roman" w:cs="Times New Roman" w:eastAsia="Times New Roman" w:hAnsi="Times New Roman"/>
          <w:sz w:val="18"/>
          <w:szCs w:val="18"/>
          <w:color w:val="auto"/>
        </w:rPr>
      </w:pPr>
    </w:p>
    <w:p>
      <w:pPr>
        <w:ind w:left="340" w:hanging="332"/>
        <w:spacing w:after="0" w:line="273" w:lineRule="auto"/>
        <w:tabs>
          <w:tab w:leader="none" w:pos="2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49,280 shares granted on January 5, 2021, and 10,272 shares granted on April 19, 2021, in conjunction with Mr. Recupero’s promotion to President, Commercial Operations.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Dunn forfeited 50% of this award in conjunction with his transition to Executive Chairman.</w:t>
      </w:r>
    </w:p>
    <w:p>
      <w:pPr>
        <w:spacing w:after="0" w:line="261"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RSU awards granted to our Named Executive Officers in January and April 2021 were subject to a time-based vesting requirement providing that these awards are to vest quarterly over four years, assuming the continued service of the executive officers on each such vesting date.</w:t>
      </w:r>
    </w:p>
    <w:p>
      <w:pPr>
        <w:spacing w:after="0" w:line="176"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number and value of equity awards granted to our Named Executive Officers in 2021 are set forth in the “2021 Summary Compensation Table” and the “2021 Grants of Plan-Based Awards Table” below.</w:t>
      </w:r>
    </w:p>
    <w:p>
      <w:pPr>
        <w:spacing w:after="0" w:line="20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We adopted a new long-term incentive compensation structure for 2022, in which certain Named Executive Officers receive a combination of restricted stock units and performance share units. Details of the 2022 performance share program are set forth in the “Overview” section above.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40"/>
          </w:cols>
          <w:pgMar w:left="320" w:top="781"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i w:val="1"/>
          <w:iCs w:val="1"/>
          <w:color w:val="auto"/>
        </w:rPr>
        <w:t>Welfare and Health Benefits</w:t>
      </w:r>
    </w:p>
    <w:p>
      <w:pPr>
        <w:spacing w:after="0" w:line="2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provide medical and life insurance benefits to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These benefits are provided on the same basis as all of our full-time employees, therefore are excluded from the Summary Compensation table. We also provide vacation and other paid holidays to all employees, including our executive officers. We do not offer our employees a non-qualified deferred compensation plan or pension plan.</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2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2021, none of the Named Executive Officers received perquisites or other personal benefits that were, in the aggregate, $10,000 or more for such Named Executive Officer.</w:t>
      </w:r>
    </w:p>
    <w:p>
      <w:pPr>
        <w:spacing w:after="0" w:line="2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SI-BONE, Inc. Severance Benefit Plan</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On July 16, 2020, the Compensation Committee of our Board of Directors of SI-BONE, Inc. adopted the SI-BONE, Inc. Severance Benefit Plan (the “Severance Plan”), and form of Participation Agreement for use with the Severance Plan, pursuant to which participants in the Severance Plan, including our Named Executive Officers, will receive severance benefits if we terminate the participant’s employment with us without “cause” or the participant resigns his or her employment for “good reason” within three months prior to, or within 12 months following, a “change in control” of SI-BONE (as such terms are defined in the Severance Plan). In addition, our Executive Chairman, Jeffrey Dunn, will receive benefits under the Severance Plan if the closing of a “change in control” occurs and he agrees to provide transition services to us on a full-time basis for up to six months following the “change in control.” Participants in the Severance Plan are those employees that have been designated as participants by the Board of Directors or Compensation Committee as participants in the Severance Plan and who have signed a Participation Agreement. All of our Named Executive Officers have been designated as participants in the Severance Plan.</w:t>
      </w:r>
    </w:p>
    <w:p>
      <w:pPr>
        <w:spacing w:after="0" w:line="2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Severance payments to our Named Executive Officers in connection with a change in control are as follows: (1) a lump sum cash payment equal to 12 months base salary (24 months in the case of Mr. Dunn), (2) a lump sum cash payment of the then current annual target cash bonus (1.5 times annual target cash bonus in the case of Mr. Dunn), (3) COBRA coverage for 12 months (24 months in the case of Mr. Dunn), (4) full acceleration of vesting of all equity awards, and (5) extension of the post-termination exercise period to two years (or the closing of the change in control if provided in the equity award or change in control agreement). On April 18, 2021, in connection with Ms. Francis becoming Chief Executive Officer, the Board of Directors approved augmenting her severance payments in connection with a change in control to include: a lump sum cash payment equal to 18 months base salary and a lump sum cash payment of 1.5 times the then current annual target cash bonus.</w:t>
      </w:r>
    </w:p>
    <w:p>
      <w:pPr>
        <w:spacing w:after="0" w:line="2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in the event SI-BONE terminates the employment of an executive officer without cause other than within three months prior to or 12 months following a change in control, the executive officer will receive severance payments as follows: (1) a lump sum cash payment equal to 12 months base salary, and COBRA coverage for 12 months.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obtain benefits under the Severance Plan the participant must sign and deliver to SI-BONE a release of liability in favor of SI-BONE.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40"/>
          </w:cols>
          <w:pgMar w:left="320" w:top="78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offer letters with each of our Named Executive Officers. The offer letters generally provide for at-will employment and set forth the executive officer’s initial base salary, eligibility for employee benefits and confirmation of the terms of previously issued equity grants, including in some cases severance benefits on a qualifying termination of employment. In addition, each of our executive officers has executed our standard proprietary information and inventions agreement. With the exception of Mr. Dunn, as described further below, any severance provisions of the Named Executive Officers’ offer letters were superseded by the Severance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2021, we entered into new or modified offer letters with two of our Named Executive Officers, as described below.</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Anshul Maheshwari</w:t>
      </w:r>
    </w:p>
    <w:p>
      <w:pPr>
        <w:spacing w:after="0" w:line="25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April 2021, we entered into an offer letter with Mr. Maheshwari, which provides for a $400,000 annual base salary, a target bonus of up to 45% of his base salary, and a grant of 38,240 RSUs. The offer letter also provides for a sign-on bonus of $75,000 and eligibility to participate in the Severance Plan.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Jeffrey W. Dunn</w:t>
      </w:r>
    </w:p>
    <w:p>
      <w:pPr>
        <w:spacing w:after="0" w:line="2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January 2021, we entered into amendment of Mr. Dunn’s 2009 offer letter and severance plan participation agreement, pursuant to which upon the transition effective on the earlier of either the hiring of a new Chief Financial Officer or May 1, 2021, (a) Mr. Dunn would become Executive Chairman and his time commitment to us would be reduced to 50% of his full working time prior to the transition; (b) Mr. Dunn would serve in the capacity of Executive Chairman until the earlier of the date on which the Board determines that he shall no longer serve in such capacity and May 1, 2023, at which point his employment with us would end and Mr. Dunn would transition to our non-Executive Chairman; (c) Mr. Dunn’s base salary would be $309,000 per year, which is fifty percent (50%) of his base salary immediately preceding the transition, and his target annual bonus would be 100% of base salary, and (d) 50% of the unvested portion of the equity award granted to Mr. Dunn on January 5, 2021 was forfeited. This amendment took effect upon Mr. Maheshwari’s start date with the company.</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October 2021, we entered into a second amendment to Mr. Dunn’s offer letter and severance plan participation agreement, in which we eliminated Mr. Dunn’s ability to receive “single trigger” cash severance benefits upon a change in control and specified that he would receive such benefits only upon a Covered Termination occurring during the Change in Control Period (each as defined in the Severance Plan). This second amendment also modifies the definition of “Good Reason” to be triggered with respect to Mr. Dunn if he ceases to be Chairman of the Board during the Change in Control Period or, following a change in control, the chairman of the board of the successor entity.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Ownership Policy</w:t>
      </w:r>
    </w:p>
    <w:p>
      <w:pPr>
        <w:spacing w:after="0" w:line="2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believe that stock ownership by our executive officers, including our Named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current ownership requirements are as follows: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500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Minimum Required Level of Stock Ownership</w:t>
            </w:r>
          </w:p>
        </w:tc>
      </w:tr>
      <w:tr>
        <w:trPr>
          <w:trHeight w:val="234"/>
        </w:trPr>
        <w:tc>
          <w:tcPr>
            <w:tcW w:w="5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4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equivalent to three times annual salary</w:t>
            </w:r>
          </w:p>
        </w:tc>
      </w:tr>
      <w:tr>
        <w:trPr>
          <w:trHeight w:val="22"/>
        </w:trPr>
        <w:tc>
          <w:tcPr>
            <w:tcW w:w="5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 Executive Officers</w:t>
            </w:r>
          </w:p>
        </w:tc>
        <w:tc>
          <w:tcPr>
            <w:tcW w:w="4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equivalent to annual salary</w:t>
            </w:r>
          </w:p>
        </w:tc>
      </w:tr>
      <w:tr>
        <w:trPr>
          <w:trHeight w:val="22"/>
        </w:trPr>
        <w:tc>
          <w:tcPr>
            <w:tcW w:w="5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80" w:type="dxa"/>
            <w:vAlign w:val="bottom"/>
            <w:tcBorders>
              <w:bottom w:val="single" w:sz="8" w:color="auto"/>
              <w:right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Shares that count toward satisfaction of these ownership requirements include shares owned by the executive, including shares purchased on the open market. Unexercised options and unvested RSUs and PSUs do not count toward these ownership requirements. Executives have five years to comply with the applicable stock ownership requirement.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240"/>
          </w:cols>
          <w:pgMar w:left="320" w:top="995" w:right="339" w:bottom="1440" w:gutter="0" w:footer="0" w:header="0"/>
        </w:sectPr>
      </w:pPr>
    </w:p>
    <w:bookmarkStart w:id="46" w:name="page47"/>
    <w:bookmarkEnd w:id="46"/>
    <w:p>
      <w:pPr>
        <w:jc w:val="both"/>
        <w:spacing w:after="0" w:line="297" w:lineRule="auto"/>
        <w:rPr>
          <w:sz w:val="20"/>
          <w:szCs w:val="20"/>
          <w:color w:val="auto"/>
        </w:rPr>
      </w:pPr>
      <w:r>
        <w:rPr>
          <w:rFonts w:ascii="Times New Roman" w:cs="Times New Roman" w:eastAsia="Times New Roman" w:hAnsi="Times New Roman"/>
          <w:sz w:val="18"/>
          <w:szCs w:val="18"/>
          <w:color w:val="auto"/>
        </w:rPr>
        <w:t>As of the end of fiscal 2021, our CEO and each of our other Named Executive Officers had satisfied his or her required stock ownership level or were on track to do so.</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Recoupment Policy</w:t>
      </w:r>
    </w:p>
    <w:p>
      <w:pPr>
        <w:spacing w:after="0" w:line="2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2021, the company adopted a clawback policy providing that, if the company is required to prepare an accounting restatement for any quarter or year commencing after adoption of the policy, we shall recover from any current executive officer the full amount of the difference between any cash or equity incentive compensation based in whole or in part on the attainment of a financial reporting measure that was received by the executive officer and that the executive officer would have been entitled to had the financial statements been properly reported. In addition, if a current or former executive officer’s misconduct contributed to the obligation to restate our financial statements, we may recover for three years from the date we were required to prepare an accounting restatement the excess incentive compensation paid to that executive officer and recoup excess sales proceeds from the sale of any shares of our stock acquired pursuant to an award granted under our equity incentive plans.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Hedging and Pledging Policies</w:t>
      </w:r>
    </w:p>
    <w:p>
      <w:pPr>
        <w:spacing w:after="0" w:line="281"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Under our Insider Trading Policy, no director, employee or consultant to SI-BONE may engage in short sales, transactions in put or call options, hedging transactions, margin accounts, pledges, or other inherently speculative transactions with respect to our stock at any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8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Compensation Committee takes the applicable tax and accounting requirements into consideration in designing and overseeing our executive compensation program.</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2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federal income tax purposes, publicly traded companies may be prohibited from deducting employee remuneration in excess of $1 million paid to certain “covered employees,” which may include certain Named Executive Officers, including, but not limited to, our Chief Executive Officer and Chief Financial Officer, under Section 162(m) of the Internal Revenue Code (the “Code”). Even if Section 162(m) may limit the compensation deduction, our Board of Directors and the Compensation Committee believe our compensation policies and practices should be designed to help us meet our established goals and objectives. While the Compensation Committee will consider the impact of the Section 162(m) deduction limitation, it intends to continue to compensate our executive officers, including our Named Executive Officers, in a manner that is in the best interest of our stockholders and reserves the right to make compensation decisions that may not be deductible under Section 162(m) where the Compensation Committee determines the compensation to be appropriate and in the best interests of the company and our stockholders.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Section 409A Considerations</w:t>
      </w:r>
    </w:p>
    <w:p>
      <w:pPr>
        <w:spacing w:after="0" w:line="2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Section 409A of the Code affects the manner by which deferred compensation opportunities are offered to our employees because Section 409A requires, among other things, that “non-qualified deferred compensation” be structured in a manner that limits employees’ ability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240"/>
          </w:cols>
          <w:pgMar w:left="320" w:top="78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for the fiscal years ended 2021 and 2020 compensation awarded to or paid to, or earned by, our Named Executive Officers.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2"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2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80" w:type="dxa"/>
            <w:vAlign w:val="bottom"/>
          </w:tcPr>
          <w:p>
            <w:pPr>
              <w:spacing w:after="0"/>
              <w:rPr>
                <w:sz w:val="2"/>
                <w:szCs w:val="2"/>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80" w:type="dxa"/>
            <w:vAlign w:val="bottom"/>
          </w:tcPr>
          <w:p>
            <w:pPr>
              <w:spacing w:after="0"/>
              <w:rPr>
                <w:sz w:val="2"/>
                <w:szCs w:val="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80" w:type="dxa"/>
            <w:vAlign w:val="bottom"/>
          </w:tcPr>
          <w:p>
            <w:pPr>
              <w:spacing w:after="0"/>
              <w:rPr>
                <w:sz w:val="2"/>
                <w:szCs w:val="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Awards</w:t>
            </w:r>
            <w:r>
              <w:rPr>
                <w:rFonts w:ascii="Times New Roman" w:cs="Times New Roman" w:eastAsia="Times New Roman" w:hAnsi="Times New Roman"/>
                <w:sz w:val="21"/>
                <w:szCs w:val="21"/>
                <w:b w:val="1"/>
                <w:bCs w:val="1"/>
                <w:color w:val="auto"/>
                <w:w w:val="94"/>
                <w:vertAlign w:val="superscript"/>
              </w:rPr>
              <w:t>(1)</w:t>
            </w: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7"/>
              </w:rPr>
              <w:t>Compensation</w:t>
            </w:r>
            <w:r>
              <w:rPr>
                <w:rFonts w:ascii="Times New Roman" w:cs="Times New Roman" w:eastAsia="Times New Roman" w:hAnsi="Times New Roman"/>
                <w:sz w:val="21"/>
                <w:szCs w:val="21"/>
                <w:b w:val="1"/>
                <w:bCs w:val="1"/>
                <w:color w:val="auto"/>
                <w:w w:val="97"/>
                <w:vertAlign w:val="superscript"/>
              </w:rPr>
              <w:t>(2)</w:t>
            </w: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shd w:val="clear" w:color="auto" w:fill="CCEEFF"/>
          </w:tcPr>
          <w:p>
            <w:pPr>
              <w:ind w:left="60"/>
              <w:spacing w:after="0" w:line="210" w:lineRule="exact"/>
              <w:rPr>
                <w:sz w:val="20"/>
                <w:szCs w:val="20"/>
                <w:color w:val="auto"/>
              </w:rPr>
            </w:pPr>
            <w:r>
              <w:rPr>
                <w:rFonts w:ascii="Times New Roman" w:cs="Times New Roman" w:eastAsia="Times New Roman" w:hAnsi="Times New Roman"/>
                <w:sz w:val="16"/>
                <w:szCs w:val="16"/>
                <w:color w:val="auto"/>
              </w:rPr>
              <w:t>Jeffrey W. Dunn</w:t>
            </w:r>
            <w:r>
              <w:rPr>
                <w:rFonts w:ascii="Times New Roman" w:cs="Times New Roman" w:eastAsia="Times New Roman" w:hAnsi="Times New Roman"/>
                <w:sz w:val="21"/>
                <w:szCs w:val="21"/>
                <w:color w:val="auto"/>
                <w:vertAlign w:val="superscript"/>
              </w:rPr>
              <w:t>(3)</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401,466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3,599,820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4,347,631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Executive Chairman and Director</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3,119,260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4,218,458</w:t>
            </w:r>
          </w:p>
        </w:tc>
        <w:tc>
          <w:tcPr>
            <w:tcW w:w="0" w:type="dxa"/>
            <w:vAlign w:val="bottom"/>
          </w:tcPr>
          <w:p>
            <w:pPr>
              <w:spacing w:after="0"/>
              <w:rPr>
                <w:sz w:val="1"/>
                <w:szCs w:val="1"/>
                <w:color w:val="auto"/>
              </w:rPr>
            </w:pPr>
          </w:p>
        </w:tc>
      </w:tr>
      <w:tr>
        <w:trPr>
          <w:trHeight w:val="430"/>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Laura A. Francis</w:t>
            </w:r>
            <w:r>
              <w:rPr>
                <w:rFonts w:ascii="Times New Roman" w:cs="Times New Roman" w:eastAsia="Times New Roman" w:hAnsi="Times New Roman"/>
                <w:sz w:val="21"/>
                <w:szCs w:val="21"/>
                <w:color w:val="auto"/>
                <w:vertAlign w:val="superscript"/>
              </w:rPr>
              <w:t>(3)</w:t>
            </w: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526,902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2,550,899</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352,840</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3,430,641</w:t>
            </w:r>
          </w:p>
        </w:tc>
        <w:tc>
          <w:tcPr>
            <w:tcW w:w="0" w:type="dxa"/>
            <w:vAlign w:val="bottom"/>
          </w:tcPr>
          <w:p>
            <w:pPr>
              <w:spacing w:after="0"/>
              <w:rPr>
                <w:sz w:val="1"/>
                <w:szCs w:val="1"/>
                <w:color w:val="auto"/>
              </w:rPr>
            </w:pPr>
          </w:p>
        </w:tc>
      </w:tr>
      <w:tr>
        <w:trPr>
          <w:trHeight w:val="212"/>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386,250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1,182,985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209,517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1,778,752</w:t>
            </w:r>
          </w:p>
        </w:tc>
        <w:tc>
          <w:tcPr>
            <w:tcW w:w="0" w:type="dxa"/>
            <w:vAlign w:val="bottom"/>
          </w:tcPr>
          <w:p>
            <w:pPr>
              <w:spacing w:after="0"/>
              <w:rPr>
                <w:sz w:val="1"/>
                <w:szCs w:val="1"/>
                <w:color w:val="auto"/>
              </w:rPr>
            </w:pPr>
          </w:p>
        </w:tc>
      </w:tr>
      <w:tr>
        <w:trPr>
          <w:trHeight w:val="222"/>
        </w:trPr>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Anthony J. Recupero</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1,764,265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2,430,173</w:t>
            </w:r>
          </w:p>
        </w:tc>
        <w:tc>
          <w:tcPr>
            <w:tcW w:w="0" w:type="dxa"/>
            <w:vAlign w:val="bottom"/>
          </w:tcPr>
          <w:p>
            <w:pPr>
              <w:spacing w:after="0"/>
              <w:rPr>
                <w:sz w:val="1"/>
                <w:szCs w:val="1"/>
                <w:color w:val="auto"/>
              </w:rPr>
            </w:pPr>
          </w:p>
        </w:tc>
      </w:tr>
      <w:tr>
        <w:trPr>
          <w:trHeight w:val="168"/>
        </w:trPr>
        <w:tc>
          <w:tcPr>
            <w:tcW w:w="228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i w:val="1"/>
                <w:iCs w:val="1"/>
                <w:color w:val="auto"/>
              </w:rPr>
              <w:t>President, Commercial</w:t>
            </w:r>
          </w:p>
        </w:tc>
        <w:tc>
          <w:tcPr>
            <w:tcW w:w="8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342,500</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1,187,110</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224,029</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1,753,639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Operations</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Anshul Maheshwari</w:t>
            </w:r>
            <w:r>
              <w:rPr>
                <w:rFonts w:ascii="Times New Roman" w:cs="Times New Roman" w:eastAsia="Times New Roman" w:hAnsi="Times New Roman"/>
                <w:sz w:val="21"/>
                <w:szCs w:val="21"/>
                <w:color w:val="auto"/>
                <w:vertAlign w:val="superscript"/>
              </w:rPr>
              <w:t>(4)</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280,303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1,330,752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108,818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1,719,873</w:t>
            </w:r>
          </w:p>
        </w:tc>
        <w:tc>
          <w:tcPr>
            <w:tcW w:w="0" w:type="dxa"/>
            <w:vAlign w:val="bottom"/>
          </w:tcPr>
          <w:p>
            <w:pPr>
              <w:spacing w:after="0"/>
              <w:rPr>
                <w:sz w:val="1"/>
                <w:szCs w:val="1"/>
                <w:color w:val="auto"/>
              </w:rPr>
            </w:pPr>
          </w:p>
        </w:tc>
      </w:tr>
      <w:tr>
        <w:trPr>
          <w:trHeight w:val="216"/>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2941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51" w:lineRule="exact"/>
        <w:rPr>
          <w:sz w:val="20"/>
          <w:szCs w:val="20"/>
          <w:color w:val="auto"/>
        </w:rPr>
      </w:pPr>
    </w:p>
    <w:p>
      <w:pPr>
        <w:jc w:val="both"/>
        <w:ind w:left="420" w:hanging="372"/>
        <w:spacing w:after="0" w:line="289" w:lineRule="auto"/>
        <w:tabs>
          <w:tab w:leader="none" w:pos="4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restricted stock units granted to the officer, computed in accordance with FASB ASC Topic 718. The fair value of the restricted stock units is based on the market price of our common stock on the date of grant. We did not grant any stock options in 2021.</w:t>
      </w:r>
    </w:p>
    <w:p>
      <w:pPr>
        <w:spacing w:after="0" w:line="197" w:lineRule="exact"/>
        <w:rPr>
          <w:rFonts w:ascii="Times New Roman" w:cs="Times New Roman" w:eastAsia="Times New Roman" w:hAnsi="Times New Roman"/>
          <w:sz w:val="18"/>
          <w:szCs w:val="18"/>
          <w:color w:val="auto"/>
        </w:rPr>
      </w:pPr>
    </w:p>
    <w:p>
      <w:pPr>
        <w:jc w:val="both"/>
        <w:ind w:left="420" w:hanging="372"/>
        <w:spacing w:after="0" w:line="277" w:lineRule="auto"/>
        <w:tabs>
          <w:tab w:leader="none" w:pos="5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payments upon the achievement of 2021 and 2020 corporate goals, as applicable, as well as individual objectives, which were paid in January 2022 and January 2021, respectively. Our corporate goals included revenue growth, gross margin, profitability management and product roadmap milestones. We did not modify these goals during 2021, due to the extent of the ongoing uncertainty for our business related to COVID-19. However, in January 2022, in finalizing the revenue goal for the 2021 bonus compensation, the Compensation Committee modified the metrics for the revenue goal, taking into account the unique and significant impact of COVID-19 on our revenue, as well as our management team’s effective response successfully navigating the pandemic. In addition, the Compensation Committee awarded partial achievement under one of the two product roadmap milestones due to COVID-related supply challenges impacting our second-generation deformity product and exceptional work in other aspects of commercialization of this product.</w:t>
      </w:r>
    </w:p>
    <w:p>
      <w:pPr>
        <w:spacing w:after="0" w:line="208" w:lineRule="exact"/>
        <w:rPr>
          <w:rFonts w:ascii="Times New Roman" w:cs="Times New Roman" w:eastAsia="Times New Roman" w:hAnsi="Times New Roman"/>
          <w:sz w:val="18"/>
          <w:szCs w:val="18"/>
          <w:color w:val="auto"/>
        </w:rPr>
      </w:pPr>
    </w:p>
    <w:p>
      <w:pPr>
        <w:ind w:left="420" w:hanging="372"/>
        <w:spacing w:after="0" w:line="297" w:lineRule="auto"/>
        <w:tabs>
          <w:tab w:leader="none" w:pos="4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Dunn became our Executive Chairman and ceased to be our President and Chief Executive Officer, and Ms. Francis became our Chief Executive Officer, in April 2021.</w:t>
      </w:r>
    </w:p>
    <w:p>
      <w:pPr>
        <w:spacing w:after="0" w:line="203"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Maheshwari became our Chief Financial Officer in April 2021, replacing Ms. Francis in that role.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240"/>
          </w:cols>
          <w:pgMar w:left="320" w:top="123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at December 31, 2021, for our Named Executive Officers:</w:t>
      </w:r>
    </w:p>
    <w:p>
      <w:pPr>
        <w:spacing w:after="0" w:line="269" w:lineRule="exact"/>
        <w:rPr>
          <w:sz w:val="20"/>
          <w:szCs w:val="20"/>
          <w:color w:val="auto"/>
        </w:rPr>
      </w:pPr>
    </w:p>
    <w:tbl>
      <w:tblPr>
        <w:tblLayout w:type="fixed"/>
        <w:tblInd w:w="880" w:type="dxa"/>
        <w:tblCellMar>
          <w:top w:w="0" w:type="dxa"/>
          <w:left w:w="0" w:type="dxa"/>
          <w:bottom w:w="0" w:type="dxa"/>
          <w:right w:w="0" w:type="dxa"/>
        </w:tblCellMar>
      </w:tblPr>
      <w:tr>
        <w:trPr>
          <w:trHeight w:val="217"/>
        </w:trPr>
        <w:tc>
          <w:tcPr>
            <w:tcW w:w="12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8"/>
                <w:szCs w:val="18"/>
                <w:b w:val="1"/>
                <w:bCs w:val="1"/>
                <w:color w:val="auto"/>
                <w:vertAlign w:val="superscript"/>
              </w:rPr>
              <w:t>(1)</w:t>
            </w: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Borders>
              <w:bottom w:val="single" w:sz="8" w:color="auto"/>
            </w:tcBorders>
            <w:gridSpan w:val="3"/>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2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120" w:type="dxa"/>
            <w:vAlign w:val="bottom"/>
          </w:tcPr>
          <w:p>
            <w:pPr>
              <w:spacing w:after="0"/>
              <w:rPr>
                <w:sz w:val="9"/>
                <w:szCs w:val="9"/>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12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Shares or Units of</w:t>
            </w:r>
          </w:p>
        </w:tc>
        <w:tc>
          <w:tcPr>
            <w:tcW w:w="0" w:type="dxa"/>
            <w:vAlign w:val="bottom"/>
          </w:tcPr>
          <w:p>
            <w:pPr>
              <w:spacing w:after="0"/>
              <w:rPr>
                <w:sz w:val="1"/>
                <w:szCs w:val="1"/>
                <w:color w:val="auto"/>
              </w:rPr>
            </w:pPr>
          </w:p>
        </w:tc>
      </w:tr>
      <w:tr>
        <w:trPr>
          <w:trHeight w:val="97"/>
        </w:trPr>
        <w:tc>
          <w:tcPr>
            <w:tcW w:w="1200" w:type="dxa"/>
            <w:vAlign w:val="bottom"/>
          </w:tcPr>
          <w:p>
            <w:pPr>
              <w:spacing w:after="0"/>
              <w:rPr>
                <w:sz w:val="8"/>
                <w:szCs w:val="8"/>
                <w:color w:val="auto"/>
              </w:rPr>
            </w:pPr>
          </w:p>
        </w:tc>
        <w:tc>
          <w:tcPr>
            <w:tcW w:w="13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60" w:type="dxa"/>
            <w:vAlign w:val="bottom"/>
          </w:tcPr>
          <w:p>
            <w:pPr>
              <w:spacing w:after="0"/>
              <w:rPr>
                <w:sz w:val="8"/>
                <w:szCs w:val="8"/>
                <w:color w:val="auto"/>
              </w:rPr>
            </w:pPr>
          </w:p>
        </w:tc>
        <w:tc>
          <w:tcPr>
            <w:tcW w:w="10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9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vMerge w:val="restart"/>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vMerge w:val="continue"/>
          </w:tcPr>
          <w:p>
            <w:pPr>
              <w:spacing w:after="0"/>
              <w:rPr>
                <w:sz w:val="8"/>
                <w:szCs w:val="8"/>
                <w:color w:val="auto"/>
              </w:rPr>
            </w:pPr>
          </w:p>
        </w:tc>
        <w:tc>
          <w:tcPr>
            <w:tcW w:w="12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 Have</w:t>
            </w:r>
          </w:p>
        </w:tc>
        <w:tc>
          <w:tcPr>
            <w:tcW w:w="0" w:type="dxa"/>
            <w:vAlign w:val="bottom"/>
          </w:tcPr>
          <w:p>
            <w:pPr>
              <w:spacing w:after="0"/>
              <w:rPr>
                <w:sz w:val="1"/>
                <w:szCs w:val="1"/>
                <w:color w:val="auto"/>
              </w:rPr>
            </w:pPr>
          </w:p>
        </w:tc>
      </w:tr>
      <w:tr>
        <w:trPr>
          <w:trHeight w:val="52"/>
        </w:trPr>
        <w:tc>
          <w:tcPr>
            <w:tcW w:w="120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0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That Have Not</w:t>
            </w: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Vested</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6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Not Vested</w:t>
            </w:r>
            <w:r>
              <w:rPr>
                <w:rFonts w:ascii="Times New Roman" w:cs="Times New Roman" w:eastAsia="Times New Roman" w:hAnsi="Times New Roman"/>
                <w:sz w:val="17"/>
                <w:szCs w:val="17"/>
                <w:b w:val="1"/>
                <w:bCs w:val="1"/>
                <w:color w:val="auto"/>
                <w:w w:val="96"/>
                <w:vertAlign w:val="superscript"/>
              </w:rPr>
              <w:t>(3)</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60" w:type="dxa"/>
            <w:vAlign w:val="bottom"/>
            <w:gridSpan w:val="2"/>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Unvested </w:t>
            </w:r>
            <w:r>
              <w:rPr>
                <w:rFonts w:ascii="Times New Roman" w:cs="Times New Roman" w:eastAsia="Times New Roman" w:hAnsi="Times New Roman"/>
                <w:sz w:val="18"/>
                <w:szCs w:val="18"/>
                <w:b w:val="1"/>
                <w:bCs w:val="1"/>
                <w:color w:val="auto"/>
                <w:w w:val="98"/>
                <w:vertAlign w:val="superscript"/>
              </w:rPr>
              <w:t>(2)</w:t>
            </w:r>
            <w:r>
              <w:rPr>
                <w:rFonts w:ascii="Times New Roman" w:cs="Times New Roman" w:eastAsia="Times New Roman" w:hAnsi="Times New Roman"/>
                <w:sz w:val="14"/>
                <w:szCs w:val="14"/>
                <w:b w:val="1"/>
                <w:bCs w:val="1"/>
                <w:color w:val="auto"/>
                <w:w w:val="98"/>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7"/>
                <w:szCs w:val="17"/>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4"/>
        </w:trPr>
        <w:tc>
          <w:tcPr>
            <w:tcW w:w="1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Jeffrey W. Dunn</w:t>
            </w: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07/21/14</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272,753</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07/21/24</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04/15/15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05/25/25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06/02/16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114,901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07/26/26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09/06/17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126,260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03/01/27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01/15/19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01/15/29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472,651</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1,708,504</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51,194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1,137,019</w:t>
            </w:r>
          </w:p>
        </w:tc>
        <w:tc>
          <w:tcPr>
            <w:tcW w:w="0" w:type="dxa"/>
            <w:vAlign w:val="bottom"/>
          </w:tcPr>
          <w:p>
            <w:pPr>
              <w:spacing w:after="0"/>
              <w:rPr>
                <w:sz w:val="1"/>
                <w:szCs w:val="1"/>
                <w:color w:val="auto"/>
              </w:rPr>
            </w:pPr>
          </w:p>
        </w:tc>
      </w:tr>
      <w:tr>
        <w:trPr>
          <w:trHeight w:val="222"/>
        </w:trPr>
        <w:tc>
          <w:tcPr>
            <w:tcW w:w="1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Laura A. Francis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05/26/15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92,392</w:t>
            </w:r>
          </w:p>
        </w:tc>
        <w:tc>
          <w:tcPr>
            <w:tcW w:w="120" w:type="dxa"/>
            <w:vAlign w:val="bottom"/>
          </w:tcPr>
          <w:p>
            <w:pPr>
              <w:spacing w:after="0"/>
              <w:rPr>
                <w:sz w:val="24"/>
                <w:szCs w:val="24"/>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4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05/25/25</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09/06/17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12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03/01/27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01/15/19</w:t>
            </w:r>
          </w:p>
        </w:tc>
        <w:tc>
          <w:tcPr>
            <w:tcW w:w="11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2,058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13,379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4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01/15/29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158,246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194,338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28,714</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637,738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889,288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638,671</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Anthony J.</w:t>
            </w:r>
          </w:p>
        </w:tc>
        <w:tc>
          <w:tcPr>
            <w:tcW w:w="13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07/05/16</w:t>
            </w:r>
          </w:p>
        </w:tc>
        <w:tc>
          <w:tcPr>
            <w:tcW w:w="1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99,190</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9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4.32</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ind w:left="320"/>
              <w:spacing w:after="0" w:line="162" w:lineRule="exact"/>
              <w:rPr>
                <w:sz w:val="20"/>
                <w:szCs w:val="20"/>
                <w:color w:val="auto"/>
              </w:rPr>
            </w:pPr>
            <w:r>
              <w:rPr>
                <w:rFonts w:ascii="Times New Roman" w:cs="Times New Roman" w:eastAsia="Times New Roman" w:hAnsi="Times New Roman"/>
                <w:sz w:val="16"/>
                <w:szCs w:val="16"/>
                <w:color w:val="auto"/>
              </w:rPr>
              <w:t>07/26/26</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Recupero</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09/06/17</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53,943</w:t>
            </w:r>
          </w:p>
        </w:tc>
        <w:tc>
          <w:tcPr>
            <w:tcW w:w="12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03/01/27</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1200" w:type="dxa"/>
            <w:vAlign w:val="bottom"/>
            <w:shd w:val="clear" w:color="auto" w:fill="CCEEFF"/>
          </w:tcPr>
          <w:p>
            <w:pPr>
              <w:spacing w:after="0"/>
              <w:rPr>
                <w:sz w:val="4"/>
                <w:szCs w:val="4"/>
                <w:color w:val="auto"/>
              </w:rPr>
            </w:pPr>
          </w:p>
        </w:tc>
        <w:tc>
          <w:tcPr>
            <w:tcW w:w="130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80" w:type="dxa"/>
            <w:vAlign w:val="bottom"/>
            <w:gridSpan w:val="2"/>
            <w:vMerge w:val="continue"/>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60" w:type="dxa"/>
            <w:vAlign w:val="bottom"/>
            <w:gridSpan w:val="2"/>
            <w:vMerge w:val="continue"/>
            <w:shd w:val="clear" w:color="auto" w:fill="CCEEFF"/>
          </w:tcPr>
          <w:p>
            <w:pPr>
              <w:spacing w:after="0"/>
              <w:rPr>
                <w:sz w:val="4"/>
                <w:szCs w:val="4"/>
                <w:color w:val="auto"/>
              </w:rPr>
            </w:pPr>
          </w:p>
        </w:tc>
        <w:tc>
          <w:tcPr>
            <w:tcW w:w="12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01/15/19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01/15/29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136,725</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637,738</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889,288</w:t>
            </w:r>
          </w:p>
        </w:tc>
        <w:tc>
          <w:tcPr>
            <w:tcW w:w="0" w:type="dxa"/>
            <w:vAlign w:val="bottom"/>
          </w:tcPr>
          <w:p>
            <w:pPr>
              <w:spacing w:after="0"/>
              <w:rPr>
                <w:sz w:val="1"/>
                <w:szCs w:val="1"/>
                <w:color w:val="auto"/>
              </w:rPr>
            </w:pPr>
          </w:p>
        </w:tc>
      </w:tr>
      <w:tr>
        <w:trPr>
          <w:trHeight w:val="222"/>
        </w:trPr>
        <w:tc>
          <w:tcPr>
            <w:tcW w:w="12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8,988</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199,623</w:t>
            </w:r>
          </w:p>
        </w:tc>
        <w:tc>
          <w:tcPr>
            <w:tcW w:w="0" w:type="dxa"/>
            <w:vAlign w:val="bottom"/>
          </w:tcPr>
          <w:p>
            <w:pPr>
              <w:spacing w:after="0"/>
              <w:rPr>
                <w:sz w:val="1"/>
                <w:szCs w:val="1"/>
                <w:color w:val="auto"/>
              </w:rPr>
            </w:pPr>
          </w:p>
        </w:tc>
      </w:tr>
      <w:tr>
        <w:trPr>
          <w:trHeight w:val="378"/>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Anshul</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38,240</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849,310</w:t>
            </w: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Maheshwari</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259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251" w:lineRule="exact"/>
        <w:rPr>
          <w:sz w:val="20"/>
          <w:szCs w:val="20"/>
          <w:color w:val="auto"/>
        </w:rPr>
      </w:pPr>
    </w:p>
    <w:p>
      <w:pPr>
        <w:ind w:left="420" w:hanging="372"/>
        <w:spacing w:after="0" w:line="297" w:lineRule="auto"/>
        <w:tabs>
          <w:tab w:leader="none" w:pos="5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vests in equal monthly installments over four years commencing on the vesting commencement date specified above, subject to the continued service with us through each relevant vesting date.</w:t>
      </w:r>
    </w:p>
    <w:p>
      <w:pPr>
        <w:spacing w:after="0" w:line="203" w:lineRule="exact"/>
        <w:rPr>
          <w:rFonts w:ascii="Times New Roman" w:cs="Times New Roman" w:eastAsia="Times New Roman" w:hAnsi="Times New Roman"/>
          <w:sz w:val="18"/>
          <w:szCs w:val="18"/>
          <w:color w:val="auto"/>
        </w:rPr>
      </w:pPr>
    </w:p>
    <w:p>
      <w:pPr>
        <w:ind w:left="420" w:hanging="372"/>
        <w:spacing w:after="0" w:line="281" w:lineRule="auto"/>
        <w:tabs>
          <w:tab w:leader="none" w:pos="3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subject to these options are subject to accelerated vesting in the event of a change of control of the company, in the case of Mr. Dunn, and termination of the award recipient’s employment in connection with a change of control of the company in the case of Ms. Francis and Mr. Recupero.</w:t>
      </w:r>
    </w:p>
    <w:p>
      <w:pPr>
        <w:spacing w:after="0" w:line="217" w:lineRule="exact"/>
        <w:rPr>
          <w:rFonts w:ascii="Times New Roman" w:cs="Times New Roman" w:eastAsia="Times New Roman" w:hAnsi="Times New Roman"/>
          <w:sz w:val="18"/>
          <w:szCs w:val="18"/>
          <w:color w:val="auto"/>
        </w:rPr>
      </w:pPr>
    </w:p>
    <w:p>
      <w:pPr>
        <w:ind w:left="420" w:hanging="372"/>
        <w:spacing w:after="0" w:line="297" w:lineRule="auto"/>
        <w:tabs>
          <w:tab w:leader="none" w:pos="3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market value, we assumed a stock price of $22.21, the closing sale price per share of our common stock on December 31, 2021, the last business day of our last fiscal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2021.</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240"/>
          </w:cols>
          <w:pgMar w:left="320" w:top="99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Our Named Executive Officers did not participate in, or earn any benefits under, a nonqualified deferred compensation plan sponsored by us during 2021.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with respect to all of our equity compensation plans in effect as of December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to be</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8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remaining</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issued upon</w:t>
            </w:r>
          </w:p>
        </w:tc>
        <w:tc>
          <w:tcPr>
            <w:tcW w:w="100" w:type="dxa"/>
            <w:vAlign w:val="bottom"/>
          </w:tcPr>
          <w:p>
            <w:pPr>
              <w:spacing w:after="0"/>
              <w:rPr>
                <w:sz w:val="14"/>
                <w:szCs w:val="14"/>
                <w:color w:val="auto"/>
              </w:rPr>
            </w:pPr>
          </w:p>
        </w:tc>
        <w:tc>
          <w:tcPr>
            <w:tcW w:w="14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28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100" w:type="dxa"/>
            <w:vAlign w:val="bottom"/>
          </w:tcPr>
          <w:p>
            <w:pPr>
              <w:spacing w:after="0"/>
              <w:rPr>
                <w:sz w:val="14"/>
                <w:szCs w:val="14"/>
                <w:color w:val="auto"/>
              </w:rPr>
            </w:pPr>
          </w:p>
        </w:tc>
        <w:tc>
          <w:tcPr>
            <w:tcW w:w="14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2280" w:type="dxa"/>
            <w:vAlign w:val="bottom"/>
            <w:gridSpan w:val="2"/>
          </w:tcPr>
          <w:p>
            <w:pPr>
              <w:jc w:val="center"/>
              <w:ind w:right="540"/>
              <w:spacing w:after="0" w:line="162" w:lineRule="exact"/>
              <w:rPr>
                <w:sz w:val="20"/>
                <w:szCs w:val="20"/>
                <w:color w:val="auto"/>
              </w:rPr>
            </w:pPr>
            <w:r>
              <w:rPr>
                <w:rFonts w:ascii="Times New Roman" w:cs="Times New Roman" w:eastAsia="Times New Roman" w:hAnsi="Times New Roman"/>
                <w:sz w:val="16"/>
                <w:szCs w:val="16"/>
                <w:b w:val="1"/>
                <w:bCs w:val="1"/>
                <w:color w:val="auto"/>
              </w:rPr>
              <w:t>issuance under equity</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28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 options and</w:t>
            </w:r>
          </w:p>
        </w:tc>
        <w:tc>
          <w:tcPr>
            <w:tcW w:w="100" w:type="dxa"/>
            <w:vAlign w:val="bottom"/>
          </w:tcPr>
          <w:p>
            <w:pPr>
              <w:spacing w:after="0"/>
              <w:rPr>
                <w:sz w:val="14"/>
                <w:szCs w:val="14"/>
                <w:color w:val="auto"/>
              </w:rPr>
            </w:pPr>
          </w:p>
        </w:tc>
        <w:tc>
          <w:tcPr>
            <w:tcW w:w="14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stock options and</w:t>
            </w:r>
          </w:p>
        </w:tc>
        <w:tc>
          <w:tcPr>
            <w:tcW w:w="228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rPr>
              <w:t>plans (excluding</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awards</w:t>
            </w:r>
          </w:p>
        </w:tc>
        <w:tc>
          <w:tcPr>
            <w:tcW w:w="228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reflected</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4920" w:type="dxa"/>
            <w:vAlign w:val="bottom"/>
            <w:tcBorders>
              <w:bottom w:val="single" w:sz="8" w:color="CCEEFF"/>
            </w:tcBorders>
            <w:gridSpan w:val="2"/>
            <w:vMerge w:val="continue"/>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column (a)</w:t>
            </w:r>
          </w:p>
        </w:tc>
        <w:tc>
          <w:tcPr>
            <w:tcW w:w="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20" w:type="dxa"/>
            <w:vAlign w:val="bottom"/>
          </w:tcPr>
          <w:p>
            <w:pPr>
              <w:spacing w:after="0"/>
              <w:rPr>
                <w:sz w:val="21"/>
                <w:szCs w:val="21"/>
                <w:color w:val="auto"/>
              </w:rPr>
            </w:pPr>
          </w:p>
        </w:tc>
        <w:tc>
          <w:tcPr>
            <w:tcW w:w="4920" w:type="dxa"/>
            <w:vAlign w:val="bottom"/>
            <w:gridSpan w:val="2"/>
            <w:shd w:val="clear" w:color="auto" w:fill="CCEEFF"/>
          </w:tcPr>
          <w:p>
            <w:pPr>
              <w:spacing w:after="0" w:line="252" w:lineRule="exact"/>
              <w:rPr>
                <w:sz w:val="20"/>
                <w:szCs w:val="20"/>
                <w:color w:val="auto"/>
              </w:rPr>
            </w:pPr>
            <w:r>
              <w:rPr>
                <w:rFonts w:ascii="Times New Roman" w:cs="Times New Roman" w:eastAsia="Times New Roman" w:hAnsi="Times New Roman"/>
                <w:sz w:val="18"/>
                <w:szCs w:val="18"/>
                <w:color w:val="auto"/>
              </w:rPr>
              <w:t>Equity compensation plans approved by stockholders</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3,576,035</w:t>
            </w:r>
          </w:p>
        </w:tc>
        <w:tc>
          <w:tcPr>
            <w:tcW w:w="1340" w:type="dxa"/>
            <w:vAlign w:val="bottom"/>
            <w:gridSpan w:val="2"/>
            <w:shd w:val="clear" w:color="auto" w:fill="CCEEFF"/>
          </w:tcPr>
          <w:p>
            <w:pPr>
              <w:jc w:val="right"/>
              <w:spacing w:after="0" w:line="252" w:lineRule="exact"/>
              <w:rPr>
                <w:sz w:val="20"/>
                <w:szCs w:val="20"/>
                <w:color w:val="auto"/>
              </w:rPr>
            </w:pPr>
            <w:r>
              <w:rPr>
                <w:rFonts w:ascii="Times New Roman" w:cs="Times New Roman" w:eastAsia="Times New Roman" w:hAnsi="Times New Roman"/>
                <w:sz w:val="18"/>
                <w:szCs w:val="18"/>
                <w:color w:val="auto"/>
              </w:rPr>
              <w:t>4.91</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right"/>
              <w:ind w:right="200"/>
              <w:spacing w:after="0" w:line="252" w:lineRule="exact"/>
              <w:rPr>
                <w:sz w:val="20"/>
                <w:szCs w:val="20"/>
                <w:color w:val="auto"/>
              </w:rPr>
            </w:pPr>
            <w:r>
              <w:rPr>
                <w:rFonts w:ascii="Times New Roman" w:cs="Times New Roman" w:eastAsia="Times New Roman" w:hAnsi="Times New Roman"/>
                <w:sz w:val="18"/>
                <w:szCs w:val="18"/>
                <w:color w:val="auto"/>
              </w:rPr>
              <w:t xml:space="preserve">4,404,257 </w:t>
            </w:r>
            <w:r>
              <w:rPr>
                <w:rFonts w:ascii="Times New Roman" w:cs="Times New Roman" w:eastAsia="Times New Roman" w:hAnsi="Times New Roman"/>
                <w:sz w:val="23"/>
                <w:szCs w:val="23"/>
                <w:color w:val="auto"/>
                <w:vertAlign w:val="superscript"/>
              </w:rPr>
              <w:t>(3)(4)</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0" w:type="dxa"/>
            <w:vAlign w:val="bottom"/>
          </w:tcPr>
          <w:p>
            <w:pPr>
              <w:spacing w:after="0"/>
              <w:rPr>
                <w:sz w:val="21"/>
                <w:szCs w:val="21"/>
                <w:color w:val="auto"/>
              </w:rPr>
            </w:pPr>
          </w:p>
        </w:tc>
        <w:tc>
          <w:tcPr>
            <w:tcW w:w="4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4,404,257</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20" w:right="160" w:hanging="372"/>
        <w:spacing w:after="0" w:line="297" w:lineRule="auto"/>
        <w:tabs>
          <w:tab w:leader="none" w:pos="4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plans approved by security holders are described in Note 10 to our financial statements included in our Annual Report on Form 10-K for the year ended December 31, 2021.</w:t>
      </w:r>
    </w:p>
    <w:p>
      <w:pPr>
        <w:spacing w:after="0" w:line="54" w:lineRule="exact"/>
        <w:rPr>
          <w:rFonts w:ascii="Times New Roman" w:cs="Times New Roman" w:eastAsia="Times New Roman" w:hAnsi="Times New Roman"/>
          <w:sz w:val="18"/>
          <w:szCs w:val="18"/>
          <w:color w:val="auto"/>
        </w:rPr>
      </w:pPr>
    </w:p>
    <w:p>
      <w:pPr>
        <w:ind w:left="420" w:hanging="372"/>
        <w:spacing w:after="0" w:line="313" w:lineRule="auto"/>
        <w:tabs>
          <w:tab w:leader="none" w:pos="5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includes 1,566,522 shares issuable upon vesting of outstanding awards of restricted stock units, which have no exercise price. Excluding these awards of restricted stock units, the weighted-average exercise price would be $8.73.</w:t>
      </w:r>
    </w:p>
    <w:p>
      <w:pPr>
        <w:spacing w:after="0" w:line="40" w:lineRule="exact"/>
        <w:rPr>
          <w:rFonts w:ascii="Times New Roman" w:cs="Times New Roman" w:eastAsia="Times New Roman" w:hAnsi="Times New Roman"/>
          <w:sz w:val="18"/>
          <w:szCs w:val="18"/>
          <w:color w:val="auto"/>
        </w:rPr>
      </w:pPr>
    </w:p>
    <w:p>
      <w:pPr>
        <w:jc w:val="both"/>
        <w:ind w:left="420" w:hanging="372"/>
        <w:spacing w:after="0" w:line="281" w:lineRule="auto"/>
        <w:tabs>
          <w:tab w:leader="none" w:pos="4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3,520,102 and 884,155 shares of common stock available for issuance under the 2018 Equity Incentive Plan, or the 2018 Plan, and the 2018 Employee Stock Purchase Plan, or the ESPP, respectively, as of December 31, 2021. The shares issuable pursuant to our ESPP are not included in the number of shares to be issued pursuant to rights outstanding and the weighted-average exercise price of such rights as of December 31, 2021, as those numbers are not known.</w:t>
      </w:r>
    </w:p>
    <w:p>
      <w:pPr>
        <w:spacing w:after="0" w:line="70" w:lineRule="exact"/>
        <w:rPr>
          <w:rFonts w:ascii="Times New Roman" w:cs="Times New Roman" w:eastAsia="Times New Roman" w:hAnsi="Times New Roman"/>
          <w:sz w:val="18"/>
          <w:szCs w:val="18"/>
          <w:color w:val="auto"/>
        </w:rPr>
      </w:pPr>
    </w:p>
    <w:p>
      <w:pPr>
        <w:ind w:left="420" w:hanging="372"/>
        <w:spacing w:after="0" w:line="281" w:lineRule="auto"/>
        <w:tabs>
          <w:tab w:leader="none" w:pos="3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for shares available under the 2018 Plan automatically increases on January 1st each year, through and including January 1, 2028, in an amount equal to 5% of the total number of shares of our capital stock outstanding on the last day of the preceding fiscal year, or a lesser number of shares as determined by the Board of Directors. The reserve for shares available under the ESPP automatically increases on January 1st of each year through and including January 1, 2028, in an amount equal to the lesser of (i) 1% of the total number of shares of common stock outstanding on such December 31, (ii) 555,000 shares of common stock, or (iii) a number of shares as determined by the Board prior to the beginning of each year.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240"/>
          </w:cols>
          <w:pgMar w:left="320" w:top="995"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NON-EMPLOYEE BOARD MEMBERS</w:t>
      </w:r>
    </w:p>
    <w:p>
      <w:pPr>
        <w:spacing w:after="0" w:line="243"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2021, certain information with respect to the compensation of all non-employee directors of SI-BONE:</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44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0" w:type="dxa"/>
            <w:vAlign w:val="bottom"/>
          </w:tcPr>
          <w:p>
            <w:pPr>
              <w:spacing w:after="0"/>
              <w:rPr>
                <w:sz w:val="16"/>
                <w:szCs w:val="16"/>
                <w:color w:val="auto"/>
              </w:rPr>
            </w:pPr>
          </w:p>
        </w:tc>
        <w:tc>
          <w:tcPr>
            <w:tcW w:w="17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300" w:type="dxa"/>
            <w:vAlign w:val="bottom"/>
          </w:tcPr>
          <w:p>
            <w:pPr>
              <w:spacing w:after="0"/>
              <w:rPr>
                <w:sz w:val="16"/>
                <w:szCs w:val="16"/>
                <w:color w:val="auto"/>
              </w:rPr>
            </w:pPr>
          </w:p>
        </w:tc>
        <w:tc>
          <w:tcPr>
            <w:tcW w:w="168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80" w:type="dxa"/>
            <w:vAlign w:val="bottom"/>
          </w:tcPr>
          <w:p>
            <w:pPr>
              <w:spacing w:after="0"/>
              <w:rPr>
                <w:sz w:val="16"/>
                <w:szCs w:val="16"/>
                <w:color w:val="auto"/>
              </w:rPr>
            </w:pPr>
          </w:p>
        </w:tc>
        <w:tc>
          <w:tcPr>
            <w:tcW w:w="1300" w:type="dxa"/>
            <w:vAlign w:val="bottom"/>
            <w:vMerge w:val="restart"/>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4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500"/>
              <w:spacing w:after="0" w:line="216" w:lineRule="exact"/>
              <w:rPr>
                <w:sz w:val="20"/>
                <w:szCs w:val="20"/>
                <w:color w:val="auto"/>
              </w:rPr>
            </w:pPr>
            <w:r>
              <w:rPr>
                <w:rFonts w:ascii="Times New Roman" w:cs="Times New Roman" w:eastAsia="Times New Roman" w:hAnsi="Times New Roman"/>
                <w:sz w:val="16"/>
                <w:szCs w:val="16"/>
                <w:b w:val="1"/>
                <w:bCs w:val="1"/>
                <w:color w:val="auto"/>
                <w:w w:val="98"/>
              </w:rPr>
              <w:t>Paid in Cash</w:t>
            </w:r>
            <w:r>
              <w:rPr>
                <w:rFonts w:ascii="Times New Roman" w:cs="Times New Roman" w:eastAsia="Times New Roman" w:hAnsi="Times New Roman"/>
                <w:sz w:val="21"/>
                <w:szCs w:val="21"/>
                <w:b w:val="1"/>
                <w:bCs w:val="1"/>
                <w:color w:val="auto"/>
                <w:w w:val="98"/>
                <w:vertAlign w:val="superscript"/>
              </w:rPr>
              <w:t>(1)</w:t>
            </w:r>
          </w:p>
        </w:tc>
        <w:tc>
          <w:tcPr>
            <w:tcW w:w="300" w:type="dxa"/>
            <w:vAlign w:val="bottom"/>
          </w:tcPr>
          <w:p>
            <w:pPr>
              <w:spacing w:after="0"/>
              <w:rPr>
                <w:sz w:val="18"/>
                <w:szCs w:val="18"/>
                <w:color w:val="auto"/>
              </w:rPr>
            </w:pPr>
          </w:p>
        </w:tc>
        <w:tc>
          <w:tcPr>
            <w:tcW w:w="1680" w:type="dxa"/>
            <w:vAlign w:val="bottom"/>
            <w:gridSpan w:val="2"/>
          </w:tcPr>
          <w:p>
            <w:pPr>
              <w:jc w:val="center"/>
              <w:ind w:right="600"/>
              <w:spacing w:after="0" w:line="216" w:lineRule="exact"/>
              <w:rPr>
                <w:sz w:val="20"/>
                <w:szCs w:val="20"/>
                <w:color w:val="auto"/>
              </w:rPr>
            </w:pPr>
            <w:r>
              <w:rPr>
                <w:rFonts w:ascii="Times New Roman" w:cs="Times New Roman" w:eastAsia="Times New Roman" w:hAnsi="Times New Roman"/>
                <w:sz w:val="16"/>
                <w:szCs w:val="16"/>
                <w:b w:val="1"/>
                <w:bCs w:val="1"/>
                <w:color w:val="auto"/>
                <w:w w:val="91"/>
              </w:rPr>
              <w:t>Awards</w:t>
            </w:r>
            <w:r>
              <w:rPr>
                <w:rFonts w:ascii="Times New Roman" w:cs="Times New Roman" w:eastAsia="Times New Roman" w:hAnsi="Times New Roman"/>
                <w:sz w:val="21"/>
                <w:szCs w:val="21"/>
                <w:b w:val="1"/>
                <w:bCs w:val="1"/>
                <w:color w:val="auto"/>
                <w:w w:val="91"/>
                <w:vertAlign w:val="superscript"/>
              </w:rPr>
              <w:t>(2)</w:t>
            </w: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Timothy E. Davis, Jr.</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51,493</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121,097</w:t>
            </w:r>
          </w:p>
        </w:tc>
        <w:tc>
          <w:tcPr>
            <w:tcW w:w="3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172,590</w:t>
            </w:r>
          </w:p>
        </w:tc>
        <w:tc>
          <w:tcPr>
            <w:tcW w:w="0" w:type="dxa"/>
            <w:vAlign w:val="bottom"/>
          </w:tcPr>
          <w:p>
            <w:pPr>
              <w:spacing w:after="0"/>
              <w:rPr>
                <w:sz w:val="1"/>
                <w:szCs w:val="1"/>
                <w:color w:val="auto"/>
              </w:rPr>
            </w:pPr>
          </w:p>
        </w:tc>
      </w:tr>
      <w:tr>
        <w:trPr>
          <w:trHeight w:val="230"/>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Mark J. Foley</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John G. Freund, M.D.</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121,097</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146,653</w:t>
            </w:r>
          </w:p>
        </w:tc>
        <w:tc>
          <w:tcPr>
            <w:tcW w:w="0" w:type="dxa"/>
            <w:vAlign w:val="bottom"/>
          </w:tcPr>
          <w:p>
            <w:pPr>
              <w:spacing w:after="0"/>
              <w:rPr>
                <w:sz w:val="1"/>
                <w:szCs w:val="1"/>
                <w:color w:val="auto"/>
              </w:rPr>
            </w:pPr>
          </w:p>
        </w:tc>
      </w:tr>
      <w:tr>
        <w:trPr>
          <w:trHeight w:val="229"/>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Jeryl L. Hilleman</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163,875</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Gregory K. Hinckley</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121,097</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149,264</w:t>
            </w:r>
          </w:p>
        </w:tc>
        <w:tc>
          <w:tcPr>
            <w:tcW w:w="0" w:type="dxa"/>
            <w:vAlign w:val="bottom"/>
          </w:tcPr>
          <w:p>
            <w:pPr>
              <w:spacing w:after="0"/>
              <w:rPr>
                <w:sz w:val="1"/>
                <w:szCs w:val="1"/>
                <w:color w:val="auto"/>
              </w:rPr>
            </w:pPr>
          </w:p>
        </w:tc>
      </w:tr>
      <w:tr>
        <w:trPr>
          <w:trHeight w:val="229"/>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Karen A. Licitra</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Helen Loh</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293,026</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315,804</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Mika Nishimura</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252,612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275,945</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C. Valentine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121,097</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2769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45" w:lineRule="exact"/>
        <w:rPr>
          <w:sz w:val="20"/>
          <w:szCs w:val="20"/>
          <w:color w:val="auto"/>
        </w:rPr>
      </w:pPr>
    </w:p>
    <w:p>
      <w:pPr>
        <w:ind w:left="300" w:hanging="252"/>
        <w:spacing w:after="0"/>
        <w:tabs>
          <w:tab w:leader="none" w:pos="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earned for services rendered in the fourth quarter of 2021 were paid in January 2022.</w:t>
      </w:r>
    </w:p>
    <w:p>
      <w:pPr>
        <w:spacing w:after="0" w:line="279" w:lineRule="exact"/>
        <w:rPr>
          <w:rFonts w:ascii="Times New Roman" w:cs="Times New Roman" w:eastAsia="Times New Roman" w:hAnsi="Times New Roman"/>
          <w:sz w:val="18"/>
          <w:szCs w:val="18"/>
          <w:color w:val="auto"/>
        </w:rPr>
      </w:pPr>
    </w:p>
    <w:p>
      <w:pPr>
        <w:ind w:left="420" w:hanging="372"/>
        <w:spacing w:after="0" w:line="276" w:lineRule="auto"/>
        <w:tabs>
          <w:tab w:leader="none" w:pos="3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restricted stock unit awards (“RSUs”) granted to the non-employee director, computed in accordance with FASB ASC Topic 718. The fair value of the RSU grant is based on the market price of our common stock on the date of grant. See Note 2 to our financial statements in our Annual Report on Form 10-K, filed with the SEC on March 1, 2022. Only one RSU was granted to each non-employee director during 2021, except as follows: Ms. Loh received a pro-rated initial director award of 8,213 RSUs and a pro-rated annual award grant of 234 RSUs on April 18, 2021, the effective date of her appointment to the Board, with a grant date fair value for each RSU of $34.69; and Ms. Nishimura received a pro-rated initial director award of 8,213 RSUs and a pro-rated annual award grant of 447 RSUs on March 4, 2021, the effective date of her appointment to the Board, with a grant date fair value for each RSU of $29.17.</w:t>
      </w:r>
    </w:p>
    <w:p>
      <w:pPr>
        <w:spacing w:after="0" w:line="210"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table below lists the aggregate number of shares subject to outstanding stock awards held by each of our non-employee directors as of December 31, 2021.</w:t>
      </w:r>
    </w:p>
    <w:p>
      <w:pPr>
        <w:spacing w:after="0" w:line="186"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Subject to</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Subject to</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162"/>
        </w:trPr>
        <w:tc>
          <w:tcPr>
            <w:tcW w:w="4240" w:type="dxa"/>
            <w:vAlign w:val="bottom"/>
            <w:vMerge w:val="restart"/>
          </w:tcPr>
          <w:p>
            <w:pPr>
              <w:ind w:left="30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Options as of</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RSUs as of</w:t>
            </w:r>
          </w:p>
        </w:tc>
        <w:tc>
          <w:tcPr>
            <w:tcW w:w="0" w:type="dxa"/>
            <w:vAlign w:val="bottom"/>
          </w:tcPr>
          <w:p>
            <w:pPr>
              <w:spacing w:after="0"/>
              <w:rPr>
                <w:sz w:val="1"/>
                <w:szCs w:val="1"/>
                <w:color w:val="auto"/>
              </w:rPr>
            </w:pPr>
          </w:p>
        </w:tc>
      </w:tr>
      <w:tr>
        <w:trPr>
          <w:trHeight w:val="214"/>
        </w:trPr>
        <w:tc>
          <w:tcPr>
            <w:tcW w:w="424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25"/>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E. Davis, Jr.</w:t>
            </w:r>
          </w:p>
        </w:tc>
        <w:tc>
          <w:tcPr>
            <w:tcW w:w="2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G. Freund, M.D.</w:t>
            </w:r>
          </w:p>
        </w:tc>
        <w:tc>
          <w:tcPr>
            <w:tcW w:w="4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Jeryl L. Hilleman</w:t>
            </w:r>
          </w:p>
        </w:tc>
        <w:tc>
          <w:tcPr>
            <w:tcW w:w="4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26,236</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K. Hinckley</w:t>
            </w:r>
          </w:p>
        </w:tc>
        <w:tc>
          <w:tcPr>
            <w:tcW w:w="4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Helen Loh</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Mika Nishmura</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C. Valentine</w:t>
            </w:r>
          </w:p>
        </w:tc>
        <w:tc>
          <w:tcPr>
            <w:tcW w:w="4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818"/>
        </w:trPr>
        <w:tc>
          <w:tcPr>
            <w:tcW w:w="4240" w:type="dxa"/>
            <w:vAlign w:val="bottom"/>
          </w:tcPr>
          <w:p>
            <w:pPr>
              <w:spacing w:after="0"/>
              <w:rPr>
                <w:sz w:val="24"/>
                <w:szCs w:val="24"/>
                <w:color w:val="auto"/>
              </w:rPr>
            </w:pPr>
          </w:p>
        </w:tc>
        <w:tc>
          <w:tcPr>
            <w:tcW w:w="2260" w:type="dxa"/>
            <w:vAlign w:val="bottom"/>
          </w:tcPr>
          <w:p>
            <w:pPr>
              <w:jc w:val="right"/>
              <w:ind w:right="121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4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have adopted a non-employee director compensation policy, pursuant to which our non-employee directors will be eligible to receive cash compensation for service on our Board and committees of our Board.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non-employee director receives an annual cash retainer of $40,000 for serving on our Board.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chairperson and members of the three committees of our Board are entitled to the following annual cash retainers: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4960" w:type="dxa"/>
            <w:vAlign w:val="bottom"/>
            <w:gridSpan w:val="2"/>
          </w:tcPr>
          <w:p>
            <w:pPr>
              <w:ind w:left="1780"/>
              <w:spacing w:after="0"/>
              <w:rPr>
                <w:sz w:val="20"/>
                <w:szCs w:val="20"/>
                <w:color w:val="auto"/>
              </w:rPr>
            </w:pPr>
            <w:r>
              <w:rPr>
                <w:rFonts w:ascii="Times New Roman" w:cs="Times New Roman" w:eastAsia="Times New Roman" w:hAnsi="Times New Roman"/>
                <w:sz w:val="16"/>
                <w:szCs w:val="16"/>
                <w:color w:val="auto"/>
              </w:rPr>
              <w:t>Board Committee</w:t>
            </w:r>
          </w:p>
        </w:tc>
        <w:tc>
          <w:tcPr>
            <w:tcW w:w="2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Chairperson Fee</w:t>
            </w:r>
          </w:p>
        </w:tc>
        <w:tc>
          <w:tcPr>
            <w:tcW w:w="200" w:type="dxa"/>
            <w:vAlign w:val="bottom"/>
          </w:tcPr>
          <w:p>
            <w:pPr>
              <w:spacing w:after="0"/>
              <w:rPr>
                <w:sz w:val="18"/>
                <w:szCs w:val="18"/>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6"/>
                <w:szCs w:val="16"/>
                <w:color w:val="auto"/>
              </w:rPr>
              <w:t>Member Fee</w:t>
            </w:r>
          </w:p>
        </w:tc>
      </w:tr>
      <w:tr>
        <w:trPr>
          <w:trHeight w:val="226"/>
        </w:trPr>
        <w:tc>
          <w:tcPr>
            <w:tcW w:w="4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Audit Committee</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Compensation Committee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All annual cash compensation amounts are payable in equal quarterly installments in arrears, on the last day of each fiscal quarter for which the service occurred, pro-rated based on the days served in the applicable fiscal quarter.</w:t>
      </w:r>
    </w:p>
    <w:p>
      <w:pPr>
        <w:spacing w:after="0" w:line="14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Each new non-employee director who joins our Board will receive a restricted stock unit award with a value of $225,000. The shares subject to these equity awards will vest ratably over 36 months, subject to the non-employee director’s continuous service with us on each applicable vesting date.</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under the policy, on the date of each annual meeting of our stockholders, each continuing non-employee director may receive a restricted stock unit award with a value of $120,000, vesting approximately one year from the grant date, subject to the non-employee director’s continuous service with us on each applicable vesting date.</w:t>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the event of a change of control (as defined in the 2018 Plan), any unvested shares subject to these equity awards will fully vest and, in the case of stock options become exercisable, immediately prior to the effective date of such change of control, subject to the non-employee director’s continuous service with us on the effective date of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40"/>
          </w:cols>
          <w:pgMar w:left="320" w:top="995" w:right="339" w:bottom="1440" w:gutter="0" w:footer="0" w:header="0"/>
        </w:sectPr>
      </w:pPr>
    </w:p>
    <w:bookmarkStart w:id="52" w:name="page53"/>
    <w:bookmarkEnd w:id="52"/>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w:t>
      </w:r>
    </w:p>
    <w:p>
      <w:pPr>
        <w:spacing w:after="0" w:line="1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243"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2020,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discussed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Development Agreement with SeaSpine Orthopedics Corporation</w:t>
      </w:r>
    </w:p>
    <w:p>
      <w:pPr>
        <w:spacing w:after="0" w:line="14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February 2020, we entered into a joint development agreement (the “Development Agreement”) with SeaSpine Orthopedics Corporation (“SeaSpine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to develop a next generation device for sacropelvic fixation. Mr. Valentine, who serves as the President, Chief Executive Officer and a member of the board of directors of SeaSpine, also serves as a member of our Board of Directors. Pursuant to the development plan, SeaSpine shall use reasonable efforts to assist in the development of the potential product offering, including licensing certain existing intellectual property to be incorporated into the product. Under the terms of the Development Agreement, we agreed to make monthly payments of approximately $10,000 to SeaSpine to reimburse for full time resources employed by SeaSpine conducting the development activities during the period in which such development activities occurred. Certain intellectual property developed pursuant to the project plan will be owned by us, certain intellectual property developed pursuant to the project plan will be owned by SeaSpine, and other intellectual property developed pursuant to the project plan will be jointly owned by SeaSpine and us. We also agreed to provide SeaSpine a royalty-free, worldwide, perpetual, non-exclusive license of certain intellectual property incorporated into the product to be developed. We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parties, in situations defined in the Development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Public Offering</w:t>
      </w:r>
    </w:p>
    <w:p>
      <w:pPr>
        <w:spacing w:after="0" w:line="2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January 2020, we issued and sold shares of common stock in an underwritten public offering (the “First 2020 Public Offering”). Each of Skyline Venture Partners V., L.P., (“Skyline”), Montreux IV, L.P. (“Montreux”) and Arboretum Ventures IV, L.P. (“Arboretum</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and collectively with Skyline and Montreux, the “Selling Stockholders”) sold shares in the offering. Each of the Selling Stockholders held more than 5% of our capital stock at the time of the First 2020 Public Offering, and Dr. Freund is a managing partner of Skyline Ventures, an affiliate of Skyline. In connection with the First 2020 Public Offering, we, the representatives of the underwriters, and the Selling Stockholders entered into an underwriting agreement pursuant to which Skyline, Montreux and Arboretum sold 1,000,000, 649,947 and 160,000 shares, respectively, for approximately $21,500,000, $13,973,860 and $3,440,000, respectively, before underwriting discounts and commissions.</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October 2020, we issued and sold shares of common stock in an underwritten public offering (the “Second 2020 Public Offering”) in which Skyline sold 190,053 shares for approximately $4,181,166, before underwriting discounts and commissions. Skyline held more than 5% of our capital stock at the time of the Second 2020 Public Offering, and Dr. Freund is a managing partner of Skyline Ventures, an affiliate of Skyline.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240"/>
          </w:cols>
          <w:pgMar w:left="320" w:top="98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our Board.</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We have and intend to enter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AND PROXY MATERIALS</w:t>
      </w:r>
    </w:p>
    <w:p>
      <w:pPr>
        <w:spacing w:after="0" w:line="2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SI-BONE, Inc. stockholders will be “householding” SI-BONE’s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SI-BONE, Inc. Direct your written request to SI-BONE, Inc, Attn: Michael A. Pisetsky, Chief Legal Officer, 471 El Camino Real, Suite 101, Santa Clara, California 95050. Stockholders who currently receive multiple copies of the Annual Meeting materials at their addresses and would like to request “householding” of their communications should contact their brokers.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to the extent permitted under Rule 14a-4(c)(1) under the Exchange Act, on such matters in accordance with their best judgment.</w:t>
      </w:r>
    </w:p>
    <w:p>
      <w:pPr>
        <w:spacing w:after="0" w:line="17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6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15601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Michael A. Pisetsky</w:t>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Secretary and Chief Legal</w:t>
      </w:r>
    </w:p>
    <w:p>
      <w:pPr>
        <w:ind w:left="456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3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b w:val="1"/>
          <w:bCs w:val="1"/>
          <w:color w:val="auto"/>
        </w:rPr>
        <w:t>A copy of SI-BONE, Inc.’s Annual Report to the Securities and Exchange Commission on Form 10-K for the fiscal year ended December 31, 2021 is available without charge upon written request to: Corporate Secretary, SI-BONE, Inc, 471 El Camino Real, Suite 101, Santa Clara, California 95050.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240"/>
          </w:cols>
          <w:pgMar w:left="320" w:top="981"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654685</wp:posOffset>
            </wp:positionV>
            <wp:extent cx="6172200" cy="7980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9019"/>
          </w:cols>
          <w:pgMar w:left="1440" w:top="1440"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654685</wp:posOffset>
            </wp:positionV>
            <wp:extent cx="6172200" cy="7980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bullet"/>
      <w:start w:val="1"/>
    </w:lvl>
  </w:abstractNum>
  <w:abstractNum w:abstractNumId="6">
    <w:nsid w:val="54E49EB4"/>
    <w:multiLevelType w:val="hybridMultilevel"/>
    <w:lvl w:ilvl="0">
      <w:lvlJc w:val="left"/>
      <w:lvlText w:val="2"/>
      <w:numFmt w:val="bullet"/>
      <w:start w:val="1"/>
    </w:lvl>
  </w:abstractNum>
  <w:abstractNum w:abstractNumId="7">
    <w:nsid w:val="71F32454"/>
    <w:multiLevelType w:val="hybridMultilevel"/>
    <w:lvl w:ilvl="0">
      <w:lvlJc w:val="left"/>
      <w:lvlText w:val="3"/>
      <w:numFmt w:val="bullet"/>
      <w:start w:val="1"/>
    </w:lvl>
  </w:abstractNum>
  <w:abstractNum w:abstractNumId="8">
    <w:nsid w:val="2CA88611"/>
    <w:multiLevelType w:val="hybridMultilevel"/>
    <w:lvl w:ilvl="0">
      <w:lvlJc w:val="left"/>
      <w:lvlText w:val="4"/>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2"/>
      <w:numFmt w:val="bullet"/>
      <w:start w:val="1"/>
    </w:lvl>
  </w:abstractNum>
  <w:abstractNum w:abstractNumId="14">
    <w:nsid w:val="7C3DBD3D"/>
    <w:multiLevelType w:val="hybridMultilevel"/>
    <w:lvl w:ilvl="0">
      <w:lvlJc w:val="left"/>
      <w:lvlText w:val="3"/>
      <w:numFmt w:val="bullet"/>
      <w:start w:val="1"/>
    </w:lvl>
  </w:abstractNum>
  <w:abstractNum w:abstractNumId="15">
    <w:nsid w:val="737B8DDC"/>
    <w:multiLevelType w:val="hybridMultilevel"/>
    <w:lvl w:ilvl="0">
      <w:lvlJc w:val="left"/>
      <w:lvlText w:val="4"/>
      <w:numFmt w:val="bullet"/>
      <w:start w:val="1"/>
    </w:lvl>
  </w:abstractNum>
  <w:abstractNum w:abstractNumId="16">
    <w:nsid w:val="6CEAF087"/>
    <w:multiLevelType w:val="hybridMultilevel"/>
    <w:lvl w:ilvl="0">
      <w:lvlJc w:val="left"/>
      <w:lvlText w:val="&amp;"/>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endash "/>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7"/>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2022-04-22T15:14:43Z</dcterms:created>
  <dcterms:modified xsi:type="dcterms:W3CDTF">2022-04-22T15:14:43Z</dcterms:modified>
</cp:coreProperties>
</file>