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264795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351790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246380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26,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SI-BONE,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tbl>
      <w:tblPr>
        <w:tblLayout w:type="fixed"/>
        <w:tblInd w:w="1160" w:type="dxa"/>
        <w:tblCellMar>
          <w:top w:w="0" w:type="dxa"/>
          <w:left w:w="0" w:type="dxa"/>
          <w:bottom w:w="0" w:type="dxa"/>
          <w:right w:w="0" w:type="dxa"/>
        </w:tblCellMar>
      </w:tblPr>
      <w:tr>
        <w:trPr>
          <w:trHeight w:val="238"/>
        </w:trPr>
        <w:tc>
          <w:tcPr>
            <w:tcW w:w="1740" w:type="dxa"/>
            <w:vAlign w:val="bottom"/>
          </w:tcPr>
          <w:p>
            <w:pPr>
              <w:jc w:val="center"/>
              <w:ind w:right="85"/>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001-38701</w:t>
            </w:r>
          </w:p>
        </w:tc>
        <w:tc>
          <w:tcPr>
            <w:tcW w:w="1380" w:type="dxa"/>
            <w:vAlign w:val="bottom"/>
          </w:tcPr>
          <w:p>
            <w:pPr>
              <w:jc w:val="right"/>
              <w:ind w:right="23"/>
              <w:spacing w:after="0"/>
              <w:rPr>
                <w:sz w:val="20"/>
                <w:szCs w:val="20"/>
                <w:color w:val="auto"/>
              </w:rPr>
            </w:pPr>
            <w:r>
              <w:rPr>
                <w:rFonts w:ascii="Times New Roman" w:cs="Times New Roman" w:eastAsia="Times New Roman" w:hAnsi="Times New Roman"/>
                <w:sz w:val="18"/>
                <w:szCs w:val="18"/>
                <w:b w:val="1"/>
                <w:bCs w:val="1"/>
                <w:color w:val="auto"/>
              </w:rPr>
              <w:t>26-2216351</w:t>
            </w:r>
          </w:p>
        </w:tc>
      </w:tr>
      <w:tr>
        <w:trPr>
          <w:trHeight w:val="186"/>
        </w:trPr>
        <w:tc>
          <w:tcPr>
            <w:tcW w:w="174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6"/>
              </w:rPr>
              <w:t>(State or Other Jurisdiction</w:t>
            </w:r>
          </w:p>
        </w:tc>
        <w:tc>
          <w:tcPr>
            <w:tcW w:w="5800" w:type="dxa"/>
            <w:vAlign w:val="bottom"/>
          </w:tcPr>
          <w:p>
            <w:pPr>
              <w:spacing w:after="0"/>
              <w:rPr>
                <w:sz w:val="16"/>
                <w:szCs w:val="16"/>
                <w:color w:val="auto"/>
              </w:rPr>
            </w:pPr>
          </w:p>
        </w:tc>
        <w:tc>
          <w:tcPr>
            <w:tcW w:w="1380" w:type="dxa"/>
            <w:vAlign w:val="bottom"/>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w w:val="97"/>
              </w:rPr>
              <w:t>(IRS Employer</w:t>
            </w:r>
          </w:p>
        </w:tc>
      </w:tr>
      <w:tr>
        <w:trPr>
          <w:trHeight w:val="178"/>
        </w:trPr>
        <w:tc>
          <w:tcPr>
            <w:tcW w:w="174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6"/>
              </w:rPr>
              <w:t>of Incorporation)</w:t>
            </w:r>
          </w:p>
        </w:tc>
        <w:tc>
          <w:tcPr>
            <w:tcW w:w="5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(Commission File Number)</w:t>
            </w:r>
          </w:p>
        </w:tc>
        <w:tc>
          <w:tcPr>
            <w:tcW w:w="1380" w:type="dxa"/>
            <w:vAlign w:val="bottom"/>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505"/>
        </w:trPr>
        <w:tc>
          <w:tcPr>
            <w:tcW w:w="1740" w:type="dxa"/>
            <w:vAlign w:val="bottom"/>
          </w:tcPr>
          <w:p>
            <w:pPr>
              <w:spacing w:after="0"/>
              <w:rPr>
                <w:sz w:val="24"/>
                <w:szCs w:val="24"/>
                <w:color w:val="auto"/>
              </w:rPr>
            </w:pPr>
          </w:p>
        </w:tc>
        <w:tc>
          <w:tcPr>
            <w:tcW w:w="5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471 El Camino Real</w:t>
            </w:r>
          </w:p>
        </w:tc>
        <w:tc>
          <w:tcPr>
            <w:tcW w:w="1380" w:type="dxa"/>
            <w:vAlign w:val="bottom"/>
          </w:tcPr>
          <w:p>
            <w:pPr>
              <w:spacing w:after="0"/>
              <w:rPr>
                <w:sz w:val="24"/>
                <w:szCs w:val="24"/>
                <w:color w:val="auto"/>
              </w:rPr>
            </w:pPr>
          </w:p>
        </w:tc>
      </w:tr>
      <w:tr>
        <w:trPr>
          <w:trHeight w:val="216"/>
        </w:trPr>
        <w:tc>
          <w:tcPr>
            <w:tcW w:w="1740" w:type="dxa"/>
            <w:vAlign w:val="bottom"/>
          </w:tcPr>
          <w:p>
            <w:pPr>
              <w:spacing w:after="0"/>
              <w:rPr>
                <w:sz w:val="18"/>
                <w:szCs w:val="18"/>
                <w:color w:val="auto"/>
              </w:rPr>
            </w:pPr>
          </w:p>
        </w:tc>
        <w:tc>
          <w:tcPr>
            <w:tcW w:w="5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Suite 101</w:t>
            </w:r>
          </w:p>
        </w:tc>
        <w:tc>
          <w:tcPr>
            <w:tcW w:w="1380" w:type="dxa"/>
            <w:vAlign w:val="bottom"/>
          </w:tcPr>
          <w:p>
            <w:pPr>
              <w:spacing w:after="0"/>
              <w:rPr>
                <w:sz w:val="18"/>
                <w:szCs w:val="18"/>
                <w:color w:val="auto"/>
              </w:rPr>
            </w:pPr>
          </w:p>
        </w:tc>
      </w:tr>
      <w:tr>
        <w:trPr>
          <w:trHeight w:val="238"/>
        </w:trPr>
        <w:tc>
          <w:tcPr>
            <w:tcW w:w="1740" w:type="dxa"/>
            <w:vAlign w:val="bottom"/>
          </w:tcPr>
          <w:p>
            <w:pPr>
              <w:spacing w:after="0"/>
              <w:rPr>
                <w:sz w:val="20"/>
                <w:szCs w:val="20"/>
                <w:color w:val="auto"/>
              </w:rPr>
            </w:pPr>
          </w:p>
        </w:tc>
        <w:tc>
          <w:tcPr>
            <w:tcW w:w="5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Santa Clara, CA</w:t>
            </w:r>
          </w:p>
        </w:tc>
        <w:tc>
          <w:tcPr>
            <w:tcW w:w="1380" w:type="dxa"/>
            <w:vAlign w:val="bottom"/>
          </w:tcPr>
          <w:p>
            <w:pPr>
              <w:jc w:val="right"/>
              <w:ind w:right="243"/>
              <w:spacing w:after="0"/>
              <w:rPr>
                <w:sz w:val="20"/>
                <w:szCs w:val="20"/>
                <w:color w:val="auto"/>
              </w:rPr>
            </w:pPr>
            <w:r>
              <w:rPr>
                <w:rFonts w:ascii="Times New Roman" w:cs="Times New Roman" w:eastAsia="Times New Roman" w:hAnsi="Times New Roman"/>
                <w:sz w:val="18"/>
                <w:szCs w:val="18"/>
                <w:b w:val="1"/>
                <w:bCs w:val="1"/>
                <w:color w:val="auto"/>
              </w:rPr>
              <w:t>95050</w:t>
            </w:r>
          </w:p>
        </w:tc>
      </w:tr>
      <w:tr>
        <w:trPr>
          <w:trHeight w:val="283"/>
        </w:trPr>
        <w:tc>
          <w:tcPr>
            <w:tcW w:w="1740" w:type="dxa"/>
            <w:vAlign w:val="bottom"/>
          </w:tcPr>
          <w:p>
            <w:pPr>
              <w:spacing w:after="0"/>
              <w:rPr>
                <w:sz w:val="24"/>
                <w:szCs w:val="24"/>
                <w:color w:val="auto"/>
              </w:rPr>
            </w:pPr>
          </w:p>
        </w:tc>
        <w:tc>
          <w:tcPr>
            <w:tcW w:w="5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(Address of Principal Executive Offices)</w:t>
            </w:r>
          </w:p>
        </w:tc>
        <w:tc>
          <w:tcPr>
            <w:tcW w:w="1380" w:type="dxa"/>
            <w:vAlign w:val="bottom"/>
          </w:tcPr>
          <w:p>
            <w:pPr>
              <w:jc w:val="center"/>
              <w:ind w:left="223"/>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392"/>
        </w:trPr>
        <w:tc>
          <w:tcPr>
            <w:tcW w:w="1740" w:type="dxa"/>
            <w:vAlign w:val="bottom"/>
          </w:tcPr>
          <w:p>
            <w:pPr>
              <w:spacing w:after="0"/>
              <w:rPr>
                <w:sz w:val="24"/>
                <w:szCs w:val="24"/>
                <w:color w:val="auto"/>
              </w:rPr>
            </w:pPr>
          </w:p>
        </w:tc>
        <w:tc>
          <w:tcPr>
            <w:tcW w:w="5800" w:type="dxa"/>
            <w:vAlign w:val="bottom"/>
          </w:tcPr>
          <w:p>
            <w:pPr>
              <w:jc w:val="center"/>
              <w:ind w:right="77"/>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(408) 207-0700</w:t>
            </w:r>
          </w:p>
        </w:tc>
        <w:tc>
          <w:tcPr>
            <w:tcW w:w="1380" w:type="dxa"/>
            <w:vAlign w:val="bottom"/>
          </w:tcPr>
          <w:p>
            <w:pPr>
              <w:spacing w:after="0"/>
              <w:rPr>
                <w:sz w:val="24"/>
                <w:szCs w:val="24"/>
                <w:color w:val="auto"/>
              </w:rPr>
            </w:pPr>
          </w:p>
        </w:tc>
      </w:tr>
      <w:tr>
        <w:trPr>
          <w:trHeight w:val="353"/>
        </w:trPr>
        <w:tc>
          <w:tcPr>
            <w:tcW w:w="1740" w:type="dxa"/>
            <w:vAlign w:val="bottom"/>
          </w:tcPr>
          <w:p>
            <w:pPr>
              <w:spacing w:after="0"/>
              <w:rPr>
                <w:sz w:val="24"/>
                <w:szCs w:val="24"/>
                <w:color w:val="auto"/>
              </w:rPr>
            </w:pPr>
          </w:p>
        </w:tc>
        <w:tc>
          <w:tcPr>
            <w:tcW w:w="5800" w:type="dxa"/>
            <w:vAlign w:val="bottom"/>
          </w:tcPr>
          <w:p>
            <w:pPr>
              <w:jc w:val="center"/>
              <w:ind w:right="77"/>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380" w:type="dxa"/>
            <w:vAlign w:val="bottom"/>
          </w:tcPr>
          <w:p>
            <w:pPr>
              <w:spacing w:after="0"/>
              <w:rPr>
                <w:sz w:val="24"/>
                <w:szCs w:val="24"/>
                <w:color w:val="auto"/>
              </w:rPr>
            </w:pPr>
          </w:p>
        </w:tc>
      </w:tr>
      <w:tr>
        <w:trPr>
          <w:trHeight w:val="190"/>
        </w:trPr>
        <w:tc>
          <w:tcPr>
            <w:tcW w:w="1740" w:type="dxa"/>
            <w:vAlign w:val="bottom"/>
          </w:tcPr>
          <w:p>
            <w:pPr>
              <w:spacing w:after="0"/>
              <w:rPr>
                <w:sz w:val="16"/>
                <w:szCs w:val="16"/>
                <w:color w:val="auto"/>
              </w:rPr>
            </w:pPr>
          </w:p>
        </w:tc>
        <w:tc>
          <w:tcPr>
            <w:tcW w:w="58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3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1"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5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3" w:lineRule="exact"/>
        <w:rPr>
          <w:sz w:val="24"/>
          <w:szCs w:val="24"/>
          <w:color w:val="auto"/>
        </w:rPr>
      </w:pPr>
    </w:p>
    <w:p>
      <w:pPr>
        <w:ind w:left="71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166" w:lineRule="exact"/>
        <w:rPr>
          <w:sz w:val="24"/>
          <w:szCs w:val="24"/>
          <w:color w:val="auto"/>
        </w:rPr>
      </w:pPr>
    </w:p>
    <w:p>
      <w:pPr>
        <w:ind w:right="1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606" w:right="2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information set forth in Item 8.01 of this Current Report on Form 8-K is incorporated by reference in this Item 3.03.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33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 xml:space="preserve">On December 19, 2018, the Delaware Chancery Court issued an opinion in </w:t>
      </w:r>
      <w:r>
        <w:rPr>
          <w:rFonts w:ascii="Times New Roman" w:cs="Times New Roman" w:eastAsia="Times New Roman" w:hAnsi="Times New Roman"/>
          <w:sz w:val="18"/>
          <w:szCs w:val="18"/>
          <w:i w:val="1"/>
          <w:iCs w:val="1"/>
          <w:color w:val="auto"/>
        </w:rPr>
        <w:t>Sciabacucchi v. Salzberg</w:t>
      </w:r>
      <w:r>
        <w:rPr>
          <w:rFonts w:ascii="Times New Roman" w:cs="Times New Roman" w:eastAsia="Times New Roman" w:hAnsi="Times New Roman"/>
          <w:sz w:val="18"/>
          <w:szCs w:val="18"/>
          <w:color w:val="auto"/>
        </w:rPr>
        <w:t>, C.A. No. 2017-0931-JTL, invalidating provisions in the certificates of incorporation of Delaware companies that purport to limit to federal court the forum in which a stockholder could bring a claim under the Securities Act of 1933, as amended. The Chancery Court held that a Delaware corporation can only use its constitutive documents to bind a plaintiff to a particular forum where the claim involves rights or relationships established by or under Delaware’s corporate law. This case may be appealed to the Delaware Supreme Court.</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Article VI, Section E of our amended and restated certificate of incorporation (the “Charter”) contains a similar federal forum selection provision. As such, and in light of the recent </w:t>
      </w:r>
      <w:r>
        <w:rPr>
          <w:rFonts w:ascii="Times New Roman" w:cs="Times New Roman" w:eastAsia="Times New Roman" w:hAnsi="Times New Roman"/>
          <w:sz w:val="18"/>
          <w:szCs w:val="18"/>
          <w:i w:val="1"/>
          <w:iCs w:val="1"/>
          <w:color w:val="auto"/>
        </w:rPr>
        <w:t>Sciabacucchi</w:t>
      </w:r>
      <w:r>
        <w:rPr>
          <w:rFonts w:ascii="Times New Roman" w:cs="Times New Roman" w:eastAsia="Times New Roman" w:hAnsi="Times New Roman"/>
          <w:sz w:val="18"/>
          <w:szCs w:val="18"/>
          <w:color w:val="auto"/>
        </w:rPr>
        <w:t xml:space="preserve"> decision, as permitted by such provision we do not currently intend to enforce the foregoing federal forum selection provision unless the </w:t>
      </w:r>
      <w:r>
        <w:rPr>
          <w:rFonts w:ascii="Times New Roman" w:cs="Times New Roman" w:eastAsia="Times New Roman" w:hAnsi="Times New Roman"/>
          <w:sz w:val="18"/>
          <w:szCs w:val="18"/>
          <w:i w:val="1"/>
          <w:iCs w:val="1"/>
          <w:color w:val="auto"/>
        </w:rPr>
        <w:t>Sciabacucchi</w:t>
      </w:r>
      <w:r>
        <w:rPr>
          <w:rFonts w:ascii="Times New Roman" w:cs="Times New Roman" w:eastAsia="Times New Roman" w:hAnsi="Times New Roman"/>
          <w:sz w:val="18"/>
          <w:szCs w:val="18"/>
          <w:color w:val="auto"/>
        </w:rPr>
        <w:t xml:space="preserve"> decision is appealed and the Delaware Supreme Court reverses the decision. If there is no appeal of the </w:t>
      </w:r>
      <w:r>
        <w:rPr>
          <w:rFonts w:ascii="Times New Roman" w:cs="Times New Roman" w:eastAsia="Times New Roman" w:hAnsi="Times New Roman"/>
          <w:sz w:val="18"/>
          <w:szCs w:val="18"/>
          <w:i w:val="1"/>
          <w:iCs w:val="1"/>
          <w:color w:val="auto"/>
        </w:rPr>
        <w:t>Sciabacucchi</w:t>
      </w:r>
      <w:r>
        <w:rPr>
          <w:rFonts w:ascii="Times New Roman" w:cs="Times New Roman" w:eastAsia="Times New Roman" w:hAnsi="Times New Roman"/>
          <w:sz w:val="18"/>
          <w:szCs w:val="18"/>
          <w:color w:val="auto"/>
        </w:rPr>
        <w:t xml:space="preserve"> decision or if the Delaware Supreme Court affirms the Chancery Court’s decision, then we will seek approval by our stockholders to amend the Charter at our next regularly-scheduled annual meeting of stockholders to remove such provision.</w:t>
      </w:r>
    </w:p>
    <w:p>
      <w:pPr>
        <w:sectPr>
          <w:pgSz w:w="11900" w:h="16838" w:orient="portrait"/>
          <w:cols w:equalWidth="0" w:num="1">
            <w:col w:w="11380"/>
          </w:cols>
          <w:pgMar w:left="240" w:top="360" w:right="279" w:bottom="1440" w:gutter="0" w:footer="0" w:header="0"/>
        </w:sectPr>
      </w:pPr>
    </w:p>
    <w:bookmarkStart w:id="2" w:name="page3"/>
    <w:bookmarkEnd w:id="2"/>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6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64" w:lineRule="exact"/>
        <w:rPr>
          <w:sz w:val="20"/>
          <w:szCs w:val="20"/>
          <w:color w:val="auto"/>
        </w:rPr>
      </w:pPr>
    </w:p>
    <w:p>
      <w:pPr>
        <w:ind w:left="1140"/>
        <w:spacing w:after="0"/>
        <w:tabs>
          <w:tab w:leader="none" w:pos="4260" w:val="left"/>
          <w:tab w:leader="none" w:pos="6880" w:val="left"/>
        </w:tabs>
        <w:rPr>
          <w:sz w:val="20"/>
          <w:szCs w:val="20"/>
          <w:color w:val="auto"/>
        </w:rPr>
      </w:pPr>
      <w:r>
        <w:rPr>
          <w:rFonts w:ascii="Times New Roman" w:cs="Times New Roman" w:eastAsia="Times New Roman" w:hAnsi="Times New Roman"/>
          <w:sz w:val="18"/>
          <w:szCs w:val="18"/>
          <w:color w:val="auto"/>
        </w:rPr>
        <w:t>Date: December 26, 2018</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34290</wp:posOffset>
            </wp:positionV>
            <wp:extent cx="34474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Laura A. Francis</w:t>
      </w:r>
    </w:p>
    <w:p>
      <w:pPr>
        <w:spacing w:after="0" w:line="7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0940"/>
      </w:cols>
      <w:pgMar w:left="240" w:top="36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2019-12-07T15:52:06Z</dcterms:created>
  <dcterms:modified xsi:type="dcterms:W3CDTF">2019-12-07T15:52:06Z</dcterms:modified>
</cp:coreProperties>
</file>