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ind w:left="3820"/>
        <w:spacing w:after="0" w:line="236"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January 6, 2023</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ind w:left="3820"/>
        <w:spacing w:after="0" w:line="236"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w:t>
      </w:r>
    </w:p>
    <w:p>
      <w:pPr>
        <w:spacing w:after="0" w:line="33" w:lineRule="exact"/>
        <w:rPr>
          <w:sz w:val="24"/>
          <w:szCs w:val="24"/>
          <w:color w:val="auto"/>
        </w:rPr>
      </w:pPr>
    </w:p>
    <w:tbl>
      <w:tblPr>
        <w:tblLayout w:type="fixed"/>
        <w:tblInd w:w="1100" w:type="dxa"/>
        <w:tblCellMar>
          <w:top w:w="0" w:type="dxa"/>
          <w:left w:w="0" w:type="dxa"/>
          <w:bottom w:w="0" w:type="dxa"/>
          <w:right w:w="0" w:type="dxa"/>
        </w:tblCellMar>
      </w:tblPr>
      <w:tr>
        <w:trPr>
          <w:trHeight w:val="142"/>
        </w:trPr>
        <w:tc>
          <w:tcPr>
            <w:tcW w:w="2200" w:type="dxa"/>
            <w:vAlign w:val="bottom"/>
          </w:tcPr>
          <w:p>
            <w:pPr>
              <w:jc w:val="center"/>
              <w:ind w:right="86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47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001-38701</w:t>
            </w:r>
          </w:p>
        </w:tc>
        <w:tc>
          <w:tcPr>
            <w:tcW w:w="1780" w:type="dxa"/>
            <w:vAlign w:val="bottom"/>
          </w:tcPr>
          <w:p>
            <w:pPr>
              <w:jc w:val="center"/>
              <w:ind w:left="926"/>
              <w:spacing w:after="0"/>
              <w:rPr>
                <w:sz w:val="20"/>
                <w:szCs w:val="20"/>
                <w:color w:val="auto"/>
              </w:rPr>
            </w:pPr>
            <w:r>
              <w:rPr>
                <w:rFonts w:ascii="Times New Roman" w:cs="Times New Roman" w:eastAsia="Times New Roman" w:hAnsi="Times New Roman"/>
                <w:sz w:val="11"/>
                <w:szCs w:val="11"/>
                <w:b w:val="1"/>
                <w:bCs w:val="1"/>
                <w:color w:val="auto"/>
                <w:w w:val="97"/>
              </w:rPr>
              <w:t>26-2216351</w:t>
            </w:r>
          </w:p>
        </w:tc>
      </w:tr>
      <w:tr>
        <w:trPr>
          <w:trHeight w:val="112"/>
        </w:trPr>
        <w:tc>
          <w:tcPr>
            <w:tcW w:w="2200" w:type="dxa"/>
            <w:vAlign w:val="bottom"/>
          </w:tcPr>
          <w:p>
            <w:pPr>
              <w:jc w:val="center"/>
              <w:ind w:right="866"/>
              <w:spacing w:after="0" w:line="112"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4760" w:type="dxa"/>
            <w:vAlign w:val="bottom"/>
          </w:tcPr>
          <w:p>
            <w:pPr>
              <w:jc w:val="center"/>
              <w:ind w:right="46"/>
              <w:spacing w:after="0" w:line="112" w:lineRule="exact"/>
              <w:rPr>
                <w:sz w:val="20"/>
                <w:szCs w:val="20"/>
                <w:color w:val="auto"/>
              </w:rPr>
            </w:pPr>
            <w:r>
              <w:rPr>
                <w:rFonts w:ascii="Times New Roman" w:cs="Times New Roman" w:eastAsia="Times New Roman" w:hAnsi="Times New Roman"/>
                <w:sz w:val="11"/>
                <w:szCs w:val="11"/>
                <w:color w:val="auto"/>
                <w:w w:val="97"/>
              </w:rPr>
              <w:t>(Commission</w:t>
            </w:r>
          </w:p>
        </w:tc>
        <w:tc>
          <w:tcPr>
            <w:tcW w:w="1780" w:type="dxa"/>
            <w:vAlign w:val="bottom"/>
          </w:tcPr>
          <w:p>
            <w:pPr>
              <w:jc w:val="center"/>
              <w:ind w:left="906"/>
              <w:spacing w:after="0" w:line="112"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2200" w:type="dxa"/>
            <w:vAlign w:val="bottom"/>
          </w:tcPr>
          <w:p>
            <w:pPr>
              <w:jc w:val="center"/>
              <w:ind w:right="846"/>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47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File Number)</w:t>
            </w:r>
          </w:p>
        </w:tc>
        <w:tc>
          <w:tcPr>
            <w:tcW w:w="17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344"/>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471 El Camino Real</w:t>
            </w:r>
          </w:p>
        </w:tc>
        <w:tc>
          <w:tcPr>
            <w:tcW w:w="1780" w:type="dxa"/>
            <w:vAlign w:val="bottom"/>
          </w:tcPr>
          <w:p>
            <w:pPr>
              <w:spacing w:after="0"/>
              <w:rPr>
                <w:sz w:val="24"/>
                <w:szCs w:val="24"/>
                <w:color w:val="auto"/>
              </w:rPr>
            </w:pPr>
          </w:p>
        </w:tc>
      </w:tr>
      <w:tr>
        <w:trPr>
          <w:trHeight w:val="126"/>
        </w:trPr>
        <w:tc>
          <w:tcPr>
            <w:tcW w:w="2200" w:type="dxa"/>
            <w:vAlign w:val="bottom"/>
          </w:tcPr>
          <w:p>
            <w:pPr>
              <w:spacing w:after="0"/>
              <w:rPr>
                <w:sz w:val="10"/>
                <w:szCs w:val="10"/>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Suite 101</w:t>
            </w:r>
          </w:p>
        </w:tc>
        <w:tc>
          <w:tcPr>
            <w:tcW w:w="1780" w:type="dxa"/>
            <w:vAlign w:val="bottom"/>
          </w:tcPr>
          <w:p>
            <w:pPr>
              <w:spacing w:after="0"/>
              <w:rPr>
                <w:sz w:val="10"/>
                <w:szCs w:val="10"/>
                <w:color w:val="auto"/>
              </w:rPr>
            </w:pPr>
          </w:p>
        </w:tc>
      </w:tr>
      <w:tr>
        <w:trPr>
          <w:trHeight w:val="137"/>
        </w:trPr>
        <w:tc>
          <w:tcPr>
            <w:tcW w:w="2200" w:type="dxa"/>
            <w:vAlign w:val="bottom"/>
          </w:tcPr>
          <w:p>
            <w:pPr>
              <w:spacing w:after="0"/>
              <w:rPr>
                <w:sz w:val="11"/>
                <w:szCs w:val="11"/>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Santa Clara, CA 95050</w:t>
            </w:r>
          </w:p>
        </w:tc>
        <w:tc>
          <w:tcPr>
            <w:tcW w:w="1780" w:type="dxa"/>
            <w:vAlign w:val="bottom"/>
          </w:tcPr>
          <w:p>
            <w:pPr>
              <w:spacing w:after="0"/>
              <w:rPr>
                <w:sz w:val="11"/>
                <w:szCs w:val="11"/>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(Address of principal executive offices) (Zip Code)</w:t>
            </w:r>
          </w:p>
        </w:tc>
        <w:tc>
          <w:tcPr>
            <w:tcW w:w="1780" w:type="dxa"/>
            <w:vAlign w:val="bottom"/>
          </w:tcPr>
          <w:p>
            <w:pPr>
              <w:spacing w:after="0"/>
              <w:rPr>
                <w:sz w:val="12"/>
                <w:szCs w:val="12"/>
                <w:color w:val="auto"/>
              </w:rPr>
            </w:pPr>
          </w:p>
        </w:tc>
      </w:tr>
      <w:tr>
        <w:trPr>
          <w:trHeight w:val="283"/>
        </w:trPr>
        <w:tc>
          <w:tcPr>
            <w:tcW w:w="2200" w:type="dxa"/>
            <w:vAlign w:val="bottom"/>
          </w:tcPr>
          <w:p>
            <w:pPr>
              <w:spacing w:after="0"/>
              <w:rPr>
                <w:sz w:val="24"/>
                <w:szCs w:val="24"/>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(408) 207-0700</w:t>
            </w:r>
          </w:p>
        </w:tc>
        <w:tc>
          <w:tcPr>
            <w:tcW w:w="1780" w:type="dxa"/>
            <w:vAlign w:val="bottom"/>
          </w:tcPr>
          <w:p>
            <w:pPr>
              <w:spacing w:after="0"/>
              <w:rPr>
                <w:sz w:val="24"/>
                <w:szCs w:val="24"/>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(Registrant’s telephone number, include area code)</w:t>
            </w:r>
          </w:p>
        </w:tc>
        <w:tc>
          <w:tcPr>
            <w:tcW w:w="1780" w:type="dxa"/>
            <w:vAlign w:val="bottom"/>
          </w:tcPr>
          <w:p>
            <w:pPr>
              <w:spacing w:after="0"/>
              <w:rPr>
                <w:sz w:val="12"/>
                <w:szCs w:val="12"/>
                <w:color w:val="auto"/>
              </w:rPr>
            </w:pPr>
          </w:p>
        </w:tc>
      </w:tr>
      <w:tr>
        <w:trPr>
          <w:trHeight w:val="274"/>
        </w:trPr>
        <w:tc>
          <w:tcPr>
            <w:tcW w:w="2200" w:type="dxa"/>
            <w:vAlign w:val="bottom"/>
          </w:tcPr>
          <w:p>
            <w:pPr>
              <w:spacing w:after="0"/>
              <w:rPr>
                <w:sz w:val="23"/>
                <w:szCs w:val="23"/>
                <w:color w:val="auto"/>
              </w:rPr>
            </w:pPr>
          </w:p>
        </w:tc>
        <w:tc>
          <w:tcPr>
            <w:tcW w:w="47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1780" w:type="dxa"/>
            <w:vAlign w:val="bottom"/>
          </w:tcPr>
          <w:p>
            <w:pPr>
              <w:spacing w:after="0"/>
              <w:rPr>
                <w:sz w:val="23"/>
                <w:szCs w:val="23"/>
                <w:color w:val="auto"/>
              </w:rPr>
            </w:pPr>
          </w:p>
        </w:tc>
      </w:tr>
      <w:tr>
        <w:trPr>
          <w:trHeight w:val="140"/>
        </w:trPr>
        <w:tc>
          <w:tcPr>
            <w:tcW w:w="2200" w:type="dxa"/>
            <w:vAlign w:val="bottom"/>
          </w:tcPr>
          <w:p>
            <w:pPr>
              <w:spacing w:after="0"/>
              <w:rPr>
                <w:sz w:val="12"/>
                <w:szCs w:val="12"/>
                <w:color w:val="auto"/>
              </w:rPr>
            </w:pPr>
          </w:p>
        </w:tc>
        <w:tc>
          <w:tcPr>
            <w:tcW w:w="476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(Former Name or Former Address, if Changed Since Last Report)</w:t>
            </w:r>
          </w:p>
        </w:tc>
        <w:tc>
          <w:tcPr>
            <w:tcW w:w="1780" w:type="dxa"/>
            <w:vAlign w:val="bottom"/>
          </w:tcPr>
          <w:p>
            <w:pPr>
              <w:spacing w:after="0"/>
              <w:rPr>
                <w:sz w:val="12"/>
                <w:szCs w:val="12"/>
                <w:color w:val="auto"/>
              </w:rPr>
            </w:pPr>
          </w:p>
        </w:tc>
      </w:tr>
    </w:tbl>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98"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89" w:lineRule="exact"/>
        <w:rPr>
          <w:rFonts w:ascii="MS PGothic" w:cs="MS PGothic" w:eastAsia="MS PGothic" w:hAnsi="MS PGothic"/>
          <w:sz w:val="11"/>
          <w:szCs w:val="11"/>
          <w:color w:val="auto"/>
        </w:rPr>
      </w:pPr>
    </w:p>
    <w:p>
      <w:pPr>
        <w:ind w:left="1600" w:hanging="564"/>
        <w:spacing w:after="0"/>
        <w:tabs>
          <w:tab w:leader="none" w:pos="1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1620" w:hanging="562"/>
        <w:spacing w:after="0"/>
        <w:tabs>
          <w:tab w:leader="none" w:pos="1620" w:val="left"/>
        </w:tabs>
        <w:numPr>
          <w:ilvl w:val="1"/>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34" w:lineRule="exact"/>
        <w:rPr>
          <w:sz w:val="24"/>
          <w:szCs w:val="24"/>
          <w:color w:val="auto"/>
        </w:rPr>
      </w:pPr>
    </w:p>
    <w:tbl>
      <w:tblPr>
        <w:tblLayout w:type="fixed"/>
        <w:tblInd w:w="1480" w:type="dxa"/>
        <w:tblCellMar>
          <w:top w:w="0" w:type="dxa"/>
          <w:left w:w="0" w:type="dxa"/>
          <w:bottom w:w="0" w:type="dxa"/>
          <w:right w:w="0" w:type="dxa"/>
        </w:tblCellMar>
      </w:tblPr>
      <w:tr>
        <w:trPr>
          <w:trHeight w:val="140"/>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900" w:type="dxa"/>
            <w:vAlign w:val="bottom"/>
            <w:gridSpan w:val="3"/>
          </w:tcPr>
          <w:p>
            <w:pPr>
              <w:ind w:left="5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00" w:type="dxa"/>
            <w:vAlign w:val="bottom"/>
          </w:tcPr>
          <w:p>
            <w:pPr>
              <w:spacing w:after="0"/>
              <w:rPr>
                <w:sz w:val="12"/>
                <w:szCs w:val="12"/>
                <w:color w:val="auto"/>
              </w:rPr>
            </w:pPr>
          </w:p>
        </w:tc>
      </w:tr>
      <w:tr>
        <w:trPr>
          <w:trHeight w:val="130"/>
        </w:trPr>
        <w:tc>
          <w:tcPr>
            <w:tcW w:w="560" w:type="dxa"/>
            <w:vAlign w:val="bottom"/>
          </w:tcPr>
          <w:p>
            <w:pPr>
              <w:spacing w:after="0"/>
              <w:rPr>
                <w:sz w:val="11"/>
                <w:szCs w:val="11"/>
                <w:color w:val="auto"/>
              </w:rPr>
            </w:pPr>
          </w:p>
        </w:tc>
        <w:tc>
          <w:tcPr>
            <w:tcW w:w="186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90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47"/>
        </w:trPr>
        <w:tc>
          <w:tcPr>
            <w:tcW w:w="242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color w:val="auto"/>
                <w:w w:val="97"/>
              </w:rPr>
              <w:t>Common Stock, par value $0.0001 per share</w:t>
            </w:r>
          </w:p>
        </w:tc>
        <w:tc>
          <w:tcPr>
            <w:tcW w:w="1260" w:type="dxa"/>
            <w:vAlign w:val="bottom"/>
          </w:tcPr>
          <w:p>
            <w:pPr>
              <w:spacing w:after="0"/>
              <w:rPr>
                <w:sz w:val="12"/>
                <w:szCs w:val="12"/>
                <w:color w:val="auto"/>
              </w:rPr>
            </w:pPr>
          </w:p>
        </w:tc>
        <w:tc>
          <w:tcPr>
            <w:tcW w:w="2640" w:type="dxa"/>
            <w:vAlign w:val="bottom"/>
            <w:gridSpan w:val="2"/>
          </w:tcPr>
          <w:p>
            <w:pPr>
              <w:jc w:val="center"/>
              <w:ind w:right="1760"/>
              <w:spacing w:after="0"/>
              <w:rPr>
                <w:sz w:val="20"/>
                <w:szCs w:val="20"/>
                <w:color w:val="auto"/>
              </w:rPr>
            </w:pPr>
            <w:r>
              <w:rPr>
                <w:rFonts w:ascii="Times New Roman" w:cs="Times New Roman" w:eastAsia="Times New Roman" w:hAnsi="Times New Roman"/>
                <w:sz w:val="11"/>
                <w:szCs w:val="11"/>
                <w:color w:val="auto"/>
                <w:w w:val="95"/>
              </w:rPr>
              <w:t>SIBN</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The Nasdaq Global Market</w:t>
            </w:r>
          </w:p>
        </w:tc>
      </w:tr>
    </w:tbl>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jc w:val="center"/>
        <w:ind w:right="20"/>
        <w:spacing w:after="0" w:line="127" w:lineRule="exact"/>
        <w:tabs>
          <w:tab w:leader="none" w:pos="12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171" w:lineRule="exact"/>
        <w:rPr>
          <w:sz w:val="24"/>
          <w:szCs w:val="24"/>
          <w:color w:val="auto"/>
        </w:rPr>
      </w:pPr>
    </w:p>
    <w:p>
      <w:pPr>
        <w:ind w:left="120"/>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70" w:lineRule="exact"/>
        <w:rPr>
          <w:sz w:val="24"/>
          <w:szCs w:val="24"/>
          <w:color w:val="auto"/>
        </w:rPr>
      </w:pPr>
    </w:p>
    <w:p>
      <w:pPr>
        <w:ind w:firstLine="324"/>
        <w:spacing w:after="0" w:line="283" w:lineRule="auto"/>
        <w:rPr>
          <w:sz w:val="20"/>
          <w:szCs w:val="20"/>
          <w:color w:val="auto"/>
        </w:rPr>
      </w:pPr>
      <w:r>
        <w:rPr>
          <w:rFonts w:ascii="Times New Roman" w:cs="Times New Roman" w:eastAsia="Times New Roman" w:hAnsi="Times New Roman"/>
          <w:sz w:val="12"/>
          <w:szCs w:val="12"/>
          <w:color w:val="auto"/>
        </w:rPr>
        <w:t>On January 6, 2023, SI-BONE,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entered into a First Amendment to Loan and Security Agreement (the “</w:t>
      </w:r>
      <w:r>
        <w:rPr>
          <w:rFonts w:ascii="Times New Roman" w:cs="Times New Roman" w:eastAsia="Times New Roman" w:hAnsi="Times New Roman"/>
          <w:sz w:val="12"/>
          <w:szCs w:val="12"/>
          <w:i w:val="1"/>
          <w:iCs w:val="1"/>
          <w:color w:val="auto"/>
        </w:rPr>
        <w:t>Amendment</w:t>
      </w:r>
      <w:r>
        <w:rPr>
          <w:rFonts w:ascii="Times New Roman" w:cs="Times New Roman" w:eastAsia="Times New Roman" w:hAnsi="Times New Roman"/>
          <w:sz w:val="12"/>
          <w:szCs w:val="12"/>
          <w:color w:val="auto"/>
        </w:rPr>
        <w:t>”) with Silicon Valley Bank., a California corporation (“</w:t>
      </w:r>
      <w:r>
        <w:rPr>
          <w:rFonts w:ascii="Times New Roman" w:cs="Times New Roman" w:eastAsia="Times New Roman" w:hAnsi="Times New Roman"/>
          <w:sz w:val="12"/>
          <w:szCs w:val="12"/>
          <w:i w:val="1"/>
          <w:iCs w:val="1"/>
          <w:color w:val="auto"/>
        </w:rPr>
        <w:t>SVB</w:t>
      </w:r>
      <w:r>
        <w:rPr>
          <w:rFonts w:ascii="Times New Roman" w:cs="Times New Roman" w:eastAsia="Times New Roman" w:hAnsi="Times New Roman"/>
          <w:sz w:val="12"/>
          <w:szCs w:val="12"/>
          <w:color w:val="auto"/>
        </w:rPr>
        <w:t>”), which amends the Company's Loan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342900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2"/>
          <w:szCs w:val="12"/>
          <w:color w:val="auto"/>
        </w:rPr>
        <w:t>Security Agreement dated as of August 12, 2021, by and between the Company and SVB pursuant to which the Company had a term loan facility in an aggregate principal amount of $35.0 million (the “</w:t>
      </w:r>
      <w:r>
        <w:rPr>
          <w:rFonts w:ascii="Times New Roman" w:cs="Times New Roman" w:eastAsia="Times New Roman" w:hAnsi="Times New Roman"/>
          <w:sz w:val="12"/>
          <w:szCs w:val="12"/>
          <w:i w:val="1"/>
          <w:iCs w:val="1"/>
          <w:color w:val="auto"/>
        </w:rPr>
        <w:t>Original Loan Agreement”</w:t>
      </w:r>
      <w:r>
        <w:rPr>
          <w:rFonts w:ascii="Times New Roman" w:cs="Times New Roman" w:eastAsia="Times New Roman" w:hAnsi="Times New Roman"/>
          <w:sz w:val="12"/>
          <w:szCs w:val="12"/>
          <w:color w:val="auto"/>
        </w:rPr>
        <w:t xml:space="preserve"> and with the Amendment, collectively the </w:t>
      </w:r>
      <w:r>
        <w:rPr>
          <w:rFonts w:ascii="Times New Roman" w:cs="Times New Roman" w:eastAsia="Times New Roman" w:hAnsi="Times New Roman"/>
          <w:sz w:val="12"/>
          <w:szCs w:val="12"/>
          <w:i w:val="1"/>
          <w:iCs w:val="1"/>
          <w:color w:val="auto"/>
        </w:rPr>
        <w:t>“Amended Loan Agreement”)</w:t>
      </w:r>
      <w:r>
        <w:rPr>
          <w:rFonts w:ascii="Times New Roman" w:cs="Times New Roman" w:eastAsia="Times New Roman" w:hAnsi="Times New Roman"/>
          <w:sz w:val="12"/>
          <w:szCs w:val="12"/>
          <w:color w:val="auto"/>
        </w:rPr>
        <w:t>. Upon entry into the Amended Loan Agreement, the Company borrowed $36.0 million pursuant to a term loan (the "</w:t>
      </w:r>
      <w:r>
        <w:rPr>
          <w:rFonts w:ascii="Times New Roman" w:cs="Times New Roman" w:eastAsia="Times New Roman" w:hAnsi="Times New Roman"/>
          <w:sz w:val="12"/>
          <w:szCs w:val="12"/>
          <w:i w:val="1"/>
          <w:iCs w:val="1"/>
          <w:color w:val="auto"/>
        </w:rPr>
        <w:t>Term Loan</w:t>
      </w:r>
      <w:r>
        <w:rPr>
          <w:rFonts w:ascii="Times New Roman" w:cs="Times New Roman" w:eastAsia="Times New Roman" w:hAnsi="Times New Roman"/>
          <w:sz w:val="12"/>
          <w:szCs w:val="12"/>
          <w:color w:val="auto"/>
        </w:rPr>
        <w:t>"), which was substantially used to repay in full the $35.0 million term loan facility outstanding under the Original Loan Agreement and secured a revolving credit facility in an aggregate principal amount of up to $15.0 million (the "</w:t>
      </w:r>
      <w:r>
        <w:rPr>
          <w:rFonts w:ascii="Times New Roman" w:cs="Times New Roman" w:eastAsia="Times New Roman" w:hAnsi="Times New Roman"/>
          <w:sz w:val="12"/>
          <w:szCs w:val="12"/>
          <w:i w:val="1"/>
          <w:iCs w:val="1"/>
          <w:color w:val="auto"/>
        </w:rPr>
        <w:t>Revolver</w:t>
      </w:r>
      <w:r>
        <w:rPr>
          <w:rFonts w:ascii="Times New Roman" w:cs="Times New Roman" w:eastAsia="Times New Roman" w:hAnsi="Times New Roman"/>
          <w:sz w:val="12"/>
          <w:szCs w:val="12"/>
          <w:color w:val="auto"/>
        </w:rPr>
        <w:t>"). The Amended Loan Agreement also includes an uncommitted accordion term loan in an aggregate principal amount of up to $15.0 million, which accordion may be approved by SVB, solely in its discretion, upon the Company’s request.</w:t>
      </w:r>
    </w:p>
    <w:p>
      <w:pPr>
        <w:spacing w:after="0" w:line="12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2"/>
          <w:szCs w:val="12"/>
          <w:color w:val="auto"/>
        </w:rPr>
        <w:t>The Term Loan matures on December 1, 2027 (the “</w:t>
      </w:r>
      <w:r>
        <w:rPr>
          <w:rFonts w:ascii="Times New Roman" w:cs="Times New Roman" w:eastAsia="Times New Roman" w:hAnsi="Times New Roman"/>
          <w:sz w:val="12"/>
          <w:szCs w:val="12"/>
          <w:i w:val="1"/>
          <w:iCs w:val="1"/>
          <w:color w:val="auto"/>
        </w:rPr>
        <w:t>Term Loan Maturity Date</w:t>
      </w:r>
      <w:r>
        <w:rPr>
          <w:rFonts w:ascii="Times New Roman" w:cs="Times New Roman" w:eastAsia="Times New Roman" w:hAnsi="Times New Roman"/>
          <w:sz w:val="12"/>
          <w:szCs w:val="12"/>
          <w:color w:val="auto"/>
        </w:rPr>
        <w:t>”). Interest on the Term Loan will be payable monthly at a floating annual rate set at the greater of the prime rate as 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SVB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SVB.</w:t>
      </w:r>
    </w:p>
    <w:p>
      <w:pPr>
        <w:spacing w:after="0" w:line="1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Pursuant to the terms of the Amended Loan Agreement, revolving loans may be borrowed, repaid and reborrowed until the maturity date, which will be July 6, 2025 (the "</w:t>
      </w:r>
      <w:r>
        <w:rPr>
          <w:rFonts w:ascii="Times New Roman" w:cs="Times New Roman" w:eastAsia="Times New Roman" w:hAnsi="Times New Roman"/>
          <w:sz w:val="12"/>
          <w:szCs w:val="12"/>
          <w:i w:val="1"/>
          <w:iCs w:val="1"/>
          <w:color w:val="auto"/>
        </w:rPr>
        <w:t>Revolver Maturity Date</w:t>
      </w:r>
      <w:r>
        <w:rPr>
          <w:rFonts w:ascii="Times New Roman" w:cs="Times New Roman" w:eastAsia="Times New Roman" w:hAnsi="Times New Roman"/>
          <w:sz w:val="12"/>
          <w:szCs w:val="12"/>
          <w:color w:val="auto"/>
        </w:rPr>
        <w:t>").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the Company does not maintain an adjusted quick ratio of at least 1.5 to 1.0, then falling below such threshold will allow SVB to apply accounts receivable collections to outstanding Revolver borrowings. The Company will pay a total commitment fee of $187,500 on account of the Revolver payable in installments, but fully earned at close. The Company will also be required to pay a fee of $150,000 if it terminates the Amended Loan Agreement or Revolver prior to Revolver Maturity Date. No termination fee would be due if the Revolver is replaced with a new facility with SVB. No amounts are outstanding under the Revolver as of the date of this report.</w:t>
      </w:r>
    </w:p>
    <w:p>
      <w:pPr>
        <w:spacing w:after="0" w:line="14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Term Loan, Revolver and other obligations under the Amended Loan Agreement are secured by substantially all the Company's assets other than the Company's intellectual property, which intellectual property is subject to a negative pledge granted to SVB. The Loan Agreement includes affirmative and negative covenants applicable to the Company and related to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assets or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Amended Loan Agreement contains customary events of default, including bankruptcy, the failure to make payments when due, the occurrence of a material impairment on SVB's security interest over the collateral, a material adverse change, the occurrence of a default under certain other indebtedness of the Company and its subsidiaries, the rendering of certain types of judgments against the Company and its subsidiaries, the revocation of certain government approvals, violation of covenants, and incorrectness of representations and warranties in any material respect. In addition, the Amended Loan Agreement contains a financial covenant which requires the Company to maintain, at all times when the Financial Covenant Measuring Period is in effect, certain net revenue levels as agreed upon by the Company and SVB. If the Company does not comply with the various covenants under the Amended Loan Agreement and an event of default occurs under the Amended Loan Agreement, the interest rate on outstanding amounts can increase by 3% and SVB may, subject to various customary cure rights, decline to provide additional advances under the Revolver, require the immediate payment of all amounts outstanding under the Amended Loan Agreement, and foreclose on all collateral.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January 9, 2023, SI-BONE, Inc. (the "Company") issued a press release (the “Press Release”) announcing preliminary unaudited revenue for the fourth quarter and full year 2022. A copy of the Press Release is attached as Exhibit 99.1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447675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2.03 Creation of a Direct Financial Obligation or an Obligation under an Off-Balance Sheet Arrangement of a Registrant.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information set forth in Item 1.01 above is incorporated by reference here.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59" w:lineRule="exact"/>
        <w:rPr>
          <w:sz w:val="20"/>
          <w:szCs w:val="20"/>
          <w:color w:val="auto"/>
        </w:rPr>
      </w:pPr>
    </w:p>
    <w:p>
      <w:pPr>
        <w:jc w:val="both"/>
        <w:ind w:right="20" w:firstLine="324"/>
        <w:spacing w:after="0" w:line="233" w:lineRule="auto"/>
        <w:rPr>
          <w:sz w:val="20"/>
          <w:szCs w:val="20"/>
          <w:color w:val="auto"/>
        </w:rPr>
      </w:pPr>
      <w:r>
        <w:rPr>
          <w:rFonts w:ascii="Times New Roman" w:cs="Times New Roman" w:eastAsia="Times New Roman" w:hAnsi="Times New Roman"/>
          <w:sz w:val="12"/>
          <w:szCs w:val="12"/>
          <w:color w:val="auto"/>
        </w:rPr>
        <w:t>Members of the Company’s management team expect to meet with investors and analysts the week of January 9, 2023, including participating in the 25</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Annual Needham Virtual Growth Conference to discuss the Company, using presentation materials which are furnished and attached as Exhibit 99.2.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80" w:type="dxa"/>
            <w:vAlign w:val="bottom"/>
          </w:tcPr>
          <w:p>
            <w:pPr>
              <w:spacing w:after="0"/>
              <w:rPr>
                <w:sz w:val="13"/>
                <w:szCs w:val="13"/>
                <w:color w:val="auto"/>
              </w:rPr>
            </w:pPr>
          </w:p>
        </w:tc>
      </w:tr>
      <w:tr>
        <w:trPr>
          <w:trHeight w:val="351"/>
        </w:trPr>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Pr>
          <w:p>
            <w:pPr>
              <w:ind w:left="28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8"/>
        </w:trPr>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2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dated January 9, 2023</w:t>
            </w:r>
          </w:p>
        </w:tc>
      </w:tr>
      <w:tr>
        <w:trPr>
          <w:trHeight w:val="133"/>
        </w:trPr>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8"/>
              </w:rPr>
              <w:t>Presentation dated January 2023</w:t>
            </w:r>
          </w:p>
        </w:tc>
        <w:tc>
          <w:tcPr>
            <w:tcW w:w="140" w:type="dxa"/>
            <w:vAlign w:val="bottom"/>
            <w:tcBorders>
              <w:top w:val="single" w:sz="8" w:color="0000FF"/>
            </w:tcBorders>
          </w:tcPr>
          <w:p>
            <w:pPr>
              <w:spacing w:after="0"/>
              <w:rPr>
                <w:sz w:val="11"/>
                <w:szCs w:val="11"/>
                <w:color w:val="auto"/>
              </w:rPr>
            </w:pPr>
          </w:p>
        </w:tc>
        <w:tc>
          <w:tcPr>
            <w:tcW w:w="7880" w:type="dxa"/>
            <w:vAlign w:val="bottom"/>
          </w:tcPr>
          <w:p>
            <w:pPr>
              <w:spacing w:after="0"/>
              <w:rPr>
                <w:sz w:val="11"/>
                <w:szCs w:val="11"/>
                <w:color w:val="auto"/>
              </w:rPr>
            </w:pPr>
          </w:p>
        </w:tc>
      </w:tr>
      <w:tr>
        <w:trPr>
          <w:trHeight w:val="160"/>
        </w:trPr>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Date File (embedded within the Inline XBRL document)</w:t>
            </w:r>
          </w:p>
        </w:tc>
      </w:tr>
    </w:tbl>
    <w:p>
      <w:pPr>
        <w:spacing w:after="0" w:line="21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information in Items 2.02 and 7.01 and Exhibits 99.1 and 99.2,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Items 2.02 and 7.01, and Exhibits 99.1 and 99.2 shall not be deemed incorporated by reference in any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452755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140" w:type="dxa"/>
            <w:vAlign w:val="bottom"/>
            <w:gridSpan w:val="2"/>
          </w:tcPr>
          <w:p>
            <w:pPr>
              <w:ind w:left="1560"/>
              <w:spacing w:after="0"/>
              <w:rPr>
                <w:sz w:val="20"/>
                <w:szCs w:val="20"/>
                <w:color w:val="auto"/>
              </w:rPr>
            </w:pPr>
            <w:r>
              <w:rPr>
                <w:rFonts w:ascii="Times New Roman" w:cs="Times New Roman" w:eastAsia="Times New Roman" w:hAnsi="Times New Roman"/>
                <w:sz w:val="12"/>
                <w:szCs w:val="12"/>
                <w:b w:val="1"/>
                <w:bCs w:val="1"/>
                <w:color w:val="auto"/>
              </w:rPr>
              <w:t>SI-BONE, INC.</w:t>
            </w:r>
          </w:p>
        </w:tc>
      </w:tr>
      <w:tr>
        <w:trPr>
          <w:trHeight w:val="306"/>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6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January 9, 2023</w:t>
            </w:r>
          </w:p>
        </w:tc>
        <w:tc>
          <w:tcPr>
            <w:tcW w:w="2260" w:type="dxa"/>
            <w:vAlign w:val="bottom"/>
          </w:tcPr>
          <w:p>
            <w:pPr>
              <w:ind w:left="1560"/>
              <w:spacing w:after="0"/>
              <w:rPr>
                <w:sz w:val="20"/>
                <w:szCs w:val="20"/>
                <w:color w:val="auto"/>
              </w:rPr>
            </w:pPr>
            <w:r>
              <w:rPr>
                <w:rFonts w:ascii="Times New Roman" w:cs="Times New Roman" w:eastAsia="Times New Roman" w:hAnsi="Times New Roman"/>
                <w:sz w:val="12"/>
                <w:szCs w:val="12"/>
                <w:color w:val="auto"/>
              </w:rPr>
              <w:t>By:</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Anshul Maheshwari</w:t>
            </w:r>
          </w:p>
        </w:tc>
      </w:tr>
      <w:tr>
        <w:trPr>
          <w:trHeight w:val="144"/>
        </w:trPr>
        <w:tc>
          <w:tcPr>
            <w:tcW w:w="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Anshul Maheshwari</w:t>
            </w:r>
          </w:p>
        </w:tc>
      </w:tr>
    </w:tbl>
    <w:p>
      <w:pPr>
        <w:ind w:left="54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ectPr>
          <w:pgSz w:w="11900" w:h="16838" w:orient="portrait"/>
          <w:cols w:equalWidth="0" w:num="1">
            <w:col w:w="11280"/>
          </w:cols>
          <w:pgMar w:left="300" w:top="63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13335</wp:posOffset>
            </wp:positionV>
            <wp:extent cx="880110" cy="502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011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SI-BONE Announces Preliminary Revenue for the Fourth Quarter and Full Year 2022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Fourth Quarter revenue of $31.7 - $31.9 million representing growth of approximately 26%</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Fiscal Year 2022 revenue of $106.1 - $106.3 million representing growth of approximately 18%</w:t>
      </w:r>
    </w:p>
    <w:p>
      <w:pPr>
        <w:spacing w:after="0" w:line="14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b w:val="1"/>
          <w:bCs w:val="1"/>
          <w:color w:val="auto"/>
        </w:rPr>
        <w:t>SANTA CLARA, Calif.</w:t>
      </w:r>
      <w:r>
        <w:rPr>
          <w:rFonts w:ascii="Times New Roman" w:cs="Times New Roman" w:eastAsia="Times New Roman" w:hAnsi="Times New Roman"/>
          <w:sz w:val="13"/>
          <w:szCs w:val="13"/>
          <w:color w:val="auto"/>
        </w:rPr>
        <w:t>, January 9, 2023 – SI-BONE, Inc. (Nasdaq: SIBN), a medical device company dedicated to solving musculoskeletal disorders of the sacropelvic anatomy, today announced its preliminary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unaudited revenue for fourth quarter and full year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Fourth Quarter 2022 Summary</w:t>
      </w:r>
    </w:p>
    <w:p>
      <w:pPr>
        <w:spacing w:after="0" w:line="33"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Worldwide revenue expected to be in the range of $31.7-$31.9 million, representing growth of approximately 26% compared to the prior year period</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expected to be in the range of $29.8-$29.9 million, representing growth of approximately 28% compared to the prior year period</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Ended the quarter with a record 920 active surgeons in the U.S., representing growth of approximately 33% compared to the prior year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Year 2022 Summary</w:t>
      </w:r>
    </w:p>
    <w:p>
      <w:pPr>
        <w:spacing w:after="0" w:line="42"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Worldwide revenue expected to be in the range of $106.1-106.3 million, representing growth of approximately 18% compared to the prior year period</w:t>
      </w:r>
    </w:p>
    <w:p>
      <w:pPr>
        <w:spacing w:after="0" w:line="19"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expected to be in the range of $98.6-$98.7 million, representing growth of approximately 19% compared to the prior year period</w:t>
      </w:r>
    </w:p>
    <w:p>
      <w:pPr>
        <w:spacing w:after="0" w:line="19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3"/>
          <w:szCs w:val="13"/>
          <w:color w:val="auto"/>
        </w:rPr>
        <w:t>Cash and marketable securities are expected to be approximately $96 million as of December 31, 2022. On January 6, the Company refinanced the existing $35 million SVB Term Loan with a new $51 million Credit Facility with Silicon Valley Bank (SVB) including a new $36 million Term Loan and a $15 million Revolving Line of Credit. The Credit Facility includes an additional $15 million Term Loan accordion, that could be made available to the Company at the discretion of SVB. The new Term Loan under the Credit Facility will start amortizing in July 2025.</w:t>
      </w:r>
    </w:p>
    <w:p>
      <w:pPr>
        <w:spacing w:after="0" w:line="12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auto"/>
        </w:rPr>
        <w:t>The fourth quarter and full year 2022 revenue and cash and marketable securities included in this release are preliminary and prior to the completion of SI-BONE's financial closing procedures and audit procedures by its external auditors and therefore may be subject to adjustment. SI-BONE expects to provide fourth quarter and full year 2022 financial results during its fourth quarter 2022 earnings call in February 2023.</w:t>
      </w:r>
    </w:p>
    <w:p>
      <w:pPr>
        <w:sectPr>
          <w:pgSz w:w="11900" w:h="16838" w:orient="portrait"/>
          <w:cols w:equalWidth="0" w:num="1">
            <w:col w:w="11300"/>
          </w:cols>
          <w:pgMar w:left="300" w:top="638"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t>About SI-BONE, Inc.</w:t>
      </w:r>
    </w:p>
    <w:p>
      <w:pPr>
        <w:spacing w:after="0" w:line="2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3"/>
          <w:szCs w:val="13"/>
          <w:color w:val="auto"/>
        </w:rPr>
        <w:t>SI-BONE (NASDAQ: SIBN) is a global leader in technology for surgical treatment of musculoskeletal disorders of the sacropelvic anatomy. Since 2009, when SI-BONE introduced the iFuse Implant System for minimally invasive surgery of the SI joint, over 3,000 surgeons have performed a combined total of more than 75,000 SI joint fusion procedures. A unique body of evidence, supporting the iFuse Implant System, including two randomized controlled trials and over 100 peer reviewed publications, has enabled multiple government and private insurance payors to establish near-universal coverage of minimally invasive SI joint fusion, including many payors that cover the procedure exclusively when performed with the iFuse Implant System. Supported by this proprietary reimbursement advantage, SI-BONE has actively leveraged its market leadership position in recent years to further clinical research, and evolve and commercialize novel surgical treatment solutions for SI-Joint pain, sacropelvic and pelvic fixation, and pelvic trauma.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For additional information on the company or the products including risks and benefits, please visit </w:t>
      </w:r>
      <w:r>
        <w:rPr>
          <w:rFonts w:ascii="Times New Roman" w:cs="Times New Roman" w:eastAsia="Times New Roman" w:hAnsi="Times New Roman"/>
          <w:sz w:val="13"/>
          <w:szCs w:val="13"/>
          <w:color w:val="0000FF"/>
        </w:rPr>
        <w:t>www.si-bone.com</w:t>
      </w:r>
      <w:r>
        <w:rPr>
          <w:rFonts w:ascii="Times New Roman" w:cs="Times New Roman" w:eastAsia="Times New Roman" w:hAnsi="Times New Roman"/>
          <w:sz w:val="13"/>
          <w:szCs w:val="13"/>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SI-BONE, iFuse Implant System and iFuse-TORQ are registered trademarks of SI-BONE, Inc. ©2023 SI-BONE, Inc. All Rights Reserved.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20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3"/>
          <w:szCs w:val="13"/>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SI-BONE’s preliminary fourth quarter and full year 2022 revenue and cash and marketable securities, which is subject to continued review by SI-BONE and its auditors and significant adjustments may be made before final results are determined, SI-BONE's ability to introduce and commercialize new products and indications, the impact of future fluctuations in currency exchange rates on SI-BONE's revenues, future capital requirements driven by new surgical systems requiring instrument tray investment, and the future impact the COVID-19 pandemic will have on the ability and desire of patients and physicians to undergo procedures using the iFuse Implant System.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Saqib Iqbal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investors@SI-BONE.com</w:t>
      </w:r>
    </w:p>
    <w:p>
      <w:pPr>
        <w:sectPr>
          <w:pgSz w:w="11900" w:h="16838" w:orient="portrait"/>
          <w:cols w:equalWidth="0" w:num="1">
            <w:col w:w="11300"/>
          </w:cols>
          <w:pgMar w:left="300" w:top="654" w:right="2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2023-01-09T08:07:17Z</dcterms:created>
  <dcterms:modified xsi:type="dcterms:W3CDTF">2023-01-09T08:07:17Z</dcterms:modified>
</cp:coreProperties>
</file>