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80"/>
        <w:spacing w:after="0"/>
        <w:rPr>
          <w:sz w:val="20"/>
          <w:szCs w:val="20"/>
          <w:color w:val="auto"/>
        </w:rPr>
      </w:pPr>
      <w:r>
        <w:rPr>
          <w:rFonts w:ascii="Arial" w:cs="Arial" w:eastAsia="Arial" w:hAnsi="Arial"/>
          <w:sz w:val="22"/>
          <w:szCs w:val="22"/>
          <w:b w:val="1"/>
          <w:bCs w:val="1"/>
          <w:color w:val="auto"/>
        </w:rPr>
        <w:t>UNITED STATES</w:t>
      </w:r>
    </w:p>
    <w:p>
      <w:pPr>
        <w:spacing w:after="0" w:line="71" w:lineRule="exact"/>
        <w:rPr>
          <w:sz w:val="24"/>
          <w:szCs w:val="24"/>
          <w:color w:val="auto"/>
        </w:rPr>
      </w:pPr>
    </w:p>
    <w:p>
      <w:pPr>
        <w:ind w:left="3300"/>
        <w:spacing w:after="0"/>
        <w:rPr>
          <w:sz w:val="20"/>
          <w:szCs w:val="20"/>
          <w:color w:val="auto"/>
        </w:rPr>
      </w:pPr>
      <w:r>
        <w:rPr>
          <w:rFonts w:ascii="Arial" w:cs="Arial" w:eastAsia="Arial" w:hAnsi="Arial"/>
          <w:sz w:val="22"/>
          <w:szCs w:val="22"/>
          <w:b w:val="1"/>
          <w:bCs w:val="1"/>
          <w:color w:val="auto"/>
        </w:rPr>
        <w:t>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38735</wp:posOffset>
            </wp:positionV>
            <wp:extent cx="19888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39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217805</wp:posOffset>
            </wp:positionV>
            <wp:extent cx="19888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(Mark one)</w:t>
      </w:r>
    </w:p>
    <w:p>
      <w:pPr>
        <w:spacing w:after="0" w:line="19" w:lineRule="exact"/>
        <w:rPr>
          <w:sz w:val="24"/>
          <w:szCs w:val="24"/>
          <w:color w:val="auto"/>
        </w:rPr>
      </w:pPr>
    </w:p>
    <w:p>
      <w:pPr>
        <w:ind w:left="1620" w:hanging="219"/>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For the quarterly period ended September 30, 2020</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262" w:lineRule="exact"/>
        <w:rPr>
          <w:sz w:val="24"/>
          <w:szCs w:val="24"/>
          <w:color w:val="auto"/>
        </w:rPr>
      </w:pPr>
    </w:p>
    <w:p>
      <w:pPr>
        <w:ind w:left="1600" w:hanging="205"/>
        <w:spacing w:after="0"/>
        <w:tabs>
          <w:tab w:leader="none" w:pos="160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1"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Arial" w:cs="Arial" w:eastAsia="Arial" w:hAnsi="Arial"/>
          <w:sz w:val="14"/>
          <w:szCs w:val="14"/>
          <w:b w:val="1"/>
          <w:bCs w:val="1"/>
          <w:color w:val="auto"/>
        </w:rPr>
        <w:t>For the transition period from __________ to __________</w:t>
      </w: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Commission File Number: 001-38701</w:t>
      </w:r>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SI-BONE, INC.</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70485</wp:posOffset>
            </wp:positionV>
            <wp:extent cx="19888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4820" w:type="dxa"/>
            <w:vAlign w:val="bottom"/>
            <w:gridSpan w:val="4"/>
          </w:tcPr>
          <w:p>
            <w:pPr>
              <w:jc w:val="center"/>
              <w:ind w:left="85"/>
              <w:spacing w:after="0"/>
              <w:rPr>
                <w:sz w:val="20"/>
                <w:szCs w:val="20"/>
                <w:color w:val="auto"/>
              </w:rPr>
            </w:pPr>
            <w:r>
              <w:rPr>
                <w:rFonts w:ascii="Arial" w:cs="Arial" w:eastAsia="Arial" w:hAnsi="Arial"/>
                <w:sz w:val="16"/>
                <w:szCs w:val="16"/>
                <w:b w:val="1"/>
                <w:bCs w:val="1"/>
                <w:color w:val="auto"/>
                <w:w w:val="93"/>
              </w:rPr>
              <w:t>Delaware</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760" w:type="dxa"/>
            <w:vAlign w:val="bottom"/>
            <w:gridSpan w:val="2"/>
          </w:tcPr>
          <w:p>
            <w:pPr>
              <w:jc w:val="center"/>
              <w:ind w:left="702"/>
              <w:spacing w:after="0"/>
              <w:rPr>
                <w:sz w:val="20"/>
                <w:szCs w:val="20"/>
                <w:color w:val="auto"/>
              </w:rPr>
            </w:pPr>
            <w:r>
              <w:rPr>
                <w:rFonts w:ascii="Arial" w:cs="Arial" w:eastAsia="Arial" w:hAnsi="Arial"/>
                <w:sz w:val="16"/>
                <w:szCs w:val="16"/>
                <w:b w:val="1"/>
                <w:bCs w:val="1"/>
                <w:color w:val="auto"/>
                <w:w w:val="91"/>
              </w:rPr>
              <w:t>26-2216351</w:t>
            </w:r>
          </w:p>
        </w:tc>
      </w:tr>
      <w:tr>
        <w:trPr>
          <w:trHeight w:val="144"/>
        </w:trPr>
        <w:tc>
          <w:tcPr>
            <w:tcW w:w="4820" w:type="dxa"/>
            <w:vAlign w:val="bottom"/>
            <w:gridSpan w:val="4"/>
          </w:tcPr>
          <w:p>
            <w:pPr>
              <w:jc w:val="center"/>
              <w:ind w:left="85"/>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80" w:type="dxa"/>
            <w:vAlign w:val="bottom"/>
          </w:tcPr>
          <w:p>
            <w:pPr>
              <w:ind w:left="1160"/>
              <w:spacing w:after="0" w:line="145" w:lineRule="exact"/>
              <w:rPr>
                <w:sz w:val="20"/>
                <w:szCs w:val="20"/>
                <w:color w:val="auto"/>
              </w:rPr>
            </w:pPr>
            <w:r>
              <w:rPr>
                <w:rFonts w:ascii="Arial" w:cs="Arial" w:eastAsia="Arial" w:hAnsi="Arial"/>
                <w:sz w:val="14"/>
                <w:szCs w:val="14"/>
                <w:b w:val="1"/>
                <w:bCs w:val="1"/>
                <w:color w:val="auto"/>
              </w:rPr>
              <w:t>(I.R.S. Employer</w:t>
            </w:r>
          </w:p>
        </w:tc>
      </w:tr>
      <w:tr>
        <w:trPr>
          <w:trHeight w:val="186"/>
        </w:trPr>
        <w:tc>
          <w:tcPr>
            <w:tcW w:w="4820" w:type="dxa"/>
            <w:vAlign w:val="bottom"/>
            <w:gridSpan w:val="4"/>
          </w:tcPr>
          <w:p>
            <w:pPr>
              <w:jc w:val="center"/>
              <w:ind w:left="85"/>
              <w:spacing w:after="0"/>
              <w:rPr>
                <w:sz w:val="20"/>
                <w:szCs w:val="20"/>
                <w:color w:val="auto"/>
              </w:rPr>
            </w:pPr>
            <w:r>
              <w:rPr>
                <w:rFonts w:ascii="Arial" w:cs="Arial" w:eastAsia="Arial" w:hAnsi="Arial"/>
                <w:sz w:val="14"/>
                <w:szCs w:val="14"/>
                <w:b w:val="1"/>
                <w:bCs w:val="1"/>
                <w:color w:val="auto"/>
                <w:w w:val="95"/>
              </w:rPr>
              <w:t>Incorporation or Organization)</w:t>
            </w: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tcPr>
          <w:p>
            <w:pPr>
              <w:jc w:val="center"/>
              <w:ind w:left="628"/>
              <w:spacing w:after="0"/>
              <w:rPr>
                <w:sz w:val="20"/>
                <w:szCs w:val="20"/>
                <w:color w:val="auto"/>
              </w:rPr>
            </w:pPr>
            <w:r>
              <w:rPr>
                <w:rFonts w:ascii="Arial" w:cs="Arial" w:eastAsia="Arial" w:hAnsi="Arial"/>
                <w:sz w:val="14"/>
                <w:szCs w:val="14"/>
                <w:b w:val="1"/>
                <w:bCs w:val="1"/>
                <w:color w:val="auto"/>
                <w:w w:val="95"/>
              </w:rPr>
              <w:t>Identification Number)</w:t>
            </w:r>
          </w:p>
        </w:tc>
      </w:tr>
      <w:tr>
        <w:trPr>
          <w:trHeight w:val="588"/>
        </w:trPr>
        <w:tc>
          <w:tcPr>
            <w:tcW w:w="4820" w:type="dxa"/>
            <w:vAlign w:val="bottom"/>
            <w:gridSpan w:val="4"/>
          </w:tcPr>
          <w:p>
            <w:pPr>
              <w:jc w:val="center"/>
              <w:ind w:left="65"/>
              <w:spacing w:after="0"/>
              <w:rPr>
                <w:sz w:val="20"/>
                <w:szCs w:val="20"/>
                <w:color w:val="auto"/>
              </w:rPr>
            </w:pPr>
            <w:r>
              <w:rPr>
                <w:rFonts w:ascii="Arial" w:cs="Arial" w:eastAsia="Arial" w:hAnsi="Arial"/>
                <w:sz w:val="16"/>
                <w:szCs w:val="16"/>
                <w:b w:val="1"/>
                <w:bCs w:val="1"/>
                <w:color w:val="auto"/>
                <w:w w:val="93"/>
              </w:rPr>
              <w:t>471 El Camino Real, Suite 101, Santa Clara, California</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60" w:type="dxa"/>
            <w:vAlign w:val="bottom"/>
            <w:gridSpan w:val="2"/>
          </w:tcPr>
          <w:p>
            <w:pPr>
              <w:jc w:val="center"/>
              <w:ind w:left="722"/>
              <w:spacing w:after="0"/>
              <w:rPr>
                <w:sz w:val="20"/>
                <w:szCs w:val="20"/>
                <w:color w:val="auto"/>
              </w:rPr>
            </w:pPr>
            <w:r>
              <w:rPr>
                <w:rFonts w:ascii="Arial" w:cs="Arial" w:eastAsia="Arial" w:hAnsi="Arial"/>
                <w:sz w:val="16"/>
                <w:szCs w:val="16"/>
                <w:b w:val="1"/>
                <w:bCs w:val="1"/>
                <w:color w:val="auto"/>
                <w:w w:val="89"/>
              </w:rPr>
              <w:t>95050</w:t>
            </w:r>
          </w:p>
        </w:tc>
      </w:tr>
      <w:tr>
        <w:trPr>
          <w:trHeight w:val="186"/>
        </w:trPr>
        <w:tc>
          <w:tcPr>
            <w:tcW w:w="4820" w:type="dxa"/>
            <w:vAlign w:val="bottom"/>
            <w:gridSpan w:val="4"/>
          </w:tcPr>
          <w:p>
            <w:pPr>
              <w:jc w:val="center"/>
              <w:ind w:left="85"/>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tcPr>
          <w:p>
            <w:pPr>
              <w:jc w:val="center"/>
              <w:ind w:left="668"/>
              <w:spacing w:after="0"/>
              <w:rPr>
                <w:sz w:val="20"/>
                <w:szCs w:val="20"/>
                <w:color w:val="auto"/>
              </w:rPr>
            </w:pPr>
            <w:r>
              <w:rPr>
                <w:rFonts w:ascii="Arial" w:cs="Arial" w:eastAsia="Arial" w:hAnsi="Arial"/>
                <w:sz w:val="14"/>
                <w:szCs w:val="14"/>
                <w:b w:val="1"/>
                <w:bCs w:val="1"/>
                <w:color w:val="auto"/>
                <w:w w:val="95"/>
              </w:rPr>
              <w:t>(Zip Code)</w:t>
            </w:r>
          </w:p>
        </w:tc>
      </w:tr>
      <w:tr>
        <w:trPr>
          <w:trHeight w:val="270"/>
        </w:trPr>
        <w:tc>
          <w:tcPr>
            <w:tcW w:w="2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560" w:type="dxa"/>
            <w:vAlign w:val="bottom"/>
            <w:gridSpan w:val="7"/>
          </w:tcPr>
          <w:p>
            <w:pPr>
              <w:ind w:left="200"/>
              <w:spacing w:after="0"/>
              <w:rPr>
                <w:sz w:val="20"/>
                <w:szCs w:val="20"/>
                <w:color w:val="auto"/>
              </w:rPr>
            </w:pPr>
            <w:r>
              <w:rPr>
                <w:rFonts w:ascii="Arial" w:cs="Arial" w:eastAsia="Arial" w:hAnsi="Arial"/>
                <w:sz w:val="14"/>
                <w:szCs w:val="14"/>
                <w:b w:val="1"/>
                <w:bCs w:val="1"/>
                <w:color w:val="auto"/>
              </w:rPr>
              <w:t>Registrant's telephone number, including area code</w:t>
            </w:r>
            <w:r>
              <w:rPr>
                <w:rFonts w:ascii="Arial" w:cs="Arial" w:eastAsia="Arial" w:hAnsi="Arial"/>
                <w:sz w:val="14"/>
                <w:szCs w:val="14"/>
                <w:color w:val="auto"/>
              </w:rPr>
              <w:t>:</w:t>
            </w:r>
            <w:r>
              <w:rPr>
                <w:rFonts w:ascii="Arial" w:cs="Arial" w:eastAsia="Arial" w:hAnsi="Arial"/>
                <w:sz w:val="14"/>
                <w:szCs w:val="14"/>
                <w:b w:val="1"/>
                <w:bCs w:val="1"/>
                <w:color w:val="auto"/>
              </w:rPr>
              <w:t xml:space="preserve"> (408) 207-0700</w:t>
            </w:r>
          </w:p>
        </w:tc>
      </w:tr>
      <w:tr>
        <w:trPr>
          <w:trHeight w:val="59"/>
        </w:trPr>
        <w:tc>
          <w:tcPr>
            <w:tcW w:w="2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680" w:type="dxa"/>
            <w:vAlign w:val="bottom"/>
          </w:tcPr>
          <w:p>
            <w:pPr>
              <w:spacing w:after="0"/>
              <w:rPr>
                <w:sz w:val="5"/>
                <w:szCs w:val="5"/>
                <w:color w:val="auto"/>
              </w:rPr>
            </w:pPr>
          </w:p>
        </w:tc>
      </w:tr>
      <w:tr>
        <w:trPr>
          <w:trHeight w:val="272"/>
        </w:trPr>
        <w:tc>
          <w:tcPr>
            <w:tcW w:w="482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174"/>
        </w:trPr>
        <w:tc>
          <w:tcPr>
            <w:tcW w:w="2300" w:type="dxa"/>
            <w:vAlign w:val="bottom"/>
          </w:tcPr>
          <w:p>
            <w:pPr>
              <w:spacing w:after="0"/>
              <w:rPr>
                <w:sz w:val="15"/>
                <w:szCs w:val="15"/>
                <w:color w:val="auto"/>
              </w:rPr>
            </w:pPr>
          </w:p>
        </w:tc>
        <w:tc>
          <w:tcPr>
            <w:tcW w:w="252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89"/>
              </w:rPr>
              <w:t>Title of each class</w:t>
            </w:r>
          </w:p>
        </w:tc>
        <w:tc>
          <w:tcPr>
            <w:tcW w:w="23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Trading Symbol(s)</w:t>
            </w:r>
          </w:p>
        </w:tc>
        <w:tc>
          <w:tcPr>
            <w:tcW w:w="276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2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198"/>
        </w:trPr>
        <w:tc>
          <w:tcPr>
            <w:tcW w:w="4820" w:type="dxa"/>
            <w:vAlign w:val="bottom"/>
            <w:gridSpan w:val="4"/>
          </w:tcPr>
          <w:p>
            <w:pPr>
              <w:jc w:val="center"/>
              <w:ind w:left="805"/>
              <w:spacing w:after="0"/>
              <w:rPr>
                <w:sz w:val="20"/>
                <w:szCs w:val="20"/>
                <w:color w:val="auto"/>
              </w:rPr>
            </w:pPr>
            <w:r>
              <w:rPr>
                <w:rFonts w:ascii="Arial" w:cs="Arial" w:eastAsia="Arial" w:hAnsi="Arial"/>
                <w:sz w:val="14"/>
                <w:szCs w:val="14"/>
                <w:color w:val="auto"/>
                <w:w w:val="92"/>
              </w:rPr>
              <w:t>Common Stock, par value $0.0001 per share</w:t>
            </w:r>
          </w:p>
        </w:tc>
        <w:tc>
          <w:tcPr>
            <w:tcW w:w="440" w:type="dxa"/>
            <w:vAlign w:val="bottom"/>
          </w:tcPr>
          <w:p>
            <w:pPr>
              <w:spacing w:after="0"/>
              <w:rPr>
                <w:sz w:val="17"/>
                <w:szCs w:val="17"/>
                <w:color w:val="auto"/>
              </w:rPr>
            </w:pPr>
          </w:p>
        </w:tc>
        <w:tc>
          <w:tcPr>
            <w:tcW w:w="1920" w:type="dxa"/>
            <w:vAlign w:val="bottom"/>
            <w:gridSpan w:val="2"/>
          </w:tcPr>
          <w:p>
            <w:pPr>
              <w:jc w:val="center"/>
              <w:ind w:right="780"/>
              <w:spacing w:after="0"/>
              <w:rPr>
                <w:sz w:val="20"/>
                <w:szCs w:val="20"/>
                <w:color w:val="auto"/>
              </w:rPr>
            </w:pPr>
            <w:r>
              <w:rPr>
                <w:rFonts w:ascii="Arial" w:cs="Arial" w:eastAsia="Arial" w:hAnsi="Arial"/>
                <w:sz w:val="14"/>
                <w:szCs w:val="14"/>
                <w:color w:val="auto"/>
              </w:rPr>
              <w:t>SIBN</w:t>
            </w:r>
          </w:p>
        </w:tc>
        <w:tc>
          <w:tcPr>
            <w:tcW w:w="8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3"/>
              </w:rPr>
              <w:t>The Nasdaq Global Market</w:t>
            </w:r>
          </w:p>
        </w:tc>
      </w:tr>
    </w:tbl>
    <w:p>
      <w:pPr>
        <w:spacing w:after="0" w:line="200" w:lineRule="exact"/>
        <w:rPr>
          <w:sz w:val="24"/>
          <w:szCs w:val="24"/>
          <w:color w:val="auto"/>
        </w:rPr>
      </w:pPr>
    </w:p>
    <w:p>
      <w:pPr>
        <w:spacing w:after="0" w:line="252" w:lineRule="exact"/>
        <w:rPr>
          <w:sz w:val="24"/>
          <w:szCs w:val="24"/>
          <w:color w:val="auto"/>
        </w:rPr>
      </w:pPr>
    </w:p>
    <w:p>
      <w:pPr>
        <w:jc w:val="center"/>
        <w:ind w:left="380" w:right="60"/>
        <w:spacing w:after="0" w:line="29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52" w:lineRule="exact"/>
        <w:rPr>
          <w:sz w:val="24"/>
          <w:szCs w:val="24"/>
          <w:color w:val="auto"/>
        </w:rPr>
      </w:pPr>
    </w:p>
    <w:p>
      <w:pPr>
        <w:jc w:val="center"/>
        <w:ind w:left="380"/>
        <w:spacing w:after="0" w:line="29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52" w:lineRule="exact"/>
        <w:rPr>
          <w:sz w:val="24"/>
          <w:szCs w:val="24"/>
          <w:color w:val="auto"/>
        </w:rPr>
      </w:pPr>
    </w:p>
    <w:p>
      <w:pPr>
        <w:jc w:val="center"/>
        <w:ind w:left="360" w:right="20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1680" w:type="dxa"/>
        <w:tblCellMar>
          <w:top w:w="0" w:type="dxa"/>
          <w:left w:w="0" w:type="dxa"/>
          <w:bottom w:w="0" w:type="dxa"/>
          <w:right w:w="0" w:type="dxa"/>
        </w:tblCellMar>
      </w:tblPr>
      <w:tr>
        <w:trPr>
          <w:trHeight w:val="189"/>
        </w:trPr>
        <w:tc>
          <w:tcPr>
            <w:tcW w:w="1760" w:type="dxa"/>
            <w:vAlign w:val="bottom"/>
          </w:tcPr>
          <w:p>
            <w:pPr>
              <w:jc w:val="center"/>
              <w:ind w:right="108"/>
              <w:spacing w:after="0"/>
              <w:rPr>
                <w:sz w:val="20"/>
                <w:szCs w:val="20"/>
                <w:color w:val="auto"/>
              </w:rPr>
            </w:pPr>
            <w:r>
              <w:rPr>
                <w:rFonts w:ascii="Arial" w:cs="Arial" w:eastAsia="Arial" w:hAnsi="Arial"/>
                <w:sz w:val="14"/>
                <w:szCs w:val="14"/>
                <w:color w:val="auto"/>
                <w:w w:val="93"/>
              </w:rPr>
              <w:t>Large accelerated filer</w:t>
            </w:r>
          </w:p>
        </w:tc>
        <w:tc>
          <w:tcPr>
            <w:tcW w:w="7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220" w:type="dxa"/>
            <w:vAlign w:val="bottom"/>
          </w:tcPr>
          <w:p>
            <w:pPr>
              <w:jc w:val="center"/>
              <w:ind w:left="188"/>
              <w:spacing w:after="0"/>
              <w:rPr>
                <w:sz w:val="20"/>
                <w:szCs w:val="20"/>
                <w:color w:val="auto"/>
              </w:rPr>
            </w:pPr>
            <w:r>
              <w:rPr>
                <w:rFonts w:ascii="Arial" w:cs="Arial" w:eastAsia="Arial" w:hAnsi="Arial"/>
                <w:sz w:val="14"/>
                <w:szCs w:val="14"/>
                <w:color w:val="auto"/>
                <w:w w:val="95"/>
              </w:rPr>
              <w:t>Accelerated filer</w:t>
            </w:r>
          </w:p>
        </w:tc>
        <w:tc>
          <w:tcPr>
            <w:tcW w:w="8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040" w:type="dxa"/>
            <w:vAlign w:val="bottom"/>
          </w:tcPr>
          <w:p>
            <w:pPr>
              <w:ind w:left="540"/>
              <w:spacing w:after="0"/>
              <w:rPr>
                <w:sz w:val="20"/>
                <w:szCs w:val="20"/>
                <w:color w:val="auto"/>
              </w:rPr>
            </w:pPr>
            <w:r>
              <w:rPr>
                <w:rFonts w:ascii="Arial" w:cs="Arial" w:eastAsia="Arial" w:hAnsi="Arial"/>
                <w:sz w:val="14"/>
                <w:szCs w:val="14"/>
                <w:color w:val="auto"/>
              </w:rPr>
              <w:t>Non-accelerated filer</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0"/>
        </w:trPr>
        <w:tc>
          <w:tcPr>
            <w:tcW w:w="1760" w:type="dxa"/>
            <w:vAlign w:val="bottom"/>
          </w:tcPr>
          <w:p>
            <w:pPr>
              <w:jc w:val="center"/>
              <w:ind w:right="108"/>
              <w:spacing w:after="0"/>
              <w:rPr>
                <w:sz w:val="20"/>
                <w:szCs w:val="20"/>
                <w:color w:val="auto"/>
              </w:rPr>
            </w:pPr>
            <w:r>
              <w:rPr>
                <w:rFonts w:ascii="Arial" w:cs="Arial" w:eastAsia="Arial" w:hAnsi="Arial"/>
                <w:sz w:val="14"/>
                <w:szCs w:val="14"/>
                <w:color w:val="auto"/>
                <w:w w:val="94"/>
              </w:rPr>
              <w:t>Smaller reporting company</w:t>
            </w:r>
          </w:p>
        </w:tc>
        <w:tc>
          <w:tcPr>
            <w:tcW w:w="7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220" w:type="dxa"/>
            <w:vAlign w:val="bottom"/>
          </w:tcPr>
          <w:p>
            <w:pPr>
              <w:jc w:val="center"/>
              <w:ind w:left="208"/>
              <w:spacing w:after="0"/>
              <w:rPr>
                <w:sz w:val="20"/>
                <w:szCs w:val="20"/>
                <w:color w:val="auto"/>
              </w:rPr>
            </w:pPr>
            <w:r>
              <w:rPr>
                <w:rFonts w:ascii="Arial" w:cs="Arial" w:eastAsia="Arial" w:hAnsi="Arial"/>
                <w:sz w:val="14"/>
                <w:szCs w:val="14"/>
                <w:color w:val="auto"/>
                <w:w w:val="94"/>
              </w:rPr>
              <w:t>Emerging growth company</w:t>
            </w:r>
          </w:p>
        </w:tc>
        <w:tc>
          <w:tcPr>
            <w:tcW w:w="8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0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85" w:lineRule="exact"/>
        <w:rPr>
          <w:sz w:val="24"/>
          <w:szCs w:val="24"/>
          <w:color w:val="auto"/>
        </w:rPr>
      </w:pPr>
    </w:p>
    <w:p>
      <w:pPr>
        <w:jc w:val="center"/>
        <w:ind w:left="380" w:right="2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59" w:lineRule="exact"/>
        <w:rPr>
          <w:sz w:val="24"/>
          <w:szCs w:val="24"/>
          <w:color w:val="auto"/>
        </w:rPr>
      </w:pPr>
    </w:p>
    <w:p>
      <w:pPr>
        <w:jc w:val="center"/>
        <w:ind w:right="-59"/>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The number of shares outstanding of the registrant’s Common Stock was 32,360,839 as of October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492760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73"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200" w:type="dxa"/>
            <w:vAlign w:val="bottom"/>
          </w:tcPr>
          <w:p>
            <w:pPr>
              <w:spacing w:after="0"/>
              <w:rPr>
                <w:sz w:val="16"/>
                <w:szCs w:val="16"/>
                <w:color w:val="auto"/>
              </w:rPr>
            </w:pPr>
          </w:p>
        </w:tc>
        <w:tc>
          <w:tcPr>
            <w:tcW w:w="9500" w:type="dxa"/>
            <w:vAlign w:val="bottom"/>
          </w:tcPr>
          <w:p>
            <w:pPr>
              <w:spacing w:after="0"/>
              <w:rPr>
                <w:sz w:val="16"/>
                <w:szCs w:val="16"/>
                <w:color w:val="auto"/>
              </w:rPr>
            </w:pP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r>
      <w:tr>
        <w:trPr>
          <w:trHeight w:val="229"/>
        </w:trPr>
        <w:tc>
          <w:tcPr>
            <w:tcW w:w="1200" w:type="dxa"/>
            <w:vAlign w:val="bottom"/>
          </w:tcPr>
          <w:p>
            <w:pPr>
              <w:spacing w:after="0"/>
              <w:rPr>
                <w:sz w:val="19"/>
                <w:szCs w:val="19"/>
                <w:color w:val="auto"/>
              </w:rPr>
            </w:pPr>
          </w:p>
        </w:tc>
        <w:tc>
          <w:tcPr>
            <w:tcW w:w="9500" w:type="dxa"/>
            <w:vAlign w:val="bottom"/>
          </w:tcPr>
          <w:p>
            <w:pPr>
              <w:ind w:left="3260"/>
              <w:spacing w:after="0"/>
              <w:rPr>
                <w:sz w:val="20"/>
                <w:szCs w:val="20"/>
                <w:color w:val="auto"/>
              </w:rPr>
            </w:pPr>
            <w:r>
              <w:rPr>
                <w:rFonts w:ascii="Arial" w:cs="Arial" w:eastAsia="Arial" w:hAnsi="Arial"/>
                <w:sz w:val="18"/>
                <w:szCs w:val="18"/>
                <w:b w:val="1"/>
                <w:bCs w:val="1"/>
                <w:color w:val="auto"/>
              </w:rPr>
              <w:t>PART I-FINANCIAL INFORMATION</w:t>
            </w:r>
          </w:p>
        </w:tc>
        <w:tc>
          <w:tcPr>
            <w:tcW w:w="520" w:type="dxa"/>
            <w:vAlign w:val="bottom"/>
          </w:tcPr>
          <w:p>
            <w:pPr>
              <w:spacing w:after="0"/>
              <w:rPr>
                <w:sz w:val="19"/>
                <w:szCs w:val="19"/>
                <w:color w:val="auto"/>
              </w:rPr>
            </w:pPr>
          </w:p>
        </w:tc>
      </w:tr>
      <w:tr>
        <w:trPr>
          <w:trHeight w:val="230"/>
        </w:trPr>
        <w:tc>
          <w:tcPr>
            <w:tcW w:w="1200" w:type="dxa"/>
            <w:vAlign w:val="bottom"/>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9500" w:type="dxa"/>
            <w:vAlign w:val="bottom"/>
          </w:tcPr>
          <w:p>
            <w:pPr>
              <w:ind w:left="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Financial Statements</w:t>
              </w:r>
            </w:hyperlink>
          </w:p>
        </w:tc>
        <w:tc>
          <w:tcPr>
            <w:tcW w:w="5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r>
      <w:tr>
        <w:trPr>
          <w:trHeight w:val="229"/>
        </w:trPr>
        <w:tc>
          <w:tcPr>
            <w:tcW w:w="1200" w:type="dxa"/>
            <w:vAlign w:val="bottom"/>
          </w:tcPr>
          <w:p>
            <w:pPr>
              <w:spacing w:after="0"/>
              <w:rPr>
                <w:sz w:val="19"/>
                <w:szCs w:val="19"/>
                <w:color w:val="auto"/>
              </w:rPr>
            </w:pPr>
          </w:p>
        </w:tc>
        <w:tc>
          <w:tcPr>
            <w:tcW w:w="9500" w:type="dxa"/>
            <w:vAlign w:val="bottom"/>
          </w:tcPr>
          <w:p>
            <w:pPr>
              <w:ind w:left="4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Balance Sheets (unaudited)</w:t>
              </w:r>
            </w:hyperlink>
          </w:p>
        </w:tc>
        <w:tc>
          <w:tcPr>
            <w:tcW w:w="5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r>
      <w:tr>
        <w:trPr>
          <w:trHeight w:val="229"/>
        </w:trPr>
        <w:tc>
          <w:tcPr>
            <w:tcW w:w="1200" w:type="dxa"/>
            <w:vAlign w:val="bottom"/>
          </w:tcPr>
          <w:p>
            <w:pPr>
              <w:spacing w:after="0"/>
              <w:rPr>
                <w:sz w:val="19"/>
                <w:szCs w:val="19"/>
                <w:color w:val="auto"/>
              </w:rPr>
            </w:pPr>
          </w:p>
        </w:tc>
        <w:tc>
          <w:tcPr>
            <w:tcW w:w="9500" w:type="dxa"/>
            <w:vAlign w:val="bottom"/>
          </w:tcPr>
          <w:p>
            <w:pPr>
              <w:ind w:left="4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Operations and Comprehensive Loss (unaudited)</w:t>
              </w:r>
            </w:hyperlink>
          </w:p>
        </w:tc>
        <w:tc>
          <w:tcPr>
            <w:tcW w:w="5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30"/>
        </w:trPr>
        <w:tc>
          <w:tcPr>
            <w:tcW w:w="1200" w:type="dxa"/>
            <w:vAlign w:val="bottom"/>
          </w:tcPr>
          <w:p>
            <w:pPr>
              <w:spacing w:after="0"/>
              <w:rPr>
                <w:sz w:val="19"/>
                <w:szCs w:val="19"/>
                <w:color w:val="auto"/>
              </w:rPr>
            </w:pPr>
          </w:p>
        </w:tc>
        <w:tc>
          <w:tcPr>
            <w:tcW w:w="9500" w:type="dxa"/>
            <w:vAlign w:val="bottom"/>
          </w:tcPr>
          <w:p>
            <w:pPr>
              <w:ind w:left="40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Changes in Stockholders' Equity (unaudited)</w:t>
              </w:r>
            </w:hyperlink>
          </w:p>
        </w:tc>
        <w:tc>
          <w:tcPr>
            <w:tcW w:w="52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tc>
      </w:tr>
      <w:tr>
        <w:trPr>
          <w:trHeight w:val="229"/>
        </w:trPr>
        <w:tc>
          <w:tcPr>
            <w:tcW w:w="1200" w:type="dxa"/>
            <w:vAlign w:val="bottom"/>
          </w:tcPr>
          <w:p>
            <w:pPr>
              <w:spacing w:after="0"/>
              <w:rPr>
                <w:sz w:val="19"/>
                <w:szCs w:val="19"/>
                <w:color w:val="auto"/>
              </w:rPr>
            </w:pPr>
          </w:p>
        </w:tc>
        <w:tc>
          <w:tcPr>
            <w:tcW w:w="9500" w:type="dxa"/>
            <w:vAlign w:val="bottom"/>
          </w:tcPr>
          <w:p>
            <w:pPr>
              <w:ind w:left="40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Condensed Consolidated Statements of Cash Flows (unaudited)</w:t>
              </w:r>
            </w:hyperlink>
          </w:p>
        </w:tc>
        <w:tc>
          <w:tcPr>
            <w:tcW w:w="52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8</w:t>
              </w:r>
            </w:hyperlink>
          </w:p>
        </w:tc>
      </w:tr>
      <w:tr>
        <w:trPr>
          <w:trHeight w:val="229"/>
        </w:trPr>
        <w:tc>
          <w:tcPr>
            <w:tcW w:w="1200" w:type="dxa"/>
            <w:vAlign w:val="bottom"/>
          </w:tcPr>
          <w:p>
            <w:pPr>
              <w:spacing w:after="0"/>
              <w:rPr>
                <w:sz w:val="19"/>
                <w:szCs w:val="19"/>
                <w:color w:val="auto"/>
              </w:rPr>
            </w:pPr>
          </w:p>
        </w:tc>
        <w:tc>
          <w:tcPr>
            <w:tcW w:w="9500" w:type="dxa"/>
            <w:vAlign w:val="bottom"/>
          </w:tcPr>
          <w:p>
            <w:pPr>
              <w:ind w:left="40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Condensed Consolidated Financial Statements (unaudited)</w:t>
              </w:r>
            </w:hyperlink>
          </w:p>
        </w:tc>
        <w:tc>
          <w:tcPr>
            <w:tcW w:w="52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9</w:t>
              </w:r>
            </w:hyperlink>
          </w:p>
        </w:tc>
      </w:tr>
      <w:tr>
        <w:trPr>
          <w:trHeight w:val="230"/>
        </w:trPr>
        <w:tc>
          <w:tcPr>
            <w:tcW w:w="1200" w:type="dxa"/>
            <w:vAlign w:val="bottom"/>
          </w:tcPr>
          <w:p>
            <w:pPr>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Item 2.</w:t>
              </w:r>
            </w:hyperlink>
          </w:p>
        </w:tc>
        <w:tc>
          <w:tcPr>
            <w:tcW w:w="9500" w:type="dxa"/>
            <w:vAlign w:val="bottom"/>
          </w:tcPr>
          <w:p>
            <w:pPr>
              <w:ind w:left="8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Management’s Discussion and Analysis of Financial Condition and Results of Operations</w:t>
              </w:r>
            </w:hyperlink>
          </w:p>
        </w:tc>
        <w:tc>
          <w:tcPr>
            <w:tcW w:w="520" w:type="dxa"/>
            <w:vAlign w:val="bottom"/>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23</w:t>
              </w:r>
            </w:hyperlink>
          </w:p>
        </w:tc>
      </w:tr>
      <w:tr>
        <w:trPr>
          <w:trHeight w:val="229"/>
        </w:trPr>
        <w:tc>
          <w:tcPr>
            <w:tcW w:w="1200" w:type="dxa"/>
            <w:vAlign w:val="bottom"/>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3.</w:t>
              </w:r>
            </w:hyperlink>
          </w:p>
        </w:tc>
        <w:tc>
          <w:tcPr>
            <w:tcW w:w="9500" w:type="dxa"/>
            <w:vAlign w:val="bottom"/>
          </w:tcPr>
          <w:p>
            <w:pPr>
              <w:ind w:left="8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Quantitative and Qualitative Disclosures About Market Risk</w:t>
              </w:r>
            </w:hyperlink>
          </w:p>
        </w:tc>
        <w:tc>
          <w:tcPr>
            <w:tcW w:w="52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36</w:t>
              </w:r>
            </w:hyperlink>
          </w:p>
        </w:tc>
      </w:tr>
      <w:tr>
        <w:trPr>
          <w:trHeight w:val="230"/>
        </w:trPr>
        <w:tc>
          <w:tcPr>
            <w:tcW w:w="1200" w:type="dxa"/>
            <w:vAlign w:val="bottom"/>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4.</w:t>
              </w:r>
            </w:hyperlink>
          </w:p>
        </w:tc>
        <w:tc>
          <w:tcPr>
            <w:tcW w:w="9500" w:type="dxa"/>
            <w:vAlign w:val="bottom"/>
          </w:tcPr>
          <w:p>
            <w:pPr>
              <w:ind w:left="8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Controls and Procedures</w:t>
              </w:r>
            </w:hyperlink>
          </w:p>
        </w:tc>
        <w:tc>
          <w:tcPr>
            <w:tcW w:w="52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36</w:t>
              </w:r>
            </w:hyperlink>
          </w:p>
        </w:tc>
      </w:tr>
      <w:tr>
        <w:trPr>
          <w:trHeight w:val="458"/>
        </w:trPr>
        <w:tc>
          <w:tcPr>
            <w:tcW w:w="1200" w:type="dxa"/>
            <w:vAlign w:val="bottom"/>
          </w:tcPr>
          <w:p>
            <w:pPr>
              <w:spacing w:after="0"/>
              <w:rPr>
                <w:sz w:val="24"/>
                <w:szCs w:val="24"/>
                <w:color w:val="auto"/>
              </w:rPr>
            </w:pPr>
          </w:p>
        </w:tc>
        <w:tc>
          <w:tcPr>
            <w:tcW w:w="9500" w:type="dxa"/>
            <w:vAlign w:val="bottom"/>
          </w:tcPr>
          <w:p>
            <w:pPr>
              <w:ind w:left="3420"/>
              <w:spacing w:after="0"/>
              <w:rPr>
                <w:sz w:val="20"/>
                <w:szCs w:val="20"/>
                <w:color w:val="auto"/>
              </w:rPr>
            </w:pPr>
            <w:r>
              <w:rPr>
                <w:rFonts w:ascii="Arial" w:cs="Arial" w:eastAsia="Arial" w:hAnsi="Arial"/>
                <w:sz w:val="18"/>
                <w:szCs w:val="18"/>
                <w:b w:val="1"/>
                <w:bCs w:val="1"/>
                <w:color w:val="auto"/>
              </w:rPr>
              <w:t>PART II-OTHER INFORMATION</w:t>
            </w:r>
          </w:p>
        </w:tc>
        <w:tc>
          <w:tcPr>
            <w:tcW w:w="520" w:type="dxa"/>
            <w:vAlign w:val="bottom"/>
          </w:tcPr>
          <w:p>
            <w:pPr>
              <w:spacing w:after="0"/>
              <w:rPr>
                <w:sz w:val="24"/>
                <w:szCs w:val="24"/>
                <w:color w:val="auto"/>
              </w:rPr>
            </w:pPr>
          </w:p>
        </w:tc>
      </w:tr>
      <w:tr>
        <w:trPr>
          <w:trHeight w:val="230"/>
        </w:trPr>
        <w:tc>
          <w:tcPr>
            <w:tcW w:w="1200" w:type="dxa"/>
            <w:vAlign w:val="bottom"/>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1.</w:t>
              </w:r>
            </w:hyperlink>
          </w:p>
        </w:tc>
        <w:tc>
          <w:tcPr>
            <w:tcW w:w="9500" w:type="dxa"/>
            <w:vAlign w:val="bottom"/>
          </w:tcPr>
          <w:p>
            <w:pPr>
              <w:ind w:left="8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Legal Proceedings</w:t>
              </w:r>
            </w:hyperlink>
          </w:p>
        </w:tc>
        <w:tc>
          <w:tcPr>
            <w:tcW w:w="52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37</w:t>
              </w:r>
            </w:hyperlink>
          </w:p>
        </w:tc>
      </w:tr>
      <w:tr>
        <w:trPr>
          <w:trHeight w:val="229"/>
        </w:trPr>
        <w:tc>
          <w:tcPr>
            <w:tcW w:w="1200" w:type="dxa"/>
            <w:vAlign w:val="bottom"/>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1A.</w:t>
              </w:r>
            </w:hyperlink>
          </w:p>
        </w:tc>
        <w:tc>
          <w:tcPr>
            <w:tcW w:w="9500" w:type="dxa"/>
            <w:vAlign w:val="bottom"/>
          </w:tcPr>
          <w:p>
            <w:pPr>
              <w:ind w:left="8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Risk Factors</w:t>
              </w:r>
            </w:hyperlink>
          </w:p>
        </w:tc>
        <w:tc>
          <w:tcPr>
            <w:tcW w:w="52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38</w:t>
              </w:r>
            </w:hyperlink>
          </w:p>
        </w:tc>
      </w:tr>
      <w:tr>
        <w:trPr>
          <w:trHeight w:val="229"/>
        </w:trPr>
        <w:tc>
          <w:tcPr>
            <w:tcW w:w="1200" w:type="dxa"/>
            <w:vAlign w:val="bottom"/>
          </w:tcPr>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Item 2.</w:t>
              </w:r>
            </w:hyperlink>
          </w:p>
        </w:tc>
        <w:tc>
          <w:tcPr>
            <w:tcW w:w="9500" w:type="dxa"/>
            <w:vAlign w:val="bottom"/>
          </w:tcPr>
          <w:p>
            <w:pPr>
              <w:ind w:left="8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Unregistered Sales of Equity Securities and Use of Proceeds</w:t>
              </w:r>
            </w:hyperlink>
          </w:p>
        </w:tc>
        <w:tc>
          <w:tcPr>
            <w:tcW w:w="520" w:type="dxa"/>
            <w:vAlign w:val="bottom"/>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72</w:t>
              </w:r>
            </w:hyperlink>
          </w:p>
        </w:tc>
      </w:tr>
      <w:tr>
        <w:trPr>
          <w:trHeight w:val="230"/>
        </w:trPr>
        <w:tc>
          <w:tcPr>
            <w:tcW w:w="1200" w:type="dxa"/>
            <w:vAlign w:val="bottom"/>
          </w:tcPr>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Item 3.</w:t>
              </w:r>
            </w:hyperlink>
          </w:p>
        </w:tc>
        <w:tc>
          <w:tcPr>
            <w:tcW w:w="9500" w:type="dxa"/>
            <w:vAlign w:val="bottom"/>
          </w:tcPr>
          <w:p>
            <w:pPr>
              <w:ind w:left="8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Defaults Upon Senior Securities</w:t>
              </w:r>
            </w:hyperlink>
          </w:p>
        </w:tc>
        <w:tc>
          <w:tcPr>
            <w:tcW w:w="520" w:type="dxa"/>
            <w:vAlign w:val="bottom"/>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72</w:t>
              </w:r>
            </w:hyperlink>
          </w:p>
        </w:tc>
      </w:tr>
      <w:tr>
        <w:trPr>
          <w:trHeight w:val="229"/>
        </w:trPr>
        <w:tc>
          <w:tcPr>
            <w:tcW w:w="1200" w:type="dxa"/>
            <w:vAlign w:val="bottom"/>
          </w:tcPr>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Item 4.</w:t>
              </w:r>
            </w:hyperlink>
          </w:p>
        </w:tc>
        <w:tc>
          <w:tcPr>
            <w:tcW w:w="9500" w:type="dxa"/>
            <w:vAlign w:val="bottom"/>
          </w:tcPr>
          <w:p>
            <w:pPr>
              <w:ind w:left="8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Mine Safety Disclosures</w:t>
              </w:r>
            </w:hyperlink>
          </w:p>
        </w:tc>
        <w:tc>
          <w:tcPr>
            <w:tcW w:w="520" w:type="dxa"/>
            <w:vAlign w:val="bottom"/>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72</w:t>
              </w:r>
            </w:hyperlink>
          </w:p>
        </w:tc>
      </w:tr>
      <w:tr>
        <w:trPr>
          <w:trHeight w:val="230"/>
        </w:trPr>
        <w:tc>
          <w:tcPr>
            <w:tcW w:w="1200" w:type="dxa"/>
            <w:vAlign w:val="bottom"/>
          </w:tcPr>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Item 5.</w:t>
              </w:r>
            </w:hyperlink>
          </w:p>
        </w:tc>
        <w:tc>
          <w:tcPr>
            <w:tcW w:w="9500" w:type="dxa"/>
            <w:vAlign w:val="bottom"/>
          </w:tcPr>
          <w:p>
            <w:pPr>
              <w:ind w:left="8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Other Information</w:t>
              </w:r>
            </w:hyperlink>
          </w:p>
        </w:tc>
        <w:tc>
          <w:tcPr>
            <w:tcW w:w="520" w:type="dxa"/>
            <w:vAlign w:val="bottom"/>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72</w:t>
              </w:r>
            </w:hyperlink>
          </w:p>
        </w:tc>
      </w:tr>
      <w:tr>
        <w:trPr>
          <w:trHeight w:val="230"/>
        </w:trPr>
        <w:tc>
          <w:tcPr>
            <w:tcW w:w="1200" w:type="dxa"/>
            <w:vAlign w:val="bottom"/>
          </w:tcPr>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Item 6.</w:t>
              </w:r>
            </w:hyperlink>
          </w:p>
        </w:tc>
        <w:tc>
          <w:tcPr>
            <w:tcW w:w="9500" w:type="dxa"/>
            <w:vAlign w:val="bottom"/>
          </w:tcPr>
          <w:p>
            <w:pPr>
              <w:ind w:left="8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Exhibits</w:t>
              </w:r>
            </w:hyperlink>
          </w:p>
        </w:tc>
        <w:tc>
          <w:tcPr>
            <w:tcW w:w="520" w:type="dxa"/>
            <w:vAlign w:val="bottom"/>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73</w:t>
              </w:r>
            </w:hyperlink>
          </w:p>
        </w:tc>
      </w:tr>
      <w:tr>
        <w:trPr>
          <w:trHeight w:val="486"/>
        </w:trPr>
        <w:tc>
          <w:tcPr>
            <w:tcW w:w="1200" w:type="dxa"/>
            <w:vAlign w:val="bottom"/>
          </w:tcPr>
          <w:p>
            <w:pPr>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SIGNATURES</w:t>
              </w:r>
            </w:hyperlink>
          </w:p>
        </w:tc>
        <w:tc>
          <w:tcPr>
            <w:tcW w:w="9500" w:type="dxa"/>
            <w:vAlign w:val="bottom"/>
          </w:tcPr>
          <w:p>
            <w:pPr>
              <w:spacing w:after="0"/>
              <w:rPr>
                <w:sz w:val="24"/>
                <w:szCs w:val="24"/>
                <w:color w:val="auto"/>
              </w:rPr>
            </w:pPr>
          </w:p>
        </w:tc>
        <w:tc>
          <w:tcPr>
            <w:tcW w:w="520" w:type="dxa"/>
            <w:vAlign w:val="bottom"/>
          </w:tcPr>
          <w:p>
            <w:pPr>
              <w:jc w:val="right"/>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74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This Quarterly Report on Form 10-Q contains forward-looking statements. All statements other than statements of historical facts contained in this Quarterly Report, including statements regarding our future results of operations and financial position, business strategy, prospective products and product candidates, sales force expansion, surgeon adoption, reimbursement determinations, clinical trial results, and U.S. Food and Drug Administration ("FDA") approvals, are forward-looking statements.</w:t>
      </w:r>
    </w:p>
    <w:p>
      <w:pPr>
        <w:spacing w:after="0" w:line="214"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5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Quarterly Report and are subject to a number of risks, uncertainties and assumptions, including those described under the sections in this Quarterly Report entitled “Risk Factors” and “Management’s Discussion and Analysis of Financial Condition and Results of Operations.” These forward-looking statements include, but are not limited to, statements about the following:</w:t>
      </w:r>
    </w:p>
    <w:p>
      <w:pPr>
        <w:spacing w:after="0" w:line="219" w:lineRule="exact"/>
        <w:rPr>
          <w:sz w:val="20"/>
          <w:szCs w:val="20"/>
          <w:color w:val="auto"/>
        </w:rPr>
      </w:pPr>
    </w:p>
    <w:p>
      <w:pPr>
        <w:jc w:val="both"/>
        <w:ind w:left="660" w:hanging="328"/>
        <w:spacing w:after="0" w:line="30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the COVID-19 pandemic and governmental actions taken to combat the COVID-19 pandemic will have on us, including our operations, financial results, liquidity and capital resources, the existence and duration of state and local orders temporarily prohibiting elective procedures including procedures using the iFuse Implant System, the ability and desire of patients and physicians to undergo and perform such procedures, the duration and any potential resurgence of the COVID-19 pandemic, and whether the COVID-19 pandemic will recur in the future;</w:t>
      </w:r>
    </w:p>
    <w:p>
      <w:pPr>
        <w:spacing w:after="0" w:line="103"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 healthy workforce in light of the ongoing COVID-19 pandemic;</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that a significant portion of our revenues will be derived from sales of the iFuse Implant System, or iFuse;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indications for use and new 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grow our sales team based on the demand for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train, and retain surgeons to perform procedures using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favorable coverage and reimbursement determinations from third-party payors;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scope of protection from intellectual property rights covering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of and results from clinical and other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marketing clearances and authorization from the FDA and regulators in other jurisdictions;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of regulatory filings and feedback;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a limited number of suppliers, including sole source suppliers, which may impact the availability of instruments and materials;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sustain or increase demand for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expansion;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retain and recruit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 w:name="page4"/>
    <w:bookmarkEnd w:id="3"/>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5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Factors that may cause actual results to differ materially from current expectations include, among other things, those listed under “Risk Factors” and elsewhere in this report.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spacing w:after="0" w:line="212" w:lineRule="exact"/>
        <w:rPr>
          <w:sz w:val="20"/>
          <w:szCs w:val="20"/>
          <w:color w:val="auto"/>
        </w:rPr>
      </w:pPr>
    </w:p>
    <w:p>
      <w:pPr>
        <w:jc w:val="both"/>
        <w:ind w:firstLine="486"/>
        <w:spacing w:after="0" w:line="241"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95"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7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6"/>
                <w:szCs w:val="16"/>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3"/>
        </w:trPr>
        <w:tc>
          <w:tcPr>
            <w:tcW w:w="7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7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10,435</w:t>
            </w:r>
          </w:p>
        </w:tc>
        <w:tc>
          <w:tcPr>
            <w:tcW w:w="0" w:type="dxa"/>
            <w:vAlign w:val="bottom"/>
          </w:tcPr>
          <w:p>
            <w:pPr>
              <w:spacing w:after="0"/>
              <w:rPr>
                <w:sz w:val="1"/>
                <w:szCs w:val="1"/>
                <w:color w:val="auto"/>
              </w:rPr>
            </w:pPr>
          </w:p>
        </w:tc>
      </w:tr>
      <w:tr>
        <w:trPr>
          <w:trHeight w:val="230"/>
        </w:trPr>
        <w:tc>
          <w:tcPr>
            <w:tcW w:w="7240" w:type="dxa"/>
            <w:vAlign w:val="bottom"/>
          </w:tcPr>
          <w:p>
            <w:pPr>
              <w:ind w:left="32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76,024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81,345</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Accounts receivable, net of allowance for doubtful accounts of $263 and $238, respectively</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w:t>
            </w:r>
          </w:p>
        </w:tc>
        <w:tc>
          <w:tcPr>
            <w:tcW w:w="0" w:type="dxa"/>
            <w:vAlign w:val="bottom"/>
          </w:tcPr>
          <w:p>
            <w:pPr>
              <w:spacing w:after="0"/>
              <w:rPr>
                <w:sz w:val="1"/>
                <w:szCs w:val="1"/>
                <w:color w:val="auto"/>
              </w:rPr>
            </w:pPr>
          </w:p>
        </w:tc>
      </w:tr>
      <w:tr>
        <w:trPr>
          <w:trHeight w:val="230"/>
        </w:trPr>
        <w:tc>
          <w:tcPr>
            <w:tcW w:w="7240" w:type="dxa"/>
            <w:vAlign w:val="bottom"/>
          </w:tcPr>
          <w:p>
            <w:pPr>
              <w:ind w:left="32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5,452</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23"/>
        </w:trPr>
        <w:tc>
          <w:tcPr>
            <w:tcW w:w="724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149,522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111,462</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3"/>
        </w:trPr>
        <w:tc>
          <w:tcPr>
            <w:tcW w:w="724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154,315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117,009</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3,102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liabilities and other</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11,605</w:t>
            </w:r>
          </w:p>
        </w:tc>
        <w:tc>
          <w:tcPr>
            <w:tcW w:w="0" w:type="dxa"/>
            <w:vAlign w:val="bottom"/>
          </w:tcPr>
          <w:p>
            <w:pPr>
              <w:spacing w:after="0"/>
              <w:rPr>
                <w:sz w:val="1"/>
                <w:szCs w:val="1"/>
                <w:color w:val="auto"/>
              </w:rPr>
            </w:pPr>
          </w:p>
        </w:tc>
      </w:tr>
      <w:tr>
        <w:trPr>
          <w:trHeight w:val="230"/>
        </w:trPr>
        <w:tc>
          <w:tcPr>
            <w:tcW w:w="7240" w:type="dxa"/>
            <w:vAlign w:val="bottom"/>
          </w:tcPr>
          <w:p>
            <w:pPr>
              <w:ind w:left="320"/>
              <w:spacing w:after="0"/>
              <w:rPr>
                <w:sz w:val="20"/>
                <w:szCs w:val="20"/>
                <w:color w:val="auto"/>
              </w:rPr>
            </w:pPr>
            <w:r>
              <w:rPr>
                <w:rFonts w:ascii="Arial" w:cs="Arial" w:eastAsia="Arial" w:hAnsi="Arial"/>
                <w:sz w:val="18"/>
                <w:szCs w:val="18"/>
                <w:color w:val="auto"/>
              </w:rPr>
              <w:t>Current portion of long-term borrowings</w:t>
            </w: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23"/>
        </w:trPr>
        <w:tc>
          <w:tcPr>
            <w:tcW w:w="724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18,774</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Long-term borrowings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39,368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34,865</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52,284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54,001</w:t>
            </w:r>
          </w:p>
        </w:tc>
        <w:tc>
          <w:tcPr>
            <w:tcW w:w="0" w:type="dxa"/>
            <w:vAlign w:val="bottom"/>
          </w:tcPr>
          <w:p>
            <w:pPr>
              <w:spacing w:after="0"/>
              <w:rPr>
                <w:sz w:val="1"/>
                <w:szCs w:val="1"/>
                <w:color w:val="auto"/>
              </w:rPr>
            </w:pPr>
          </w:p>
        </w:tc>
      </w:tr>
      <w:tr>
        <w:trPr>
          <w:trHeight w:val="237"/>
        </w:trPr>
        <w:tc>
          <w:tcPr>
            <w:tcW w:w="7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Commitments and contingencies (Note 6)</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Preferred stock, $0.0001 par value; 5,000,000 shares authorized; no shares issued and outstanding</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240" w:type="dxa"/>
            <w:vAlign w:val="bottom"/>
          </w:tcPr>
          <w:p>
            <w:pPr>
              <w:ind w:left="20"/>
              <w:spacing w:after="0" w:line="176" w:lineRule="exact"/>
              <w:rPr>
                <w:sz w:val="20"/>
                <w:szCs w:val="20"/>
                <w:color w:val="auto"/>
              </w:rPr>
            </w:pPr>
            <w:r>
              <w:rPr>
                <w:rFonts w:ascii="Arial" w:cs="Arial" w:eastAsia="Arial" w:hAnsi="Arial"/>
                <w:sz w:val="18"/>
                <w:szCs w:val="18"/>
                <w:color w:val="auto"/>
                <w:w w:val="94"/>
              </w:rPr>
              <w:t>Common stock, $0.0001 par value; 100,000,000 shares authorized; 28,838,577 and 25,163,803</w:t>
            </w:r>
          </w:p>
        </w:tc>
        <w:tc>
          <w:tcPr>
            <w:tcW w:w="1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240" w:type="dxa"/>
            <w:vAlign w:val="bottom"/>
          </w:tcPr>
          <w:p>
            <w:pPr>
              <w:ind w:left="340"/>
              <w:spacing w:after="0"/>
              <w:rPr>
                <w:sz w:val="20"/>
                <w:szCs w:val="20"/>
                <w:color w:val="auto"/>
              </w:rPr>
            </w:pPr>
            <w:r>
              <w:rPr>
                <w:rFonts w:ascii="Arial" w:cs="Arial" w:eastAsia="Arial" w:hAnsi="Arial"/>
                <w:sz w:val="18"/>
                <w:szCs w:val="18"/>
                <w:color w:val="auto"/>
              </w:rPr>
              <w:t>shares issued and outstanding, respectively</w:t>
            </w:r>
          </w:p>
        </w:tc>
        <w:tc>
          <w:tcPr>
            <w:tcW w:w="1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258,121</w:t>
            </w:r>
          </w:p>
        </w:tc>
        <w:tc>
          <w:tcPr>
            <w:tcW w:w="0" w:type="dxa"/>
            <w:vAlign w:val="bottom"/>
          </w:tcPr>
          <w:p>
            <w:pPr>
              <w:spacing w:after="0"/>
              <w:rPr>
                <w:sz w:val="1"/>
                <w:szCs w:val="1"/>
                <w:color w:val="auto"/>
              </w:rPr>
            </w:pP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(230,298)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(195,580)</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102,031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63,008</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117,009</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769" w:right="9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2600" w:type="dxa"/>
            <w:vAlign w:val="bottom"/>
            <w:gridSpan w:val="4"/>
            <w:vMerge w:val="restart"/>
          </w:tcPr>
          <w:p>
            <w:pPr>
              <w:jc w:val="right"/>
              <w:ind w:right="111"/>
              <w:spacing w:after="0"/>
              <w:rPr>
                <w:sz w:val="20"/>
                <w:szCs w:val="20"/>
                <w:color w:val="auto"/>
              </w:rPr>
            </w:pPr>
            <w:r>
              <w:rPr>
                <w:rFonts w:ascii="Arial" w:cs="Arial" w:eastAsia="Arial" w:hAnsi="Arial"/>
                <w:sz w:val="16"/>
                <w:szCs w:val="16"/>
                <w:b w:val="1"/>
                <w:bCs w:val="1"/>
                <w:color w:val="auto"/>
                <w:w w:val="90"/>
              </w:rPr>
              <w:t>Nine months ended September 30,</w:t>
            </w:r>
          </w:p>
        </w:tc>
        <w:tc>
          <w:tcPr>
            <w:tcW w:w="0" w:type="dxa"/>
            <w:vAlign w:val="bottom"/>
          </w:tcPr>
          <w:p>
            <w:pPr>
              <w:spacing w:after="0"/>
              <w:rPr>
                <w:sz w:val="1"/>
                <w:szCs w:val="1"/>
                <w:color w:val="auto"/>
              </w:rPr>
            </w:pPr>
          </w:p>
        </w:tc>
      </w:tr>
      <w:tr>
        <w:trPr>
          <w:trHeight w:val="213"/>
        </w:trPr>
        <w:tc>
          <w:tcPr>
            <w:tcW w:w="4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4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16,182</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47,490</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4,744</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14,552</w:t>
            </w:r>
          </w:p>
        </w:tc>
        <w:tc>
          <w:tcPr>
            <w:tcW w:w="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42,746</w:t>
            </w:r>
          </w:p>
        </w:tc>
        <w:tc>
          <w:tcPr>
            <w:tcW w:w="0" w:type="dxa"/>
            <w:vAlign w:val="bottom"/>
          </w:tcPr>
          <w:p>
            <w:pPr>
              <w:spacing w:after="0"/>
              <w:rPr>
                <w:sz w:val="1"/>
                <w:szCs w:val="1"/>
                <w:color w:val="auto"/>
              </w:rPr>
            </w:pPr>
          </w:p>
        </w:tc>
      </w:tr>
      <w:tr>
        <w:trPr>
          <w:trHeight w:val="210"/>
        </w:trPr>
        <w:tc>
          <w:tcPr>
            <w:tcW w:w="4540" w:type="dxa"/>
            <w:vAlign w:val="bottom"/>
          </w:tcPr>
          <w:p>
            <w:pPr>
              <w:ind w:left="6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16,443</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48,985</w:t>
            </w:r>
          </w:p>
        </w:tc>
        <w:tc>
          <w:tcPr>
            <w:tcW w:w="0" w:type="dxa"/>
            <w:vAlign w:val="bottom"/>
          </w:tcPr>
          <w:p>
            <w:pPr>
              <w:spacing w:after="0"/>
              <w:rPr>
                <w:sz w:val="1"/>
                <w:szCs w:val="1"/>
                <w:color w:val="auto"/>
              </w:rPr>
            </w:pPr>
          </w:p>
        </w:tc>
      </w:tr>
      <w:tr>
        <w:trPr>
          <w:trHeight w:val="229"/>
        </w:trPr>
        <w:tc>
          <w:tcPr>
            <w:tcW w:w="454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6,816</w:t>
            </w:r>
          </w:p>
        </w:tc>
        <w:tc>
          <w:tcPr>
            <w:tcW w:w="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15,776</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25,133</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70,264</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(10,581)</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(27,518)</w:t>
            </w:r>
          </w:p>
        </w:tc>
        <w:tc>
          <w:tcPr>
            <w:tcW w:w="0" w:type="dxa"/>
            <w:vAlign w:val="bottom"/>
          </w:tcPr>
          <w:p>
            <w:pPr>
              <w:spacing w:after="0"/>
              <w:rPr>
                <w:sz w:val="1"/>
                <w:szCs w:val="1"/>
                <w:color w:val="auto"/>
              </w:rPr>
            </w:pPr>
          </w:p>
        </w:tc>
      </w:tr>
      <w:tr>
        <w:trPr>
          <w:trHeight w:val="229"/>
        </w:trPr>
        <w:tc>
          <w:tcPr>
            <w:tcW w:w="4540" w:type="dxa"/>
            <w:vAlign w:val="bottom"/>
          </w:tcPr>
          <w:p>
            <w:pPr>
              <w:ind w:left="60"/>
              <w:spacing w:after="0"/>
              <w:rPr>
                <w:sz w:val="20"/>
                <w:szCs w:val="20"/>
                <w:color w:val="auto"/>
              </w:rPr>
            </w:pPr>
            <w:r>
              <w:rPr>
                <w:rFonts w:ascii="Arial" w:cs="Arial" w:eastAsia="Arial" w:hAnsi="Arial"/>
                <w:sz w:val="18"/>
                <w:szCs w:val="18"/>
                <w:color w:val="auto"/>
              </w:rPr>
              <w:t>Interest and other income (expense), net:</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29"/>
        </w:trPr>
        <w:tc>
          <w:tcPr>
            <w:tcW w:w="454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(3,706)</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3"/>
        </w:trPr>
        <w:tc>
          <w:tcPr>
            <w:tcW w:w="4540" w:type="dxa"/>
            <w:vAlign w:val="bottom"/>
          </w:tcPr>
          <w:p>
            <w:pPr>
              <w:ind w:left="6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(9,474)</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(11,306)</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(34,718)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(29,305)</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comprehensive income (loss):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500"/>
              <w:spacing w:after="0"/>
              <w:rPr>
                <w:sz w:val="20"/>
                <w:szCs w:val="20"/>
                <w:color w:val="auto"/>
              </w:rPr>
            </w:pPr>
            <w:r>
              <w:rPr>
                <w:rFonts w:ascii="Arial" w:cs="Arial" w:eastAsia="Arial" w:hAnsi="Arial"/>
                <w:sz w:val="18"/>
                <w:szCs w:val="18"/>
                <w:color w:val="auto"/>
              </w:rPr>
              <w:t>Changes in foreign currency translation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Unrealized gain (loss) on marketable securities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4540" w:type="dxa"/>
            <w:vAlign w:val="bottom"/>
          </w:tcPr>
          <w:p>
            <w:pPr>
              <w:ind w:left="6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(11,347)</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(29,269)</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6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60"/>
              <w:spacing w:after="0" w:line="176" w:lineRule="exact"/>
              <w:rPr>
                <w:sz w:val="20"/>
                <w:szCs w:val="20"/>
                <w:color w:val="auto"/>
              </w:rPr>
            </w:pPr>
            <w:r>
              <w:rPr>
                <w:rFonts w:ascii="Arial" w:cs="Arial" w:eastAsia="Arial" w:hAnsi="Arial"/>
                <w:sz w:val="18"/>
                <w:szCs w:val="18"/>
                <w:color w:val="auto"/>
              </w:rPr>
              <w:t>Weighted-average number of common shares used to</w:t>
            </w: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28,713,418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86"/>
              </w:rPr>
              <w:t>24,803,452</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28,155,561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24,596,788</w:t>
            </w:r>
          </w:p>
        </w:tc>
        <w:tc>
          <w:tcPr>
            <w:tcW w:w="0" w:type="dxa"/>
            <w:vAlign w:val="bottom"/>
          </w:tcPr>
          <w:p>
            <w:pPr>
              <w:spacing w:after="0"/>
              <w:rPr>
                <w:sz w:val="1"/>
                <w:szCs w:val="1"/>
                <w:color w:val="auto"/>
              </w:rPr>
            </w:pPr>
          </w:p>
        </w:tc>
      </w:tr>
      <w:tr>
        <w:trPr>
          <w:trHeight w:val="203"/>
        </w:trPr>
        <w:tc>
          <w:tcPr>
            <w:tcW w:w="4540" w:type="dxa"/>
            <w:vAlign w:val="bottom"/>
          </w:tcPr>
          <w:p>
            <w:pPr>
              <w:ind w:left="220"/>
              <w:spacing w:after="0" w:line="202" w:lineRule="exact"/>
              <w:rPr>
                <w:sz w:val="20"/>
                <w:szCs w:val="20"/>
                <w:color w:val="auto"/>
              </w:rPr>
            </w:pPr>
            <w:r>
              <w:rPr>
                <w:rFonts w:ascii="Arial" w:cs="Arial" w:eastAsia="Arial" w:hAnsi="Arial"/>
                <w:sz w:val="18"/>
                <w:szCs w:val="18"/>
                <w:color w:val="auto"/>
              </w:rPr>
              <w:t>compute basic and diluted net loss per share</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00"/>
          </w:cols>
          <w:pgMar w:left="800" w:top="769" w:right="799" w:bottom="1440" w:gutter="0" w:footer="0" w:header="0"/>
        </w:sectPr>
      </w:pPr>
    </w:p>
    <w:bookmarkStart w:id="6" w:name="page7"/>
    <w:bookmarkEnd w:id="6"/>
    <w:p>
      <w:pPr>
        <w:ind w:left="4940"/>
        <w:spacing w:after="0"/>
        <w:rPr>
          <w:sz w:val="20"/>
          <w:szCs w:val="20"/>
          <w:color w:val="auto"/>
        </w:rPr>
      </w:pPr>
      <w:r>
        <w:rPr>
          <w:rFonts w:ascii="Arial" w:cs="Arial" w:eastAsia="Arial" w:hAnsi="Arial"/>
          <w:sz w:val="18"/>
          <w:szCs w:val="18"/>
          <w:b w:val="1"/>
          <w:bCs w:val="1"/>
          <w:color w:val="auto"/>
        </w:rPr>
        <w:t>SI-BONE, INC.</w:t>
      </w:r>
    </w:p>
    <w:p>
      <w:pPr>
        <w:spacing w:after="0" w:line="104"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104"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 thousands, except share amounts)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1800" w:type="dxa"/>
            <w:vAlign w:val="bottom"/>
            <w:gridSpan w:val="4"/>
            <w:vMerge w:val="restart"/>
          </w:tcPr>
          <w:p>
            <w:pPr>
              <w:jc w:val="right"/>
              <w:ind w:right="290"/>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7"/>
                <w:szCs w:val="17"/>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Other</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4"/>
        </w:trPr>
        <w:tc>
          <w:tcPr>
            <w:tcW w:w="5040" w:type="dxa"/>
            <w:vAlign w:val="bottom"/>
          </w:tcPr>
          <w:p>
            <w:pPr>
              <w:spacing w:after="0"/>
              <w:rPr>
                <w:sz w:val="16"/>
                <w:szCs w:val="16"/>
                <w:color w:val="auto"/>
              </w:rPr>
            </w:pPr>
          </w:p>
        </w:tc>
        <w:tc>
          <w:tcPr>
            <w:tcW w:w="180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20" w:type="dxa"/>
            <w:vAlign w:val="bottom"/>
            <w:gridSpan w:val="2"/>
          </w:tcPr>
          <w:p>
            <w:pPr>
              <w:jc w:val="center"/>
              <w:ind w:right="100"/>
              <w:spacing w:after="0" w:line="169" w:lineRule="exact"/>
              <w:rPr>
                <w:sz w:val="20"/>
                <w:szCs w:val="20"/>
                <w:color w:val="auto"/>
              </w:rPr>
            </w:pPr>
            <w:r>
              <w:rPr>
                <w:rFonts w:ascii="Arial" w:cs="Arial" w:eastAsia="Arial" w:hAnsi="Arial"/>
                <w:sz w:val="16"/>
                <w:szCs w:val="16"/>
                <w:b w:val="1"/>
                <w:bCs w:val="1"/>
                <w:color w:val="auto"/>
                <w:w w:val="93"/>
              </w:rPr>
              <w:t>Paid-in</w:t>
            </w:r>
          </w:p>
        </w:tc>
        <w:tc>
          <w:tcPr>
            <w:tcW w:w="1220" w:type="dxa"/>
            <w:vAlign w:val="bottom"/>
            <w:gridSpan w:val="3"/>
          </w:tcPr>
          <w:p>
            <w:pPr>
              <w:jc w:val="center"/>
              <w:ind w:right="100"/>
              <w:spacing w:after="0" w:line="169" w:lineRule="exact"/>
              <w:rPr>
                <w:sz w:val="20"/>
                <w:szCs w:val="20"/>
                <w:color w:val="auto"/>
              </w:rPr>
            </w:pPr>
            <w:r>
              <w:rPr>
                <w:rFonts w:ascii="Arial" w:cs="Arial" w:eastAsia="Arial" w:hAnsi="Arial"/>
                <w:sz w:val="16"/>
                <w:szCs w:val="16"/>
                <w:b w:val="1"/>
                <w:bCs w:val="1"/>
                <w:color w:val="auto"/>
                <w:w w:val="89"/>
              </w:rPr>
              <w:t>Comprehensive</w:t>
            </w:r>
          </w:p>
        </w:tc>
        <w:tc>
          <w:tcPr>
            <w:tcW w:w="1040" w:type="dxa"/>
            <w:vAlign w:val="bottom"/>
            <w:gridSpan w:val="3"/>
          </w:tcPr>
          <w:p>
            <w:pPr>
              <w:spacing w:after="0" w:line="169" w:lineRule="exact"/>
              <w:rPr>
                <w:sz w:val="20"/>
                <w:szCs w:val="20"/>
                <w:color w:val="auto"/>
              </w:rPr>
            </w:pPr>
            <w:r>
              <w:rPr>
                <w:rFonts w:ascii="Arial" w:cs="Arial" w:eastAsia="Arial" w:hAnsi="Arial"/>
                <w:sz w:val="16"/>
                <w:szCs w:val="16"/>
                <w:b w:val="1"/>
                <w:bCs w:val="1"/>
                <w:color w:val="auto"/>
              </w:rPr>
              <w:t>Accumulated</w:t>
            </w:r>
          </w:p>
        </w:tc>
        <w:tc>
          <w:tcPr>
            <w:tcW w:w="1000" w:type="dxa"/>
            <w:vAlign w:val="bottom"/>
            <w:gridSpan w:val="2"/>
          </w:tcPr>
          <w:p>
            <w:pPr>
              <w:spacing w:after="0" w:line="169" w:lineRule="exact"/>
              <w:rPr>
                <w:sz w:val="20"/>
                <w:szCs w:val="20"/>
                <w:color w:val="auto"/>
              </w:rPr>
            </w:pPr>
            <w:r>
              <w:rPr>
                <w:rFonts w:ascii="Arial" w:cs="Arial" w:eastAsia="Arial" w:hAnsi="Arial"/>
                <w:sz w:val="16"/>
                <w:szCs w:val="16"/>
                <w:b w:val="1"/>
                <w:bCs w:val="1"/>
                <w:color w:val="auto"/>
                <w:w w:val="92"/>
              </w:rPr>
              <w:t>Stockholders’</w:t>
            </w:r>
          </w:p>
        </w:tc>
        <w:tc>
          <w:tcPr>
            <w:tcW w:w="0" w:type="dxa"/>
            <w:vAlign w:val="bottom"/>
          </w:tcPr>
          <w:p>
            <w:pPr>
              <w:spacing w:after="0"/>
              <w:rPr>
                <w:sz w:val="1"/>
                <w:szCs w:val="1"/>
                <w:color w:val="auto"/>
              </w:rPr>
            </w:pPr>
          </w:p>
        </w:tc>
      </w:tr>
      <w:tr>
        <w:trPr>
          <w:trHeight w:val="233"/>
        </w:trPr>
        <w:tc>
          <w:tcPr>
            <w:tcW w:w="5040" w:type="dxa"/>
            <w:vAlign w:val="bottom"/>
          </w:tcPr>
          <w:p>
            <w:pPr>
              <w:spacing w:after="0"/>
              <w:rPr>
                <w:sz w:val="20"/>
                <w:szCs w:val="20"/>
                <w:color w:val="auto"/>
              </w:rPr>
            </w:pPr>
          </w:p>
        </w:tc>
        <w:tc>
          <w:tcPr>
            <w:tcW w:w="980" w:type="dxa"/>
            <w:vAlign w:val="bottom"/>
            <w:gridSpan w:val="2"/>
          </w:tcPr>
          <w:p>
            <w:pPr>
              <w:ind w:left="22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Capital</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Income</w:t>
            </w:r>
          </w:p>
        </w:tc>
        <w:tc>
          <w:tcPr>
            <w:tcW w:w="16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20"/>
                <w:szCs w:val="20"/>
                <w:color w:val="auto"/>
              </w:rPr>
            </w:pPr>
          </w:p>
        </w:tc>
        <w:tc>
          <w:tcPr>
            <w:tcW w:w="820" w:type="dxa"/>
            <w:vAlign w:val="bottom"/>
          </w:tcPr>
          <w:p>
            <w:pPr>
              <w:jc w:val="right"/>
              <w:ind w:right="19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6"/>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25,163,803</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$ 258,121</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(195,580)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63,008</w:t>
            </w:r>
          </w:p>
        </w:tc>
        <w:tc>
          <w:tcPr>
            <w:tcW w:w="0" w:type="dxa"/>
            <w:vAlign w:val="bottom"/>
          </w:tcPr>
          <w:p>
            <w:pPr>
              <w:spacing w:after="0"/>
              <w:rPr>
                <w:sz w:val="1"/>
                <w:szCs w:val="1"/>
                <w:color w:val="auto"/>
              </w:rPr>
            </w:pPr>
          </w:p>
        </w:tc>
      </w:tr>
      <w:tr>
        <w:trPr>
          <w:trHeight w:val="176"/>
        </w:trPr>
        <w:tc>
          <w:tcPr>
            <w:tcW w:w="5040" w:type="dxa"/>
            <w:vAlign w:val="bottom"/>
          </w:tcPr>
          <w:p>
            <w:pPr>
              <w:ind w:left="20"/>
              <w:spacing w:after="0" w:line="176" w:lineRule="exact"/>
              <w:rPr>
                <w:sz w:val="20"/>
                <w:szCs w:val="20"/>
                <w:color w:val="auto"/>
              </w:rPr>
            </w:pPr>
            <w:r>
              <w:rPr>
                <w:rFonts w:ascii="Arial" w:cs="Arial" w:eastAsia="Arial" w:hAnsi="Arial"/>
                <w:sz w:val="18"/>
                <w:szCs w:val="18"/>
                <w:color w:val="auto"/>
                <w:w w:val="94"/>
              </w:rPr>
              <w:t>Issuance of common stock from public offering, net of underwriting</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9"/>
              </w:rPr>
              <w:t>3,135,053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62,978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62,978</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discounts, commissions and offering costs</w:t>
            </w: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Issuance of common stock upon exercise of stock options, net of</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43,334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withheld</w:t>
            </w: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w w:val="98"/>
              </w:rPr>
              <w:t>Issuance of common stock upon vesting of restricted stock units</w:t>
            </w:r>
          </w:p>
        </w:tc>
        <w:tc>
          <w:tcPr>
            <w:tcW w:w="900" w:type="dxa"/>
            <w:vAlign w:val="bottom"/>
          </w:tcPr>
          <w:p>
            <w:pPr>
              <w:jc w:val="right"/>
              <w:spacing w:after="0"/>
              <w:rPr>
                <w:sz w:val="20"/>
                <w:szCs w:val="20"/>
                <w:color w:val="auto"/>
              </w:rPr>
            </w:pPr>
            <w:r>
              <w:rPr>
                <w:rFonts w:ascii="Arial" w:cs="Arial" w:eastAsia="Arial" w:hAnsi="Arial"/>
                <w:sz w:val="18"/>
                <w:szCs w:val="18"/>
                <w:color w:val="auto"/>
              </w:rPr>
              <w:t>63,938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Vesting of early exercised stock options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Net unrealized gain on marketable securities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(12,772)</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Balance as of March 31, 2020</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28,406,128</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323,922</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(208,352)</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116,270</w:t>
            </w:r>
          </w:p>
        </w:tc>
        <w:tc>
          <w:tcPr>
            <w:tcW w:w="0" w:type="dxa"/>
            <w:vAlign w:val="bottom"/>
          </w:tcPr>
          <w:p>
            <w:pPr>
              <w:spacing w:after="0"/>
              <w:rPr>
                <w:sz w:val="1"/>
                <w:szCs w:val="1"/>
                <w:color w:val="auto"/>
              </w:rPr>
            </w:pPr>
          </w:p>
        </w:tc>
      </w:tr>
      <w:tr>
        <w:trPr>
          <w:trHeight w:val="175"/>
        </w:trPr>
        <w:tc>
          <w:tcPr>
            <w:tcW w:w="5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Issuance of common stock upon exercise of stock options, net of</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46,608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withheld</w:t>
            </w: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w w:val="92"/>
              </w:rPr>
              <w:t>Issuance of common stock related to employee stock purchase plan</w:t>
            </w:r>
          </w:p>
        </w:tc>
        <w:tc>
          <w:tcPr>
            <w:tcW w:w="900" w:type="dxa"/>
            <w:vAlign w:val="bottom"/>
          </w:tcPr>
          <w:p>
            <w:pPr>
              <w:jc w:val="right"/>
              <w:spacing w:after="0"/>
              <w:rPr>
                <w:sz w:val="20"/>
                <w:szCs w:val="20"/>
                <w:color w:val="auto"/>
              </w:rPr>
            </w:pPr>
            <w:r>
              <w:rPr>
                <w:rFonts w:ascii="Arial" w:cs="Arial" w:eastAsia="Arial" w:hAnsi="Arial"/>
                <w:sz w:val="18"/>
                <w:szCs w:val="18"/>
                <w:color w:val="auto"/>
              </w:rPr>
              <w:t>74,685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Issuance of common stock upon vesting of restricted stock units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85,030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of early exercised stock options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loss on marketable securities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(12,472)</w:t>
            </w:r>
          </w:p>
        </w:tc>
        <w:tc>
          <w:tcPr>
            <w:tcW w:w="0" w:type="dxa"/>
            <w:vAlign w:val="bottom"/>
          </w:tcPr>
          <w:p>
            <w:pPr>
              <w:spacing w:after="0"/>
              <w:rPr>
                <w:sz w:val="1"/>
                <w:szCs w:val="1"/>
                <w:color w:val="auto"/>
              </w:rPr>
            </w:pPr>
          </w:p>
        </w:tc>
      </w:tr>
      <w:tr>
        <w:trPr>
          <w:trHeight w:val="223"/>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28,612,451</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328,079</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(220,824)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107,868</w:t>
            </w:r>
          </w:p>
        </w:tc>
        <w:tc>
          <w:tcPr>
            <w:tcW w:w="0" w:type="dxa"/>
            <w:vAlign w:val="bottom"/>
          </w:tcPr>
          <w:p>
            <w:pPr>
              <w:spacing w:after="0"/>
              <w:rPr>
                <w:sz w:val="1"/>
                <w:szCs w:val="1"/>
                <w:color w:val="auto"/>
              </w:rPr>
            </w:pPr>
          </w:p>
        </w:tc>
      </w:tr>
      <w:tr>
        <w:trPr>
          <w:trHeight w:val="175"/>
        </w:trPr>
        <w:tc>
          <w:tcPr>
            <w:tcW w:w="5040" w:type="dxa"/>
            <w:vAlign w:val="bottom"/>
          </w:tcPr>
          <w:p>
            <w:pPr>
              <w:ind w:left="20"/>
              <w:spacing w:after="0" w:line="176" w:lineRule="exact"/>
              <w:rPr>
                <w:sz w:val="20"/>
                <w:szCs w:val="20"/>
                <w:color w:val="auto"/>
              </w:rPr>
            </w:pPr>
            <w:r>
              <w:rPr>
                <w:rFonts w:ascii="Arial" w:cs="Arial" w:eastAsia="Arial" w:hAnsi="Arial"/>
                <w:sz w:val="18"/>
                <w:szCs w:val="18"/>
                <w:color w:val="auto"/>
                <w:w w:val="97"/>
              </w:rPr>
              <w:t>Issuance of common stock upon exercise of stock options, net of</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137,392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628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shares withheld</w:t>
            </w: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Issuance of common stock upon vesting of restricted stock units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88,734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3,180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of early exercised stock options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loss on marketable securities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(9,474)</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September 30,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28,838,577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$ 331,896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(230,298)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102,031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00" w:top="823" w:right="3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9"/>
        </w:trPr>
        <w:tc>
          <w:tcPr>
            <w:tcW w:w="5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1780" w:type="dxa"/>
            <w:vAlign w:val="bottom"/>
            <w:gridSpan w:val="4"/>
            <w:vMerge w:val="restart"/>
          </w:tcPr>
          <w:p>
            <w:pPr>
              <w:jc w:val="right"/>
              <w:ind w:right="270"/>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Additional</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4"/>
        </w:trPr>
        <w:tc>
          <w:tcPr>
            <w:tcW w:w="5120" w:type="dxa"/>
            <w:vAlign w:val="bottom"/>
          </w:tcPr>
          <w:p>
            <w:pPr>
              <w:spacing w:after="0"/>
              <w:rPr>
                <w:sz w:val="16"/>
                <w:szCs w:val="16"/>
                <w:color w:val="auto"/>
              </w:rPr>
            </w:pPr>
          </w:p>
        </w:tc>
        <w:tc>
          <w:tcPr>
            <w:tcW w:w="178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20" w:type="dxa"/>
            <w:vAlign w:val="bottom"/>
            <w:gridSpan w:val="2"/>
          </w:tcPr>
          <w:p>
            <w:pPr>
              <w:jc w:val="center"/>
              <w:ind w:right="80"/>
              <w:spacing w:after="0" w:line="169" w:lineRule="exact"/>
              <w:rPr>
                <w:sz w:val="20"/>
                <w:szCs w:val="20"/>
                <w:color w:val="auto"/>
              </w:rPr>
            </w:pPr>
            <w:r>
              <w:rPr>
                <w:rFonts w:ascii="Arial" w:cs="Arial" w:eastAsia="Arial" w:hAnsi="Arial"/>
                <w:sz w:val="16"/>
                <w:szCs w:val="16"/>
                <w:b w:val="1"/>
                <w:bCs w:val="1"/>
                <w:color w:val="auto"/>
                <w:w w:val="97"/>
              </w:rPr>
              <w:t>Paid-in</w:t>
            </w:r>
          </w:p>
        </w:tc>
        <w:tc>
          <w:tcPr>
            <w:tcW w:w="1220" w:type="dxa"/>
            <w:vAlign w:val="bottom"/>
            <w:gridSpan w:val="3"/>
          </w:tcPr>
          <w:p>
            <w:pPr>
              <w:jc w:val="center"/>
              <w:ind w:right="100"/>
              <w:spacing w:after="0" w:line="169" w:lineRule="exact"/>
              <w:rPr>
                <w:sz w:val="20"/>
                <w:szCs w:val="20"/>
                <w:color w:val="auto"/>
              </w:rPr>
            </w:pPr>
            <w:r>
              <w:rPr>
                <w:rFonts w:ascii="Arial" w:cs="Arial" w:eastAsia="Arial" w:hAnsi="Arial"/>
                <w:sz w:val="16"/>
                <w:szCs w:val="16"/>
                <w:b w:val="1"/>
                <w:bCs w:val="1"/>
                <w:color w:val="auto"/>
                <w:w w:val="89"/>
              </w:rPr>
              <w:t>Comprehensive</w:t>
            </w:r>
          </w:p>
        </w:tc>
        <w:tc>
          <w:tcPr>
            <w:tcW w:w="1040" w:type="dxa"/>
            <w:vAlign w:val="bottom"/>
            <w:gridSpan w:val="3"/>
          </w:tcPr>
          <w:p>
            <w:pPr>
              <w:ind w:left="20"/>
              <w:spacing w:after="0" w:line="169" w:lineRule="exact"/>
              <w:rPr>
                <w:sz w:val="20"/>
                <w:szCs w:val="20"/>
                <w:color w:val="auto"/>
              </w:rPr>
            </w:pPr>
            <w:r>
              <w:rPr>
                <w:rFonts w:ascii="Arial" w:cs="Arial" w:eastAsia="Arial" w:hAnsi="Arial"/>
                <w:sz w:val="16"/>
                <w:szCs w:val="16"/>
                <w:b w:val="1"/>
                <w:bCs w:val="1"/>
                <w:color w:val="auto"/>
                <w:w w:val="99"/>
              </w:rPr>
              <w:t>Accumulated</w:t>
            </w:r>
          </w:p>
        </w:tc>
        <w:tc>
          <w:tcPr>
            <w:tcW w:w="1020" w:type="dxa"/>
            <w:vAlign w:val="bottom"/>
            <w:gridSpan w:val="2"/>
          </w:tcPr>
          <w:p>
            <w:pPr>
              <w:ind w:left="20"/>
              <w:spacing w:after="0" w:line="169" w:lineRule="exact"/>
              <w:rPr>
                <w:sz w:val="20"/>
                <w:szCs w:val="20"/>
                <w:color w:val="auto"/>
              </w:rPr>
            </w:pPr>
            <w:r>
              <w:rPr>
                <w:rFonts w:ascii="Arial" w:cs="Arial" w:eastAsia="Arial" w:hAnsi="Arial"/>
                <w:sz w:val="16"/>
                <w:szCs w:val="16"/>
                <w:b w:val="1"/>
                <w:bCs w:val="1"/>
                <w:color w:val="auto"/>
                <w:w w:val="92"/>
              </w:rPr>
              <w:t>Stockholders’</w:t>
            </w: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960" w:type="dxa"/>
            <w:vAlign w:val="bottom"/>
            <w:gridSpan w:val="2"/>
          </w:tcPr>
          <w:p>
            <w:pPr>
              <w:ind w:left="20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6"/>
                <w:szCs w:val="16"/>
                <w:b w:val="1"/>
                <w:bCs w:val="1"/>
                <w:color w:val="auto"/>
              </w:rPr>
              <w:t>Amount</w:t>
            </w:r>
          </w:p>
        </w:tc>
        <w:tc>
          <w:tcPr>
            <w:tcW w:w="9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Income</w:t>
            </w:r>
          </w:p>
        </w:tc>
        <w:tc>
          <w:tcPr>
            <w:tcW w:w="16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20"/>
                <w:szCs w:val="20"/>
                <w:color w:val="auto"/>
              </w:rPr>
            </w:pPr>
          </w:p>
        </w:tc>
        <w:tc>
          <w:tcPr>
            <w:tcW w:w="840" w:type="dxa"/>
            <w:vAlign w:val="bottom"/>
          </w:tcPr>
          <w:p>
            <w:pPr>
              <w:jc w:val="right"/>
              <w:ind w:right="19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6"/>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2018</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24,450,757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$ 246,927</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(157,177)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90,192</w:t>
            </w:r>
          </w:p>
        </w:tc>
        <w:tc>
          <w:tcPr>
            <w:tcW w:w="0" w:type="dxa"/>
            <w:vAlign w:val="bottom"/>
          </w:tcPr>
          <w:p>
            <w:pPr>
              <w:spacing w:after="0"/>
              <w:rPr>
                <w:sz w:val="1"/>
                <w:szCs w:val="1"/>
                <w:color w:val="auto"/>
              </w:rPr>
            </w:pPr>
          </w:p>
        </w:tc>
      </w:tr>
      <w:tr>
        <w:trPr>
          <w:trHeight w:val="175"/>
        </w:trPr>
        <w:tc>
          <w:tcPr>
            <w:tcW w:w="5120" w:type="dxa"/>
            <w:vAlign w:val="bottom"/>
          </w:tcPr>
          <w:p>
            <w:pPr>
              <w:spacing w:after="0" w:line="176" w:lineRule="exact"/>
              <w:rPr>
                <w:sz w:val="20"/>
                <w:szCs w:val="20"/>
                <w:color w:val="auto"/>
              </w:rPr>
            </w:pPr>
            <w:r>
              <w:rPr>
                <w:rFonts w:ascii="Arial" w:cs="Arial" w:eastAsia="Arial" w:hAnsi="Arial"/>
                <w:sz w:val="18"/>
                <w:szCs w:val="18"/>
                <w:color w:val="auto"/>
                <w:w w:val="98"/>
              </w:rPr>
              <w:t>Issuance of common stock upon exercise of stock options, net of</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46,809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shares withheld</w:t>
            </w: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Vesting of early exercised stock options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Additional accrual of IPO related costs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marketable securities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(9,345)</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2019</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24,497,566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248,829</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(166,522)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82,755</w:t>
            </w:r>
          </w:p>
        </w:tc>
        <w:tc>
          <w:tcPr>
            <w:tcW w:w="0" w:type="dxa"/>
            <w:vAlign w:val="bottom"/>
          </w:tcPr>
          <w:p>
            <w:pPr>
              <w:spacing w:after="0"/>
              <w:rPr>
                <w:sz w:val="1"/>
                <w:szCs w:val="1"/>
                <w:color w:val="auto"/>
              </w:rPr>
            </w:pPr>
          </w:p>
        </w:tc>
      </w:tr>
      <w:tr>
        <w:trPr>
          <w:trHeight w:val="176"/>
        </w:trPr>
        <w:tc>
          <w:tcPr>
            <w:tcW w:w="5120" w:type="dxa"/>
            <w:vAlign w:val="bottom"/>
          </w:tcPr>
          <w:p>
            <w:pPr>
              <w:spacing w:after="0" w:line="176" w:lineRule="exact"/>
              <w:rPr>
                <w:sz w:val="20"/>
                <w:szCs w:val="20"/>
                <w:color w:val="auto"/>
              </w:rPr>
            </w:pPr>
            <w:r>
              <w:rPr>
                <w:rFonts w:ascii="Arial" w:cs="Arial" w:eastAsia="Arial" w:hAnsi="Arial"/>
                <w:sz w:val="18"/>
                <w:szCs w:val="18"/>
                <w:color w:val="auto"/>
                <w:w w:val="98"/>
              </w:rPr>
              <w:t>Issuance of common stock upon exercise of stock options, net of</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137,185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shares withheld</w:t>
            </w: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w w:val="94"/>
              </w:rPr>
              <w:t>Issuance of common stock related to employee stock purchase plan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Issuance of common stock upon vesting of restricted stock units</w:t>
            </w:r>
          </w:p>
        </w:tc>
        <w:tc>
          <w:tcPr>
            <w:tcW w:w="880" w:type="dxa"/>
            <w:vAlign w:val="bottom"/>
          </w:tcPr>
          <w:p>
            <w:pPr>
              <w:jc w:val="right"/>
              <w:spacing w:after="0"/>
              <w:rPr>
                <w:sz w:val="20"/>
                <w:szCs w:val="20"/>
                <w:color w:val="auto"/>
              </w:rPr>
            </w:pPr>
            <w:r>
              <w:rPr>
                <w:rFonts w:ascii="Arial" w:cs="Arial" w:eastAsia="Arial" w:hAnsi="Arial"/>
                <w:sz w:val="18"/>
                <w:szCs w:val="18"/>
                <w:color w:val="auto"/>
              </w:rPr>
              <w:t>27,320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Vesting of early exercised stock options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unrealized gain on marketable securities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(8,654)</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b w:val="1"/>
                <w:bCs w:val="1"/>
                <w:color w:val="auto"/>
              </w:rPr>
              <w:t>Balance as of June 30, 2019</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24,761,157</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252,404</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(175,176)</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77,747</w:t>
            </w:r>
          </w:p>
        </w:tc>
        <w:tc>
          <w:tcPr>
            <w:tcW w:w="0" w:type="dxa"/>
            <w:vAlign w:val="bottom"/>
          </w:tcPr>
          <w:p>
            <w:pPr>
              <w:spacing w:after="0"/>
              <w:rPr>
                <w:sz w:val="1"/>
                <w:szCs w:val="1"/>
                <w:color w:val="auto"/>
              </w:rPr>
            </w:pPr>
          </w:p>
        </w:tc>
      </w:tr>
      <w:tr>
        <w:trPr>
          <w:trHeight w:val="175"/>
        </w:trPr>
        <w:tc>
          <w:tcPr>
            <w:tcW w:w="5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8"/>
              </w:rPr>
              <w:t>Issuance of common stock upon exercise of stock options, net of</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175,070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shares withheld</w:t>
            </w: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Issuance of common stock upon vesting of restricted stock units</w:t>
            </w:r>
          </w:p>
        </w:tc>
        <w:tc>
          <w:tcPr>
            <w:tcW w:w="880" w:type="dxa"/>
            <w:vAlign w:val="bottom"/>
          </w:tcPr>
          <w:p>
            <w:pPr>
              <w:jc w:val="right"/>
              <w:spacing w:after="0"/>
              <w:rPr>
                <w:sz w:val="20"/>
                <w:szCs w:val="20"/>
                <w:color w:val="auto"/>
              </w:rPr>
            </w:pPr>
            <w:r>
              <w:rPr>
                <w:rFonts w:ascii="Arial" w:cs="Arial" w:eastAsia="Arial" w:hAnsi="Arial"/>
                <w:sz w:val="18"/>
                <w:szCs w:val="18"/>
                <w:color w:val="auto"/>
              </w:rPr>
              <w:t>38,115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unvested early exercised stock options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Vesting of early exercised stock options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marketable securities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(11,306)</w:t>
            </w:r>
          </w:p>
        </w:tc>
        <w:tc>
          <w:tcPr>
            <w:tcW w:w="0" w:type="dxa"/>
            <w:vAlign w:val="bottom"/>
          </w:tcPr>
          <w:p>
            <w:pPr>
              <w:spacing w:after="0"/>
              <w:rPr>
                <w:sz w:val="1"/>
                <w:szCs w:val="1"/>
                <w:color w:val="auto"/>
              </w:rPr>
            </w:pPr>
          </w:p>
        </w:tc>
      </w:tr>
      <w:tr>
        <w:trPr>
          <w:trHeight w:val="248"/>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2019</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24,965,512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$ 254,965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(186,482)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68,961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098" w:right="3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2" w:lineRule="exact"/>
        <w:rPr>
          <w:sz w:val="20"/>
          <w:szCs w:val="20"/>
          <w:color w:val="auto"/>
        </w:rPr>
      </w:pPr>
    </w:p>
    <w:p>
      <w:pPr>
        <w:jc w:val="center"/>
        <w:ind w:left="7560"/>
        <w:spacing w:after="0"/>
        <w:rPr>
          <w:sz w:val="20"/>
          <w:szCs w:val="20"/>
          <w:color w:val="auto"/>
        </w:rPr>
      </w:pPr>
      <w:r>
        <w:rPr>
          <w:rFonts w:ascii="Arial" w:cs="Arial" w:eastAsia="Arial" w:hAnsi="Arial"/>
          <w:sz w:val="16"/>
          <w:szCs w:val="16"/>
          <w:b w:val="1"/>
          <w:bCs w:val="1"/>
          <w:color w:val="auto"/>
        </w:rPr>
        <w:t>Nine Months Ended</w:t>
      </w:r>
    </w:p>
    <w:p>
      <w:pPr>
        <w:jc w:val="center"/>
        <w:ind w:left="7560"/>
        <w:spacing w:after="0"/>
        <w:rPr>
          <w:sz w:val="20"/>
          <w:szCs w:val="20"/>
          <w:color w:val="auto"/>
        </w:rPr>
      </w:pPr>
      <w:r>
        <w:rPr>
          <w:rFonts w:ascii="Arial" w:cs="Arial" w:eastAsia="Arial" w:hAnsi="Arial"/>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60" w:type="dxa"/>
            <w:vAlign w:val="bottom"/>
          </w:tcPr>
          <w:p>
            <w:pPr>
              <w:ind w:left="4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(34,718)</w:t>
            </w:r>
          </w:p>
        </w:tc>
        <w:tc>
          <w:tcPr>
            <w:tcW w:w="12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(29,305)</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60" w:type="dxa"/>
            <w:vAlign w:val="bottom"/>
          </w:tcPr>
          <w:p>
            <w:pPr>
              <w:ind w:left="320"/>
              <w:spacing w:after="0"/>
              <w:rPr>
                <w:sz w:val="20"/>
                <w:szCs w:val="20"/>
                <w:color w:val="auto"/>
              </w:rPr>
            </w:pPr>
            <w:r>
              <w:rPr>
                <w:rFonts w:ascii="Arial" w:cs="Arial" w:eastAsia="Arial" w:hAnsi="Arial"/>
                <w:sz w:val="16"/>
                <w:szCs w:val="16"/>
                <w:color w:val="auto"/>
              </w:rPr>
              <w:t>Stock-based compensation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5,596</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13"/>
        </w:trPr>
        <w:tc>
          <w:tcPr>
            <w:tcW w:w="7560" w:type="dxa"/>
            <w:vAlign w:val="bottom"/>
          </w:tcPr>
          <w:p>
            <w:pPr>
              <w:ind w:left="300"/>
              <w:spacing w:after="0"/>
              <w:rPr>
                <w:sz w:val="20"/>
                <w:szCs w:val="20"/>
                <w:color w:val="auto"/>
              </w:rPr>
            </w:pPr>
            <w:r>
              <w:rPr>
                <w:rFonts w:ascii="Arial" w:cs="Arial" w:eastAsia="Arial" w:hAnsi="Arial"/>
                <w:sz w:val="16"/>
                <w:szCs w:val="16"/>
                <w:color w:val="auto"/>
              </w:rPr>
              <w:t>Bad debt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Accretion on marketable securities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w:t>
            </w:r>
          </w:p>
        </w:tc>
        <w:tc>
          <w:tcPr>
            <w:tcW w:w="0" w:type="dxa"/>
            <w:vAlign w:val="bottom"/>
          </w:tcPr>
          <w:p>
            <w:pPr>
              <w:spacing w:after="0"/>
              <w:rPr>
                <w:sz w:val="1"/>
                <w:szCs w:val="1"/>
                <w:color w:val="auto"/>
              </w:rPr>
            </w:pPr>
          </w:p>
        </w:tc>
      </w:tr>
      <w:tr>
        <w:trPr>
          <w:trHeight w:val="213"/>
        </w:trPr>
        <w:tc>
          <w:tcPr>
            <w:tcW w:w="7560" w:type="dxa"/>
            <w:vAlign w:val="bottom"/>
          </w:tcPr>
          <w:p>
            <w:pPr>
              <w:ind w:left="320"/>
              <w:spacing w:after="0"/>
              <w:rPr>
                <w:sz w:val="20"/>
                <w:szCs w:val="20"/>
                <w:color w:val="auto"/>
              </w:rPr>
            </w:pPr>
            <w:r>
              <w:rPr>
                <w:rFonts w:ascii="Arial" w:cs="Arial" w:eastAsia="Arial" w:hAnsi="Arial"/>
                <w:sz w:val="16"/>
                <w:szCs w:val="16"/>
                <w:color w:val="auto"/>
              </w:rPr>
              <w:t>Realized gain on marketable securities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3"/>
        </w:trPr>
        <w:tc>
          <w:tcPr>
            <w:tcW w:w="7560" w:type="dxa"/>
            <w:vAlign w:val="bottom"/>
          </w:tcPr>
          <w:p>
            <w:pPr>
              <w:ind w:left="320"/>
              <w:spacing w:after="0"/>
              <w:rPr>
                <w:sz w:val="20"/>
                <w:szCs w:val="20"/>
                <w:color w:val="auto"/>
              </w:rPr>
            </w:pPr>
            <w:r>
              <w:rPr>
                <w:rFonts w:ascii="Arial" w:cs="Arial" w:eastAsia="Arial" w:hAnsi="Arial"/>
                <w:sz w:val="16"/>
                <w:szCs w:val="16"/>
                <w:color w:val="auto"/>
              </w:rPr>
              <w:t>Loss on extinguishment of debt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Loss on sale and disposal of property and equipment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3"/>
        </w:trPr>
        <w:tc>
          <w:tcPr>
            <w:tcW w:w="756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213"/>
        </w:trPr>
        <w:tc>
          <w:tcPr>
            <w:tcW w:w="7560" w:type="dxa"/>
            <w:vAlign w:val="bottom"/>
          </w:tcPr>
          <w:p>
            <w:pPr>
              <w:ind w:left="320"/>
              <w:spacing w:after="0"/>
              <w:rPr>
                <w:sz w:val="20"/>
                <w:szCs w:val="20"/>
                <w:color w:val="auto"/>
              </w:rPr>
            </w:pPr>
            <w:r>
              <w:rPr>
                <w:rFonts w:ascii="Arial" w:cs="Arial" w:eastAsia="Arial" w:hAnsi="Arial"/>
                <w:sz w:val="16"/>
                <w:szCs w:val="16"/>
                <w:color w:val="auto"/>
              </w:rPr>
              <w:t>Inventory</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(1,575)</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13"/>
        </w:trPr>
        <w:tc>
          <w:tcPr>
            <w:tcW w:w="756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Accrued liabilities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3,525</w:t>
            </w:r>
          </w:p>
        </w:tc>
        <w:tc>
          <w:tcPr>
            <w:tcW w:w="0" w:type="dxa"/>
            <w:vAlign w:val="bottom"/>
          </w:tcPr>
          <w:p>
            <w:pPr>
              <w:spacing w:after="0"/>
              <w:rPr>
                <w:sz w:val="1"/>
                <w:szCs w:val="1"/>
                <w:color w:val="auto"/>
              </w:rPr>
            </w:pPr>
          </w:p>
        </w:tc>
      </w:tr>
      <w:tr>
        <w:trPr>
          <w:trHeight w:val="207"/>
        </w:trPr>
        <w:tc>
          <w:tcPr>
            <w:tcW w:w="756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(22,780)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(22,594)</w:t>
            </w:r>
          </w:p>
        </w:tc>
        <w:tc>
          <w:tcPr>
            <w:tcW w:w="0" w:type="dxa"/>
            <w:vAlign w:val="bottom"/>
          </w:tcPr>
          <w:p>
            <w:pPr>
              <w:spacing w:after="0"/>
              <w:rPr>
                <w:sz w:val="1"/>
                <w:szCs w:val="1"/>
                <w:color w:val="auto"/>
              </w:rPr>
            </w:pPr>
          </w:p>
        </w:tc>
      </w:tr>
      <w:tr>
        <w:trPr>
          <w:trHeight w:val="199"/>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60" w:type="dxa"/>
            <w:vAlign w:val="bottom"/>
          </w:tcPr>
          <w:p>
            <w:pPr>
              <w:ind w:left="100"/>
              <w:spacing w:after="0"/>
              <w:rPr>
                <w:sz w:val="20"/>
                <w:szCs w:val="20"/>
                <w:color w:val="auto"/>
              </w:rPr>
            </w:pPr>
            <w:r>
              <w:rPr>
                <w:rFonts w:ascii="Arial" w:cs="Arial" w:eastAsia="Arial" w:hAnsi="Arial"/>
                <w:sz w:val="16"/>
                <w:szCs w:val="16"/>
                <w:color w:val="auto"/>
              </w:rPr>
              <w:t>Maturities of marketable securities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63,200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117,100</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Sales of marketable securities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560" w:type="dxa"/>
            <w:vAlign w:val="bottom"/>
          </w:tcPr>
          <w:p>
            <w:pPr>
              <w:ind w:left="100"/>
              <w:spacing w:after="0"/>
              <w:rPr>
                <w:sz w:val="20"/>
                <w:szCs w:val="20"/>
                <w:color w:val="auto"/>
              </w:rPr>
            </w:pPr>
            <w:r>
              <w:rPr>
                <w:rFonts w:ascii="Arial" w:cs="Arial" w:eastAsia="Arial" w:hAnsi="Arial"/>
                <w:sz w:val="16"/>
                <w:szCs w:val="16"/>
                <w:color w:val="auto"/>
              </w:rPr>
              <w:t>Purchases of marketable securities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(69,145)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(107,545)</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(1,639)</w:t>
            </w:r>
          </w:p>
        </w:tc>
        <w:tc>
          <w:tcPr>
            <w:tcW w:w="0" w:type="dxa"/>
            <w:vAlign w:val="bottom"/>
          </w:tcPr>
          <w:p>
            <w:pPr>
              <w:spacing w:after="0"/>
              <w:rPr>
                <w:sz w:val="1"/>
                <w:szCs w:val="1"/>
                <w:color w:val="auto"/>
              </w:rPr>
            </w:pPr>
          </w:p>
        </w:tc>
      </w:tr>
      <w:tr>
        <w:trPr>
          <w:trHeight w:val="206"/>
        </w:trPr>
        <w:tc>
          <w:tcPr>
            <w:tcW w:w="75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provided by investing activities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7,916</w:t>
            </w:r>
          </w:p>
        </w:tc>
        <w:tc>
          <w:tcPr>
            <w:tcW w:w="0" w:type="dxa"/>
            <w:vAlign w:val="bottom"/>
          </w:tcPr>
          <w:p>
            <w:pPr>
              <w:spacing w:after="0"/>
              <w:rPr>
                <w:sz w:val="1"/>
                <w:szCs w:val="1"/>
                <w:color w:val="auto"/>
              </w:rPr>
            </w:pPr>
          </w:p>
        </w:tc>
      </w:tr>
      <w:tr>
        <w:trPr>
          <w:trHeight w:val="199"/>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60" w:type="dxa"/>
            <w:vAlign w:val="bottom"/>
          </w:tcPr>
          <w:p>
            <w:pPr>
              <w:ind w:left="100"/>
              <w:spacing w:after="0"/>
              <w:rPr>
                <w:sz w:val="20"/>
                <w:szCs w:val="20"/>
                <w:color w:val="auto"/>
              </w:rPr>
            </w:pPr>
            <w:r>
              <w:rPr>
                <w:rFonts w:ascii="Arial" w:cs="Arial" w:eastAsia="Arial" w:hAnsi="Arial"/>
                <w:sz w:val="16"/>
                <w:szCs w:val="16"/>
                <w:color w:val="auto"/>
              </w:rPr>
              <w:t>Proceeds from follow-on public offering, net of underwriting discounts, commissions and offering costs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62,978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debt financing</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560" w:type="dxa"/>
            <w:vAlign w:val="bottom"/>
          </w:tcPr>
          <w:p>
            <w:pPr>
              <w:ind w:left="100"/>
              <w:spacing w:after="0"/>
              <w:rPr>
                <w:sz w:val="20"/>
                <w:szCs w:val="20"/>
                <w:color w:val="auto"/>
              </w:rPr>
            </w:pPr>
            <w:r>
              <w:rPr>
                <w:rFonts w:ascii="Arial" w:cs="Arial" w:eastAsia="Arial" w:hAnsi="Arial"/>
                <w:sz w:val="16"/>
                <w:szCs w:val="16"/>
                <w:color w:val="auto"/>
              </w:rPr>
              <w:t>Principal repayments of debt financing</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(45,297)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Payments of debt issuance costs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560" w:type="dxa"/>
            <w:vAlign w:val="bottom"/>
          </w:tcPr>
          <w:p>
            <w:pPr>
              <w:ind w:left="100"/>
              <w:spacing w:after="0"/>
              <w:rPr>
                <w:sz w:val="20"/>
                <w:szCs w:val="20"/>
                <w:color w:val="auto"/>
              </w:rPr>
            </w:pPr>
            <w:r>
              <w:rPr>
                <w:rFonts w:ascii="Arial" w:cs="Arial" w:eastAsia="Arial" w:hAnsi="Arial"/>
                <w:sz w:val="16"/>
                <w:szCs w:val="16"/>
                <w:color w:val="auto"/>
              </w:rPr>
              <w:t>Payments of prepayment penalty and lender fees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issuance of common stock under employee stock purchase plan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0" w:type="dxa"/>
            <w:vAlign w:val="bottom"/>
          </w:tcPr>
          <w:p>
            <w:pPr>
              <w:spacing w:after="0"/>
              <w:rPr>
                <w:sz w:val="1"/>
                <w:szCs w:val="1"/>
                <w:color w:val="auto"/>
              </w:rPr>
            </w:pPr>
          </w:p>
        </w:tc>
      </w:tr>
      <w:tr>
        <w:trPr>
          <w:trHeight w:val="213"/>
        </w:trPr>
        <w:tc>
          <w:tcPr>
            <w:tcW w:w="7560" w:type="dxa"/>
            <w:vAlign w:val="bottom"/>
          </w:tcPr>
          <w:p>
            <w:pPr>
              <w:ind w:left="100"/>
              <w:spacing w:after="0"/>
              <w:rPr>
                <w:sz w:val="20"/>
                <w:szCs w:val="20"/>
                <w:color w:val="auto"/>
              </w:rPr>
            </w:pPr>
            <w:r>
              <w:rPr>
                <w:rFonts w:ascii="Arial" w:cs="Arial" w:eastAsia="Arial" w:hAnsi="Arial"/>
                <w:sz w:val="16"/>
                <w:szCs w:val="16"/>
                <w:color w:val="auto"/>
              </w:rPr>
              <w:t>Proceeds from the exercise of stock options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1,178</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Repurchase of unvested early exercised stock options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7560" w:type="dxa"/>
            <w:vAlign w:val="bottom"/>
          </w:tcPr>
          <w:p>
            <w:pPr>
              <w:ind w:left="100"/>
              <w:spacing w:after="0"/>
              <w:rPr>
                <w:sz w:val="20"/>
                <w:szCs w:val="20"/>
                <w:color w:val="auto"/>
              </w:rPr>
            </w:pPr>
            <w:r>
              <w:rPr>
                <w:rFonts w:ascii="Arial" w:cs="Arial" w:eastAsia="Arial" w:hAnsi="Arial"/>
                <w:sz w:val="16"/>
                <w:szCs w:val="16"/>
                <w:color w:val="auto"/>
              </w:rPr>
              <w:t>Payments of additional initial public offering related costs</w:t>
            </w: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3"/>
        </w:trPr>
        <w:tc>
          <w:tcPr>
            <w:tcW w:w="756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63,363</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2,236</w:t>
            </w:r>
          </w:p>
        </w:tc>
        <w:tc>
          <w:tcPr>
            <w:tcW w:w="0" w:type="dxa"/>
            <w:vAlign w:val="bottom"/>
          </w:tcPr>
          <w:p>
            <w:pPr>
              <w:spacing w:after="0"/>
              <w:rPr>
                <w:sz w:val="1"/>
                <w:szCs w:val="1"/>
                <w:color w:val="auto"/>
              </w:rPr>
            </w:pPr>
          </w:p>
        </w:tc>
      </w:tr>
      <w:tr>
        <w:trPr>
          <w:trHeight w:val="207"/>
        </w:trPr>
        <w:tc>
          <w:tcPr>
            <w:tcW w:w="75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3"/>
        </w:trPr>
        <w:tc>
          <w:tcPr>
            <w:tcW w:w="7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45,561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(12,506)</w:t>
            </w:r>
          </w:p>
        </w:tc>
        <w:tc>
          <w:tcPr>
            <w:tcW w:w="0" w:type="dxa"/>
            <w:vAlign w:val="bottom"/>
          </w:tcPr>
          <w:p>
            <w:pPr>
              <w:spacing w:after="0"/>
              <w:rPr>
                <w:sz w:val="1"/>
                <w:szCs w:val="1"/>
                <w:color w:val="auto"/>
              </w:rPr>
            </w:pPr>
          </w:p>
        </w:tc>
      </w:tr>
      <w:tr>
        <w:trPr>
          <w:trHeight w:val="213"/>
        </w:trPr>
        <w:tc>
          <w:tcPr>
            <w:tcW w:w="756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25,120</w:t>
            </w:r>
          </w:p>
        </w:tc>
        <w:tc>
          <w:tcPr>
            <w:tcW w:w="0" w:type="dxa"/>
            <w:vAlign w:val="bottom"/>
          </w:tcPr>
          <w:p>
            <w:pPr>
              <w:spacing w:after="0"/>
              <w:rPr>
                <w:sz w:val="1"/>
                <w:szCs w:val="1"/>
                <w:color w:val="auto"/>
              </w:rPr>
            </w:pPr>
          </w:p>
        </w:tc>
      </w:tr>
      <w:tr>
        <w:trPr>
          <w:trHeight w:val="204"/>
        </w:trPr>
        <w:tc>
          <w:tcPr>
            <w:tcW w:w="7560" w:type="dxa"/>
            <w:vAlign w:val="bottom"/>
          </w:tcPr>
          <w:p>
            <w:pPr>
              <w:ind w:left="40"/>
              <w:spacing w:after="0"/>
              <w:rPr>
                <w:sz w:val="20"/>
                <w:szCs w:val="20"/>
                <w:color w:val="auto"/>
              </w:rPr>
            </w:pPr>
            <w:r>
              <w:rPr>
                <w:rFonts w:ascii="Arial" w:cs="Arial" w:eastAsia="Arial" w:hAnsi="Arial"/>
                <w:sz w:val="16"/>
                <w:szCs w:val="16"/>
                <w:color w:val="auto"/>
              </w:rPr>
              <w:t>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55,996</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12,614</w:t>
            </w:r>
          </w:p>
        </w:tc>
        <w:tc>
          <w:tcPr>
            <w:tcW w:w="0" w:type="dxa"/>
            <w:vAlign w:val="bottom"/>
          </w:tcPr>
          <w:p>
            <w:pPr>
              <w:spacing w:after="0"/>
              <w:rPr>
                <w:sz w:val="1"/>
                <w:szCs w:val="1"/>
                <w:color w:val="auto"/>
              </w:rPr>
            </w:pPr>
          </w:p>
        </w:tc>
      </w:tr>
      <w:tr>
        <w:trPr>
          <w:trHeight w:val="26"/>
        </w:trPr>
        <w:tc>
          <w:tcPr>
            <w:tcW w:w="75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Supplemental disclosure of non-cash information</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5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Vesting of early exercised stock options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0"/>
        </w:trPr>
        <w:tc>
          <w:tcPr>
            <w:tcW w:w="7560" w:type="dxa"/>
            <w:vAlign w:val="bottom"/>
          </w:tcPr>
          <w:p>
            <w:pPr>
              <w:ind w:left="40"/>
              <w:spacing w:after="0"/>
              <w:rPr>
                <w:sz w:val="20"/>
                <w:szCs w:val="20"/>
                <w:color w:val="auto"/>
              </w:rPr>
            </w:pPr>
            <w:r>
              <w:rPr>
                <w:rFonts w:ascii="Arial" w:cs="Arial" w:eastAsia="Arial" w:hAnsi="Arial"/>
                <w:sz w:val="16"/>
                <w:szCs w:val="16"/>
                <w:color w:val="auto"/>
              </w:rPr>
              <w:t>Unpaid purchases of property and equipment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237490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780" w:top="837" w:right="7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The Company and Nature of Business</w:t>
      </w:r>
    </w:p>
    <w:p>
      <w:pPr>
        <w:spacing w:after="0" w:line="12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the most common types of sacroiliac joint disorders that cause lower back pain. The Company introduced its primary product, the iFuse Implant System, or iFuse, in 2009 in the U.S., in 2010 in certain countries in the European Union, and in 2015 in certain countries in the rest of the world.</w:t>
      </w:r>
    </w:p>
    <w:p>
      <w:pPr>
        <w:spacing w:after="0" w:line="15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October 2018, the Company completed its initial public offering (“IPO”), by issuing 8,280,000 shares of common stock, at an offering price of $15.00 per share, for net proceeds of $113.4 million after deducting underwriting discounts and commissions and offering costs.</w:t>
      </w:r>
    </w:p>
    <w:p>
      <w:pPr>
        <w:spacing w:after="0" w:line="170"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In January 2020, the Company received $50.3 million of net proceeds, after deducting the underwriting discounts and commissions, from its first follow-on public offering of 4,300,000 shares of the Company's common stock at a public offering price of $21.50 per share, of which 2,490,053 shares were offered and sold by the Company. Further, in February 2020, the underwriters fully exercised their option to purchase 645,000 shares of the Company's common stock at a public offering price of $21.50 per share for an additional net proceeds of $13.0 million to the Company, after deducting underwriting discounts and commissions. The total public offering costs incurred in connection with the follow-on offering were allocated based on the gross proceeds received by the Company and the other selling shareholders on a pro-rated basis. Public offering cost of $0.4 million allocated to selling of shares by the Company was charged against the gross proceeds received from the follow-on offering. Public offering costs of $0.2 million allocated to selling of shares by the selling shareholders was recognized as transaction costs within general and administrative expenses on the unaudited condensed consolidated statements of operations in the first quarter of 2020.</w:t>
      </w:r>
    </w:p>
    <w:p>
      <w:pPr>
        <w:spacing w:after="0" w:line="181"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In October 2020, the Company received $71.9 million of net proceeds, after deducting the underwriting discounts and commissions, from its second follow-on public offering. See Note 12 - Subsequent Events of Notes to Condensed Consolidated Financial Statements for related discussions.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December 31, 2019 has been derived from the audited consolidated financial statements at that date but does not include all of the information required by GAAP for complete financial statements. These unaudited interim condensed consolidated financial statements have been prepared on the same basis as the Company’s annual financial statements and, in the opinion of management, reflect all adjustments that are necessary for a fair statement of the Company’s consolidated financial information. The results of operations for the three and nine months ended September 30, 2020 are not necessarily indicative of the results to be expected for the year ending December 31, 2020 or for any other interim period or for any other future year.</w:t>
      </w:r>
    </w:p>
    <w:p>
      <w:pPr>
        <w:spacing w:after="0" w:line="181"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The accompanying condensed consolidated financial statements should be read in conjunction with the audited financial statements and related notes thereto for the year ended December 31, 2019 contained in the Company’s Annual Report on Form 10-K filed with the SEC on March 11, 2020.</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7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The Company is subject to risks and uncertainties as a result of the COVID-19 pandemic. The extent of the impact of the COVID-19 pandemic on the Company's business is highly uncertain and difficult to predict, as the response to the pandemic and the information surrounding the pandemic is rapidly evolving. The severity of the impact of the COVID-19 pandemic on the Company's business will depend on a number of factors, including, but not limited to, the duration and severity of the pandemic and the extent and severity of the impact on the Company's customers, all of which are uncertain and cannot be predicted. The Company's future results of operations and liquidity could be adversely impacted by delays in payments of outstanding receivable amounts beyond normal payment terms, supply chain disruptions and uncertain demand, excess and obsolete inventory, and the impact of any initiatives and programs that the Company may undertake to address financial and operations challenges faced by its customers.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Estimates are based on historical experience, where applicable and other assumptions believed to be reasonable by the management. Actual results could differ from those estimates.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Company’s significant accounting policies are disclosed in the Company’s Annual Report on Form 10-K for the year ended December 31,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these accounting policies.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71"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As an emerging growth company under the Jumpstart Our Business Startups Act of 2012 (the “JOBS Act”), the Company is eligible to take advantage of certain exemptions from various reporting requirements that are applicable to other public companies that are not emerging growth companies. The Company has elected to take advantage of the extended transition period for adopting new or revised accounting standards that have different effective dates for public and private companies. Those standards apply to companies until the earlier of the date that it is (i)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 The Company continues to be an emerging growth company until December 31, 2023, unless one of the following occurs:</w:t>
      </w:r>
    </w:p>
    <w:p>
      <w:pPr>
        <w:spacing w:after="0" w:line="2" w:lineRule="exact"/>
        <w:rPr>
          <w:sz w:val="20"/>
          <w:szCs w:val="20"/>
          <w:color w:val="auto"/>
        </w:rPr>
      </w:pPr>
    </w:p>
    <w:p>
      <w:pPr>
        <w:ind w:firstLine="8"/>
        <w:spacing w:after="0" w:line="290" w:lineRule="auto"/>
        <w:tabs>
          <w:tab w:leader="none" w:pos="222"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Company's total annual gross revenues are $1.07 billion or more; (ii) the Company has issued more than $1.0 billion in non-convertible debt in the past three years; or (iii) the Company becomes a “large accelerated filer,” as defined in Rule 12b-2 of the Exchange Act.</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Segments</w:t>
      </w:r>
    </w:p>
    <w:p>
      <w:pPr>
        <w:spacing w:after="0" w:line="17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The Company manages and operates as one reportable segment. The Company derives substantially all of its revenue from sales to customers in the U.S. Revenue by geography is based on billing address of the customer. No single country outside the U.S. accounts for more than 10% of the total revenue during the periods presented. Long-lived assets held outside the U.S. are immaterial. The table below summarizes the Company's revenue by geography: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700" w:type="dxa"/>
            <w:vAlign w:val="bottom"/>
            <w:gridSpan w:val="6"/>
          </w:tcPr>
          <w:p>
            <w:pPr>
              <w:ind w:left="40"/>
              <w:spacing w:after="0"/>
              <w:rPr>
                <w:sz w:val="20"/>
                <w:szCs w:val="20"/>
                <w:color w:val="auto"/>
              </w:rPr>
            </w:pPr>
            <w:r>
              <w:rPr>
                <w:rFonts w:ascii="Arial" w:cs="Arial" w:eastAsia="Arial" w:hAnsi="Arial"/>
                <w:sz w:val="16"/>
                <w:szCs w:val="16"/>
                <w:b w:val="1"/>
                <w:bCs w:val="1"/>
                <w:color w:val="auto"/>
                <w:w w:val="97"/>
              </w:rPr>
              <w:t>Three Months Ended September 30,</w:t>
            </w:r>
          </w:p>
        </w:tc>
        <w:tc>
          <w:tcPr>
            <w:tcW w:w="120" w:type="dxa"/>
            <w:vAlign w:val="bottom"/>
          </w:tcPr>
          <w:p>
            <w:pPr>
              <w:spacing w:after="0"/>
              <w:rPr>
                <w:sz w:val="18"/>
                <w:szCs w:val="18"/>
                <w:color w:val="auto"/>
              </w:rPr>
            </w:pPr>
          </w:p>
        </w:tc>
        <w:tc>
          <w:tcPr>
            <w:tcW w:w="3220" w:type="dxa"/>
            <w:vAlign w:val="bottom"/>
            <w:gridSpan w:val="5"/>
          </w:tcPr>
          <w:p>
            <w:pPr>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7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740" w:type="dxa"/>
            <w:vAlign w:val="bottom"/>
          </w:tcPr>
          <w:p>
            <w:pPr>
              <w:spacing w:after="0"/>
              <w:rPr>
                <w:sz w:val="18"/>
                <w:szCs w:val="18"/>
                <w:color w:val="auto"/>
              </w:rPr>
            </w:pPr>
          </w:p>
        </w:tc>
      </w:tr>
      <w:tr>
        <w:trPr>
          <w:trHeight w:val="210"/>
        </w:trPr>
        <w:tc>
          <w:tcPr>
            <w:tcW w:w="7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5"/>
          </w:tcPr>
          <w:p>
            <w:pPr>
              <w:ind w:left="5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2"/>
        </w:trPr>
        <w:tc>
          <w:tcPr>
            <w:tcW w:w="760" w:type="dxa"/>
            <w:vAlign w:val="bottom"/>
          </w:tcPr>
          <w:p>
            <w:pPr>
              <w:spacing w:after="0"/>
              <w:rPr>
                <w:sz w:val="20"/>
                <w:szCs w:val="20"/>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43,325</w:t>
            </w:r>
          </w:p>
        </w:tc>
        <w:tc>
          <w:tcPr>
            <w:tcW w:w="740" w:type="dxa"/>
            <w:vAlign w:val="bottom"/>
          </w:tcPr>
          <w:p>
            <w:pPr>
              <w:spacing w:after="0"/>
              <w:rPr>
                <w:sz w:val="20"/>
                <w:szCs w:val="20"/>
                <w:color w:val="auto"/>
              </w:rPr>
            </w:pPr>
          </w:p>
        </w:tc>
      </w:tr>
      <w:tr>
        <w:trPr>
          <w:trHeight w:val="230"/>
        </w:trPr>
        <w:tc>
          <w:tcPr>
            <w:tcW w:w="760" w:type="dxa"/>
            <w:vAlign w:val="bottom"/>
          </w:tcPr>
          <w:p>
            <w:pPr>
              <w:spacing w:after="0"/>
              <w:rPr>
                <w:sz w:val="19"/>
                <w:szCs w:val="19"/>
                <w:color w:val="auto"/>
              </w:rPr>
            </w:pPr>
          </w:p>
        </w:tc>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4,165</w:t>
            </w:r>
          </w:p>
        </w:tc>
        <w:tc>
          <w:tcPr>
            <w:tcW w:w="740" w:type="dxa"/>
            <w:vAlign w:val="bottom"/>
          </w:tcPr>
          <w:p>
            <w:pPr>
              <w:spacing w:after="0"/>
              <w:rPr>
                <w:sz w:val="19"/>
                <w:szCs w:val="19"/>
                <w:color w:val="auto"/>
              </w:rPr>
            </w:pPr>
          </w:p>
        </w:tc>
      </w:tr>
      <w:tr>
        <w:trPr>
          <w:trHeight w:val="248"/>
        </w:trPr>
        <w:tc>
          <w:tcPr>
            <w:tcW w:w="76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47,490</w:t>
            </w:r>
          </w:p>
        </w:tc>
        <w:tc>
          <w:tcPr>
            <w:tcW w:w="74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87"/>
        </w:trPr>
        <w:tc>
          <w:tcPr>
            <w:tcW w:w="7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63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8"/>
        </w:trPr>
        <w:tc>
          <w:tcPr>
            <w:tcW w:w="76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Adoption of New Revenue Recognition Standard</w:t>
      </w:r>
    </w:p>
    <w:p>
      <w:pPr>
        <w:spacing w:after="0" w:line="25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The Company adopted the new revenue recognition standards (“ASC 606”) using the modified retrospective method effective for the year ended December 31, 2019. This approach was applied to all contracts that were not completed as of January 1, 2019. As an emerging growth company that elected to take advantage of the JOBS Act accounting election, the Company was not required to adopt the new revenue standard in the interim reporting periods on the year of adoption and is not required, and intends not, to revise its 2019 interim periods which were reported under previous revenue recognition standards (“ASC 605”). The adoption of ASC 606 did not result in a material impact on the Company’s condensed consolidated financial statements and no adjustment was made to the opening balance of accumulated deficit at January 1, 2019. ASC 606's core principle is that a reporting entity will recognize revenue when it transfers promised goods or services to customers in an amount that reflects the consideration to which the entity expects to be entitled in exchange for those goods or services. As it relates to product sales where the Company's sales representative delivers the product at the point of implantation at hospital or medical facilities, which represents majority of the Company's revenue, the Company continues to recognize the revenue upon completion of the procedure and authorization by the customer, net of rebates and price discounts. As it relates to sale of products through distributors and hospitals where product is ordered in advance of the procedure, the Company continues to recognize the revenue upon shipments to the customers, net of rebates and price discounts. Additionally, ASC 606 requires the capitalization of costs to obtain a contract, primarily sales commissions, and amortization of these costs over the contract period or estimated customer life. The Company’s sales commissions paid to its sales representatives is generally based on the surgeries performed. The Company applied the practical expedient that permits an entity to expense the cost to obtain a contract as incurred when the expected amortization is one year or less. As such, the Company recognize sales commission as expense when incurred.</w:t>
      </w:r>
    </w:p>
    <w:p>
      <w:pPr>
        <w:spacing w:after="0" w:line="19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disaggregates revenues from contracts with customers into geographical regions. The Company determined that disaggregating revenue into these categories depicts how the nature, amount, timing and uncertainty of revenue and cash flows are affected by regional economic factors. For information regarding revenue by geography, refer to Segments in “Note 2 - Summary of Significant Accounting Policies” in the accompanying Notes to Condensed Consolidated Financial Statements.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Issued Accounting Standards Not Yet Effective</w:t>
      </w:r>
    </w:p>
    <w:p>
      <w:pPr>
        <w:spacing w:after="0" w:line="171" w:lineRule="exact"/>
        <w:rPr>
          <w:sz w:val="20"/>
          <w:szCs w:val="20"/>
          <w:color w:val="auto"/>
        </w:rPr>
      </w:pPr>
    </w:p>
    <w:p>
      <w:pPr>
        <w:jc w:val="both"/>
        <w:ind w:firstLine="247"/>
        <w:spacing w:after="0" w:line="286"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(Topic 842), which requires that lessee's recognize a right-of-use asset and a lease liability for all leases with lease terms greater than twelve months in the balance sheet. A lease liability is a lessee's obligation to make lease payments arising from a lease, measured on a discounted basis; and a right-of-use asset is an asset that represents the lessee’s right to use, or control use of, a specified asset for the lease term for all leases (with the exception of short-term leases) at the adoption date. In July 2018, the FASB issued ASU 2018-10 and ASU 2018-11, which provides clarification on the narrow aspects of the guidance and provide an additional transition method to adopt the new leases standard. The new transition method allows an entity to recognize a cumulative-effect adjustment to the opening balance of retained earnings in the period of adoption. In March 2019, the FASB issued ASU 2019-01, which provides clarification on implementation issues associated with adopting ASU 2016-02. The new leases standard must be adopted using a modified retrospective transition method and allows for the application of the new guidance at the beginning of the earliest comparative period presented or at the adoption date. In November 2019, the FASB issued ASU 2019-10, which revised the mandatory effective dates of the new leases standard. Further, due to the impact of the COVID-19, in June 2020, the FASB issued ASU 2020-05 to further defer the effective date for one year for entities in the “all other” categories. For public companies, the new guidance became effective for fiscal years, and for interim periods within those fiscal years, beginning after December 15, 2018. For all other entities, the new guidance is now effective for fiscal years beginning after December 15, 2021 and interim periods within fiscal years beginning after December 15, 2022. Early adoption is still permitted for any interim or annual financial statements not yet issued.</w:t>
      </w:r>
    </w:p>
    <w:p>
      <w:pPr>
        <w:spacing w:after="0" w:line="19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As an emerging growth company, the new leases standard is effective for the Company for the fiscal year ending December 31, 2022 and interim periods within fiscal year ending December 31, 2023. The Company is currently evaluating the impact of this standard on its consolidated financial statements including the timing of its adoption. The Company anticipates electing several practical expedients that permit the Company not to reassess (1) whether a contract is or contains a lease, (2) the classification of existing leases, and (3) whether previously capitalized initial direct costs would qualify for capitalization under ASC 842. The Company expects that the adoption of this new standard will have a material impact on its balance sheet. The most significant impact would be the recognition of operating lease right-of-use assets and liability. The standard is not expected to have a material impact to the Company's consolidated statements of income and cash flows.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June 2016, the FASB issued ASU 2016-13, Financial Instruments-Credit Losses (Topic 326): Measurement of Credit Losses on Financial Instruments. FASB issued ASU 2019-05 in May 2019 and ASU 2019-08 in November 2019 for codification improvements of Topic 326. The new standard revises the accounting requirements related to the measurement of credit losses and will require organizations to measure all expected credit losses for financial assets based on historical experience, current conditions and reasonable and supportable forecasts about collectability. Assets must be presented in the financial statements at the net amount expected to be collected. In November 2019, the FASB issued ASU 2019-10, which defers the effective date of ASU 2016-13 for public companies that are eligible to be smaller reporting companies and all other companies, to fiscal years beginning after December 15, 2022, including interim periods within those fiscal years. In February 2020, the FASB issued ASU 2020-02, which provides guidance regarding methodologies, documentation, and internal controls related to expected credit losses. The Company is currently evaluating the impact of this standard on its consolidated financial statements but does not expect the standard will have a material impact on the Company's consolidated financial statements.</w:t>
      </w:r>
    </w:p>
    <w:p>
      <w:pPr>
        <w:spacing w:after="0" w:line="166"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In June 2018, the FASB issued ASU 2018-07, Improvements to Non-employee Share-Based Payment Accounting. ASU 2018-07 expands the scope of Topic 718, Compensation-Stock Compensation, to include share-based payments issued to non-employees for goods or services. Consequently, the accounting for share-based payments to non-employees and employees will be substantially aligned. ASU 2018-07 supersedes Subtopic 505-50, Equity-Based Payments to Non-Employees. For public business entities, the amendments are effective for fiscal years beginning after December 15, 2018, including interim periods within that fiscal year. For all other entities, the amendments are effective for fiscal years beginning after December 15, 2019, and interim periods within fiscal years beginning after December 15, 2020. Early adoption is permitted, but no earlier than a company’s adoption date of ASC</w:t>
      </w:r>
    </w:p>
    <w:p>
      <w:pPr>
        <w:spacing w:after="0" w:line="4" w:lineRule="exact"/>
        <w:rPr>
          <w:sz w:val="20"/>
          <w:szCs w:val="20"/>
          <w:color w:val="auto"/>
        </w:rPr>
      </w:pPr>
    </w:p>
    <w:p>
      <w:pPr>
        <w:ind w:firstLine="8"/>
        <w:spacing w:after="0" w:line="260" w:lineRule="auto"/>
        <w:tabs>
          <w:tab w:leader="none" w:pos="39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will adopt this new guidance for the year ending December 31, 2020 and does not expect it to have a material impact on its consolidated financial statements.</w:t>
      </w:r>
    </w:p>
    <w:p>
      <w:pPr>
        <w:spacing w:after="0" w:line="18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August 2018, the FASB issued ASU 2018-13, Fair Value Measurements, which eliminates, adds or modifies certain disclosure requirements for fair value measurements.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This update is effective for fiscal years beginning after December 15, 2019, including interim periods within that fiscal year, with early adoption permitted to adopt either the entire standard or only the provisions that eliminate or modify the requirements. The Company will adopt this new guidance for the year ending December 31, 2020 and does not expect it to have a material impact on its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All of the Company's marketable securities were available-for-sale and were classified based on their maturities. Marketable securities with remaining maturities at the date of purchase of three months or less are classified as cash equivalents. Short term investments are securities that original maturity or remaining maturity is greater than three months and not more than twelve months. Long-term investments are securities for which the original maturity or remaining maturity is greater than twelve months.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summarizes the marketable securities:</w:t>
      </w:r>
    </w:p>
    <w:p>
      <w:pPr>
        <w:spacing w:after="0" w:line="266" w:lineRule="exact"/>
        <w:rPr>
          <w:sz w:val="20"/>
          <w:szCs w:val="20"/>
          <w:color w:val="auto"/>
        </w:rPr>
      </w:pPr>
    </w:p>
    <w:tbl>
      <w:tblPr>
        <w:tblLayout w:type="fixed"/>
        <w:tblInd w:w="7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center"/>
              <w:ind w:left="312"/>
              <w:spacing w:after="0"/>
              <w:rPr>
                <w:sz w:val="20"/>
                <w:szCs w:val="20"/>
                <w:color w:val="auto"/>
              </w:rPr>
            </w:pPr>
            <w:r>
              <w:rPr>
                <w:rFonts w:ascii="Arial" w:cs="Arial" w:eastAsia="Arial" w:hAnsi="Arial"/>
                <w:sz w:val="16"/>
                <w:szCs w:val="16"/>
                <w:b w:val="1"/>
                <w:bCs w:val="1"/>
                <w:color w:val="auto"/>
                <w:w w:val="90"/>
              </w:rPr>
              <w:t>September 30, 2020</w:t>
            </w: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Amortized Cost</w:t>
            </w:r>
          </w:p>
        </w:tc>
        <w:tc>
          <w:tcPr>
            <w:tcW w:w="20" w:type="dxa"/>
            <w:vAlign w:val="bottom"/>
          </w:tcPr>
          <w:p>
            <w:pPr>
              <w:spacing w:after="0"/>
              <w:rPr>
                <w:sz w:val="13"/>
                <w:szCs w:val="13"/>
                <w:color w:val="auto"/>
              </w:rPr>
            </w:pPr>
          </w:p>
        </w:tc>
        <w:tc>
          <w:tcPr>
            <w:tcW w:w="1580" w:type="dxa"/>
            <w:vAlign w:val="bottom"/>
            <w:gridSpan w:val="4"/>
            <w:vMerge w:val="restart"/>
          </w:tcPr>
          <w:p>
            <w:pPr>
              <w:ind w:left="100"/>
              <w:spacing w:after="0"/>
              <w:rPr>
                <w:sz w:val="20"/>
                <w:szCs w:val="20"/>
                <w:color w:val="auto"/>
              </w:rPr>
            </w:pPr>
            <w:r>
              <w:rPr>
                <w:rFonts w:ascii="Arial" w:cs="Arial" w:eastAsia="Arial" w:hAnsi="Arial"/>
                <w:sz w:val="16"/>
                <w:szCs w:val="16"/>
                <w:b w:val="1"/>
                <w:bCs w:val="1"/>
                <w:color w:val="auto"/>
              </w:rPr>
              <w:t>Unrealized Gains</w:t>
            </w:r>
          </w:p>
        </w:tc>
        <w:tc>
          <w:tcPr>
            <w:tcW w:w="20" w:type="dxa"/>
            <w:vAlign w:val="bottom"/>
          </w:tcPr>
          <w:p>
            <w:pPr>
              <w:spacing w:after="0"/>
              <w:rPr>
                <w:sz w:val="13"/>
                <w:szCs w:val="13"/>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6"/>
                <w:szCs w:val="16"/>
                <w:b w:val="1"/>
                <w:bCs w:val="1"/>
                <w:color w:val="auto"/>
              </w:rPr>
              <w:t>Unrealized Losses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180"/>
              <w:spacing w:after="0" w:line="158" w:lineRule="exact"/>
              <w:rPr>
                <w:sz w:val="20"/>
                <w:szCs w:val="20"/>
                <w:color w:val="auto"/>
              </w:rPr>
            </w:pPr>
            <w:r>
              <w:rPr>
                <w:rFonts w:ascii="Arial" w:cs="Arial" w:eastAsia="Arial" w:hAnsi="Arial"/>
                <w:sz w:val="16"/>
                <w:szCs w:val="16"/>
                <w:b w:val="1"/>
                <w:bCs w:val="1"/>
                <w:color w:val="auto"/>
                <w:w w:val="92"/>
              </w:rPr>
              <w:t>Aggregate Fair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5"/>
          </w:tcPr>
          <w:p>
            <w:pPr>
              <w:jc w:val="center"/>
              <w:ind w:left="312"/>
              <w:spacing w:after="0"/>
              <w:rPr>
                <w:sz w:val="20"/>
                <w:szCs w:val="20"/>
                <w:color w:val="auto"/>
              </w:rPr>
            </w:pPr>
            <w:r>
              <w:rPr>
                <w:rFonts w:ascii="Arial" w:cs="Arial" w:eastAsia="Arial" w:hAnsi="Arial"/>
                <w:sz w:val="16"/>
                <w:szCs w:val="16"/>
                <w:b w:val="1"/>
                <w:bCs w:val="1"/>
                <w:color w:val="auto"/>
                <w:w w:val="90"/>
              </w:rPr>
              <w:t>(in thousands)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52,290</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52,290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52,290</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8,595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Short-term investments</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75,981</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43</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76,024</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128,271</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43</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128,314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center"/>
              <w:ind w:left="312"/>
              <w:spacing w:after="0"/>
              <w:rPr>
                <w:sz w:val="20"/>
                <w:szCs w:val="20"/>
                <w:color w:val="auto"/>
              </w:rPr>
            </w:pPr>
            <w:r>
              <w:rPr>
                <w:rFonts w:ascii="Arial" w:cs="Arial" w:eastAsia="Arial" w:hAnsi="Arial"/>
                <w:sz w:val="16"/>
                <w:szCs w:val="16"/>
                <w:b w:val="1"/>
                <w:bCs w:val="1"/>
                <w:color w:val="auto"/>
                <w:w w:val="91"/>
              </w:rPr>
              <w:t>December 31, 2019</w:t>
            </w: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Amortized Cost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Unrealized Gains</w:t>
            </w:r>
          </w:p>
        </w:tc>
        <w:tc>
          <w:tcPr>
            <w:tcW w:w="20" w:type="dxa"/>
            <w:vAlign w:val="bottom"/>
          </w:tcPr>
          <w:p>
            <w:pPr>
              <w:spacing w:after="0"/>
              <w:rPr>
                <w:sz w:val="13"/>
                <w:szCs w:val="13"/>
                <w:color w:val="auto"/>
              </w:rPr>
            </w:pPr>
          </w:p>
        </w:tc>
        <w:tc>
          <w:tcPr>
            <w:tcW w:w="1540" w:type="dxa"/>
            <w:vAlign w:val="bottom"/>
            <w:gridSpan w:val="4"/>
            <w:vMerge w:val="restart"/>
          </w:tcPr>
          <w:p>
            <w:pPr>
              <w:jc w:val="right"/>
              <w:ind w:right="200"/>
              <w:spacing w:after="0"/>
              <w:rPr>
                <w:sz w:val="20"/>
                <w:szCs w:val="20"/>
                <w:color w:val="auto"/>
              </w:rPr>
            </w:pPr>
            <w:r>
              <w:rPr>
                <w:rFonts w:ascii="Arial" w:cs="Arial" w:eastAsia="Arial" w:hAnsi="Arial"/>
                <w:sz w:val="16"/>
                <w:szCs w:val="16"/>
                <w:b w:val="1"/>
                <w:bCs w:val="1"/>
                <w:color w:val="auto"/>
                <w:w w:val="93"/>
              </w:rPr>
              <w:t>Unrealized Losses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ind w:right="52"/>
              <w:spacing w:after="0" w:line="158" w:lineRule="exact"/>
              <w:rPr>
                <w:sz w:val="20"/>
                <w:szCs w:val="20"/>
                <w:color w:val="auto"/>
              </w:rPr>
            </w:pPr>
            <w:r>
              <w:rPr>
                <w:rFonts w:ascii="Arial" w:cs="Arial" w:eastAsia="Arial" w:hAnsi="Arial"/>
                <w:sz w:val="16"/>
                <w:szCs w:val="16"/>
                <w:b w:val="1"/>
                <w:bCs w:val="1"/>
                <w:color w:val="auto"/>
                <w:w w:val="93"/>
              </w:rPr>
              <w:t>Aggregate Fair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gridSpan w:val="5"/>
          </w:tcPr>
          <w:p>
            <w:pPr>
              <w:jc w:val="center"/>
              <w:ind w:left="312"/>
              <w:spacing w:after="0"/>
              <w:rPr>
                <w:sz w:val="20"/>
                <w:szCs w:val="20"/>
                <w:color w:val="auto"/>
              </w:rPr>
            </w:pPr>
            <w:r>
              <w:rPr>
                <w:rFonts w:ascii="Arial" w:cs="Arial" w:eastAsia="Arial" w:hAnsi="Arial"/>
                <w:sz w:val="16"/>
                <w:szCs w:val="16"/>
                <w:b w:val="1"/>
                <w:bCs w:val="1"/>
                <w:color w:val="auto"/>
                <w:w w:val="90"/>
              </w:rPr>
              <w:t>(in thousands)</w:t>
            </w:r>
          </w:p>
        </w:tc>
        <w:tc>
          <w:tcPr>
            <w:tcW w:w="5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6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equivalents</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U.S. treasury securities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67,051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w w:val="90"/>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67,083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5,165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Short-term investments</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81,291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58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0"/>
              </w:rPr>
              <w:t>(4)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Long-term investments</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 marketable securities</w:t>
            </w: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88,132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0"/>
              </w:rPr>
              <w:t>(4)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long-term investments outstanding as of December 31, 2019 mature in April 2021.</w:t>
      </w:r>
    </w:p>
    <w:p>
      <w:pPr>
        <w:spacing w:after="0" w:line="2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Unrealized gains and losses on available-for-sale securities are recorded in accumulated other comprehensive income (loss) on the condensed consolidated balance sheets. The Company evaluates its investments to assess whether those in unrealized loss positions are other-than-temporarily impaired. The Company considers impairments to be other-than-temporary if it is related to deterioration in credit risk or if it is likely the Company will sell the securities before the recovery of their cost basis. The Company did not identify any of its marketable securities as other-than-temporarily impaired as of September 30, 2020 and December 31, 2019.</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229"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or liabilities that required fair value hierarchy measurements and disclosures for the periods presented.</w:t>
      </w:r>
    </w:p>
    <w:p>
      <w:pPr>
        <w:spacing w:after="0" w:line="15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table below summarizes the fair value of the Company’s marketable securities measured at fair value on a recurring basis based on the three-tier fair value hierarchy:</w:t>
      </w:r>
    </w:p>
    <w:p>
      <w:pPr>
        <w:spacing w:after="0" w:line="211" w:lineRule="exact"/>
        <w:rPr>
          <w:sz w:val="20"/>
          <w:szCs w:val="20"/>
          <w:color w:val="auto"/>
        </w:rPr>
      </w:pPr>
    </w:p>
    <w:tbl>
      <w:tblPr>
        <w:tblLayout w:type="fixed"/>
        <w:tblInd w:w="620" w:type="dxa"/>
        <w:tblCellMar>
          <w:top w:w="0" w:type="dxa"/>
          <w:left w:w="0" w:type="dxa"/>
          <w:bottom w:w="0" w:type="dxa"/>
          <w:right w:w="0" w:type="dxa"/>
        </w:tblCellMar>
      </w:tblPr>
      <w:tr>
        <w:trPr>
          <w:trHeight w:val="213"/>
        </w:trPr>
        <w:tc>
          <w:tcPr>
            <w:tcW w:w="5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6"/>
                <w:szCs w:val="16"/>
                <w:b w:val="1"/>
                <w:bCs w:val="1"/>
                <w:color w:val="auto"/>
                <w:w w:val="90"/>
              </w:rPr>
              <w:t>September 30, 2020</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10"/>
        </w:trPr>
        <w:tc>
          <w:tcPr>
            <w:tcW w:w="5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Level 2</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Total</w:t>
            </w:r>
          </w:p>
        </w:tc>
      </w:tr>
      <w:tr>
        <w:trPr>
          <w:trHeight w:val="209"/>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8"/>
              </w:rPr>
              <w:t>(in thousands)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2"/>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securities</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30"/>
        </w:trPr>
        <w:tc>
          <w:tcPr>
            <w:tcW w:w="582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52,290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52,290</w:t>
            </w:r>
          </w:p>
        </w:tc>
      </w:tr>
      <w:tr>
        <w:trPr>
          <w:trHeight w:val="229"/>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treasury securities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57,018</w:t>
            </w:r>
          </w:p>
        </w:tc>
      </w:tr>
      <w:tr>
        <w:trPr>
          <w:trHeight w:val="230"/>
        </w:trPr>
        <w:tc>
          <w:tcPr>
            <w:tcW w:w="582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8,614</w:t>
            </w:r>
          </w:p>
        </w:tc>
      </w:tr>
      <w:tr>
        <w:trPr>
          <w:trHeight w:val="229"/>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10,392</w:t>
            </w:r>
          </w:p>
        </w:tc>
      </w:tr>
      <w:tr>
        <w:trPr>
          <w:trHeight w:val="223"/>
        </w:trPr>
        <w:tc>
          <w:tcPr>
            <w:tcW w:w="5820" w:type="dxa"/>
            <w:vAlign w:val="bottom"/>
          </w:tcPr>
          <w:p>
            <w:pPr>
              <w:ind w:left="32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109,308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128,314</w:t>
            </w: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90"/>
        </w:trPr>
        <w:tc>
          <w:tcPr>
            <w:tcW w:w="5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w w:val="90"/>
              </w:rPr>
              <w:t>December 31, 2019</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10"/>
        </w:trPr>
        <w:tc>
          <w:tcPr>
            <w:tcW w:w="5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Level 2</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Total</w:t>
            </w:r>
          </w:p>
        </w:tc>
      </w:tr>
      <w:tr>
        <w:trPr>
          <w:trHeight w:val="209"/>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8"/>
              </w:rPr>
              <w:t>(in thousands)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2"/>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securities</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30"/>
        </w:trPr>
        <w:tc>
          <w:tcPr>
            <w:tcW w:w="582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3,068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3,068</w:t>
            </w:r>
          </w:p>
        </w:tc>
      </w:tr>
      <w:tr>
        <w:trPr>
          <w:trHeight w:val="229"/>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treasury securities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67,083</w:t>
            </w:r>
          </w:p>
        </w:tc>
      </w:tr>
      <w:tr>
        <w:trPr>
          <w:trHeight w:val="230"/>
        </w:trPr>
        <w:tc>
          <w:tcPr>
            <w:tcW w:w="582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10,375</w:t>
            </w:r>
          </w:p>
        </w:tc>
      </w:tr>
      <w:tr>
        <w:trPr>
          <w:trHeight w:val="230"/>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w:t>
            </w:r>
          </w:p>
        </w:tc>
      </w:tr>
      <w:tr>
        <w:trPr>
          <w:trHeight w:val="223"/>
        </w:trPr>
        <w:tc>
          <w:tcPr>
            <w:tcW w:w="5820" w:type="dxa"/>
            <w:vAlign w:val="bottom"/>
          </w:tcPr>
          <w:p>
            <w:pPr>
              <w:ind w:left="32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70,151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18,035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88,186</w:t>
            </w: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460" w:right="8960" w:hanging="452"/>
        <w:spacing w:after="0" w:line="488" w:lineRule="auto"/>
        <w:tabs>
          <w:tab w:leader="none" w:pos="195"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Balance Sheet Components </w:t>
      </w:r>
      <w:r>
        <w:rPr>
          <w:rFonts w:ascii="Arial" w:cs="Arial" w:eastAsia="Arial" w:hAnsi="Arial"/>
          <w:sz w:val="16"/>
          <w:szCs w:val="16"/>
          <w:b w:val="1"/>
          <w:bCs w:val="1"/>
          <w:i w:val="1"/>
          <w:iCs w:val="1"/>
          <w:color w:val="auto"/>
        </w:rPr>
        <w:t>Inventory</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2020 and December 31, 2019, inventory consisted entirely of finished goods.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 net</w:t>
      </w:r>
      <w:r>
        <w:rPr>
          <w:rFonts w:ascii="Arial" w:cs="Arial" w:eastAsia="Arial" w:hAnsi="Arial"/>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September 30, 2020</w:t>
            </w:r>
          </w:p>
        </w:tc>
        <w:tc>
          <w:tcPr>
            <w:tcW w:w="228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2019</w:t>
            </w: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3"/>
          </w:tcPr>
          <w:p>
            <w:pPr>
              <w:jc w:val="right"/>
              <w:ind w:right="193"/>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80" w:type="dxa"/>
            <w:vAlign w:val="bottom"/>
          </w:tcPr>
          <w:p>
            <w:pPr>
              <w:spacing w:after="0"/>
              <w:rPr>
                <w:sz w:val="20"/>
                <w:szCs w:val="20"/>
                <w:color w:val="auto"/>
              </w:rPr>
            </w:pPr>
          </w:p>
        </w:tc>
        <w:tc>
          <w:tcPr>
            <w:tcW w:w="4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Machinery and equipment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4200" w:type="dxa"/>
            <w:vAlign w:val="bottom"/>
          </w:tcPr>
          <w:p>
            <w:pPr>
              <w:ind w:left="60"/>
              <w:spacing w:after="0"/>
              <w:rPr>
                <w:sz w:val="20"/>
                <w:szCs w:val="20"/>
                <w:color w:val="auto"/>
              </w:rPr>
            </w:pPr>
            <w:r>
              <w:rPr>
                <w:rFonts w:ascii="Arial" w:cs="Arial" w:eastAsia="Arial" w:hAnsi="Arial"/>
                <w:sz w:val="18"/>
                <w:szCs w:val="18"/>
                <w:color w:val="auto"/>
              </w:rPr>
              <w:t>Construction in progress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1,854</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4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Computer and office equipment</w:t>
            </w:r>
          </w:p>
        </w:tc>
        <w:tc>
          <w:tcPr>
            <w:tcW w:w="2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4200" w:type="dxa"/>
            <w:vAlign w:val="bottom"/>
          </w:tcPr>
          <w:p>
            <w:pPr>
              <w:ind w:left="60"/>
              <w:spacing w:after="0"/>
              <w:rPr>
                <w:sz w:val="20"/>
                <w:szCs w:val="20"/>
                <w:color w:val="auto"/>
              </w:rPr>
            </w:pPr>
            <w:r>
              <w:rPr>
                <w:rFonts w:ascii="Arial" w:cs="Arial" w:eastAsia="Arial" w:hAnsi="Arial"/>
                <w:sz w:val="18"/>
                <w:szCs w:val="18"/>
                <w:color w:val="auto"/>
              </w:rPr>
              <w:t>Leasehold improvements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497</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4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Furniture and fixtures</w:t>
            </w:r>
          </w:p>
        </w:tc>
        <w:tc>
          <w:tcPr>
            <w:tcW w:w="23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9,060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7,749</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4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Less: Accumulated depreciation and amortization</w:t>
            </w:r>
          </w:p>
        </w:tc>
        <w:tc>
          <w:tcPr>
            <w:tcW w:w="23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3,954</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300" w:type="dxa"/>
            <w:vAlign w:val="bottom"/>
            <w:vMerge w:val="restart"/>
          </w:tcPr>
          <w:p>
            <w:pPr>
              <w:jc w:val="right"/>
              <w:ind w:right="147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7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Construction in progress pertains to cost of individual components of a custom instrument set used for surgical placement of iFuse implants that have not yet been placed into service. Depreciation expense was $0.3 million and $0.2 million for the three months ended September 30, 2020 and 2019, respectively, and $0.8 million and $0.6 million for the nine months ended September 30, 2020 and 2019, respectively.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Accrued Liabilities and Other</w:t>
      </w:r>
      <w:r>
        <w:rPr>
          <w:rFonts w:ascii="Arial" w:cs="Arial" w:eastAsia="Arial" w:hAnsi="Arial"/>
          <w:sz w:val="18"/>
          <w:szCs w:val="18"/>
          <w:color w:val="auto"/>
        </w:rPr>
        <w:t>:</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6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September 30, 2020</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December 31, 2019</w:t>
            </w:r>
          </w:p>
        </w:tc>
      </w:tr>
      <w:tr>
        <w:trPr>
          <w:trHeight w:val="210"/>
        </w:trPr>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3"/>
          </w:tcPr>
          <w:p>
            <w:pPr>
              <w:jc w:val="right"/>
              <w:ind w:right="153"/>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r>
      <w:tr>
        <w:trPr>
          <w:trHeight w:val="232"/>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7,754</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7,274</w:t>
            </w:r>
          </w:p>
        </w:tc>
      </w:tr>
      <w:tr>
        <w:trPr>
          <w:trHeight w:val="229"/>
        </w:trPr>
        <w:tc>
          <w:tcPr>
            <w:tcW w:w="6540" w:type="dxa"/>
            <w:vAlign w:val="bottom"/>
          </w:tcPr>
          <w:p>
            <w:pPr>
              <w:ind w:left="40"/>
              <w:spacing w:after="0"/>
              <w:rPr>
                <w:sz w:val="20"/>
                <w:szCs w:val="20"/>
                <w:color w:val="auto"/>
              </w:rPr>
            </w:pPr>
            <w:r>
              <w:rPr>
                <w:rFonts w:ascii="Arial" w:cs="Arial" w:eastAsia="Arial" w:hAnsi="Arial"/>
                <w:sz w:val="18"/>
                <w:szCs w:val="18"/>
                <w:color w:val="auto"/>
              </w:rPr>
              <w:t>Accrued litigation expense</w:t>
            </w:r>
          </w:p>
        </w:tc>
        <w:tc>
          <w:tcPr>
            <w:tcW w:w="1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3,200</w:t>
            </w:r>
          </w:p>
        </w:tc>
      </w:tr>
      <w:tr>
        <w:trPr>
          <w:trHeight w:val="229"/>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professional services</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30"/>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Others</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r>
      <w:tr>
        <w:trPr>
          <w:trHeight w:val="248"/>
        </w:trPr>
        <w:tc>
          <w:tcPr>
            <w:tcW w:w="6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8,719</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has a non-cancelable operating lease for an office building space, located in Santa Clara, California which expires in May 2025. The Company also has non-cancelable operating leases for its office building spaces in Gallarate, Italy and Mannheim, Germany which both expire in November 2024, and in Knaresborough, United Kingdom, which expires in December 2025. Further, the Company also leases vehicles under operating lease arrangements for certain of its sales personnel in Europe which expire various times in 2021 to 2023.</w:t>
      </w:r>
    </w:p>
    <w:p>
      <w:pPr>
        <w:spacing w:after="0" w:line="13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Rent expense is recorded over the lease terms on a straight-line basis. Rent expense charged to operations under operating leases was $0.3 million and $0.3 million for three months ended September 30, 2020 and 2019, respectively, and $0.9 million and $0.9 million for the nine months ended September 30, 2020 and 2019,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aggregate future minimum lease payments under all leases as of September 30, 2020:</w:t>
      </w:r>
    </w:p>
    <w:p>
      <w:pPr>
        <w:spacing w:after="0" w:line="208" w:lineRule="exact"/>
        <w:rPr>
          <w:sz w:val="20"/>
          <w:szCs w:val="20"/>
          <w:color w:val="auto"/>
        </w:rPr>
      </w:pPr>
    </w:p>
    <w:tbl>
      <w:tblPr>
        <w:tblLayout w:type="fixed"/>
        <w:tblInd w:w="220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0"/>
                <w:szCs w:val="20"/>
                <w:color w:val="auto"/>
              </w:rPr>
            </w:pPr>
          </w:p>
        </w:tc>
        <w:tc>
          <w:tcPr>
            <w:tcW w:w="1180" w:type="dxa"/>
            <w:vAlign w:val="bottom"/>
          </w:tcPr>
          <w:p>
            <w:pPr>
              <w:jc w:val="right"/>
              <w:ind w:right="71"/>
              <w:spacing w:after="0"/>
              <w:rPr>
                <w:sz w:val="20"/>
                <w:szCs w:val="20"/>
                <w:color w:val="auto"/>
              </w:rPr>
            </w:pPr>
            <w:r>
              <w:rPr>
                <w:rFonts w:ascii="Arial" w:cs="Arial" w:eastAsia="Arial" w:hAnsi="Arial"/>
                <w:sz w:val="16"/>
                <w:szCs w:val="16"/>
                <w:b w:val="1"/>
                <w:bCs w:val="1"/>
                <w:color w:val="auto"/>
                <w:w w:val="90"/>
              </w:rPr>
              <w:t>(in thousands)</w:t>
            </w:r>
          </w:p>
        </w:tc>
      </w:tr>
      <w:tr>
        <w:trPr>
          <w:trHeight w:val="23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2020 (remaining three months)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1,042</w:t>
            </w:r>
          </w:p>
        </w:tc>
      </w:tr>
      <w:tr>
        <w:trPr>
          <w:trHeight w:val="23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875</w:t>
            </w:r>
          </w:p>
        </w:tc>
      </w:tr>
      <w:tr>
        <w:trPr>
          <w:trHeight w:val="23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29"/>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r>
      <w:tr>
        <w:trPr>
          <w:trHeight w:val="248"/>
        </w:trPr>
        <w:tc>
          <w:tcPr>
            <w:tcW w:w="5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Purchase Commitments and Obligations</w:t>
      </w:r>
    </w:p>
    <w:p>
      <w:pPr>
        <w:spacing w:after="0" w:line="225"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The Company has certain purchase commitments related to its inventory management with certain manufacturing suppliers wherein the Company is required to purchase the amounts forecasted in a blanket purchase order. The contractual obligations represent future cash commitments and liabilities under agreements with third parties and exclude orders for goods and services entered into in the normal course of business that are not enforceable or legally binding. These outstanding commitments amounted to $0.4 million and $0.4 million as of September 30, 2020 and December 31, 2019,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On February 6, 2019, a putative class action captioned Eric B. Fromer Chiropractic, Inc. (“Plaintiff”) v. SI-BONE, Inc. (Civil Action No. 5:19-cv-633-SVK), was filed in the U.S. District Court, Northern District of California (the “California Action”). The complaint alleges violations of the Telephone Consumer Protection Act (the “TCPA”) on behalf of an individual and a putative class of persons alleged to be similarly situated. The complaint alleges that the Company sent invitations to an educational dinner event to health care providers by way of facsimile transmission. The TCPA prohibits using a fax machine to send unsolicited advertisements not including proper opt-out instructions or to send unsolicited advertisements to persons with whom the sender did not have an established business relationship. The plaintiff sought various forms of relief, including statutory damages of $500 for each violation of the TCPA or, in the alternative, treble damages of up to $1,500 for each knowing and willful violation of the TCPA and a permanent injunction prohibiting the Company from sending or having sent advertisements by way of facsimile transmission. Subsequently on December 20, 2019, Plaintiff the filed a putative class action captioned Eric B. Fromer Chiropractic, Inc. v. SI-BONE, Inc. (Case No. 1922-CC12323), in the Circuit Court of the City of St. Louis, State of Missouri (the “Missouri Action”). The Missouri Action alleges the same TCPA violations as the California Action. On December 23, 2019 the parties filed a joint stipulation of dismissal of the California Action and on January 14, 2020, the parties executed a definitive settlement agreement (the “Settlement Agreement”) pursuant to which, the Company agreed to settle all disputes regarding the advertising faxes to the settlement class.</w:t>
      </w:r>
    </w:p>
    <w:p>
      <w:pPr>
        <w:spacing w:after="0" w:line="19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accrued litigation expense of $2.5 million during the three months ended September 30, 2019 and accrued additional $0.7 million during the three months ended December 31, 2019, within general and administrative expenses in the condensed consolidated financial statements, for a total of $3.2 million accrued litigation expense as of December 31, 2019. The initial accrued litigation expense reflected the estimable and probable costs that the Company may incur concerning the mediation activities and settlement negotiations between the Company and the named plaintiff, and was subsequently adjusted based on the cost to resolve the matter pursuant to the Settlement Agreement and the estimated class members' claim submission rate. Following the notice and claims submission process, on June 22, 2020, the Circuit Court of the City of St. Louis, State of Missouri, approved a final order to pay the approved claims submitted by class members, fees, expenses and incentive awards totaling $2.6 million as final settlement. Accordingly, the Company recorded a reversal of accrued litigation expense of $0.6 million in the second quarter of 2020 within general and administrative expenses in the condensed consolidated financial statements. The Company made the final settlement payment on July 1, 2020.</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71"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10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13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 has not incurred costs to defend lawsuits or settle claims related to these indemnification agreements. No liability associated with such indemnifications has been recorded to date.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20" w:right="10000" w:hanging="412"/>
        <w:spacing w:after="0" w:line="495" w:lineRule="auto"/>
        <w:tabs>
          <w:tab w:leader="none" w:pos="195"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Borrowings </w:t>
      </w:r>
      <w:r>
        <w:rPr>
          <w:rFonts w:ascii="Arial" w:cs="Arial" w:eastAsia="Arial" w:hAnsi="Arial"/>
          <w:sz w:val="16"/>
          <w:szCs w:val="16"/>
          <w:b w:val="1"/>
          <w:bCs w:val="1"/>
          <w:i w:val="1"/>
          <w:iCs w:val="1"/>
          <w:color w:val="auto"/>
        </w:rPr>
        <w:t>Term Loan</w:t>
      </w:r>
    </w:p>
    <w:p>
      <w:pPr>
        <w:spacing w:after="0" w:line="1" w:lineRule="exact"/>
        <w:rPr>
          <w:rFonts w:ascii="Arial" w:cs="Arial" w:eastAsia="Arial" w:hAnsi="Arial"/>
          <w:sz w:val="16"/>
          <w:szCs w:val="16"/>
          <w:b w:val="1"/>
          <w:bCs w:val="1"/>
          <w:color w:val="auto"/>
        </w:rPr>
      </w:pPr>
    </w:p>
    <w:p>
      <w:pPr>
        <w:ind w:left="420"/>
        <w:spacing w:after="0"/>
        <w:rPr>
          <w:rFonts w:ascii="Arial" w:cs="Arial" w:eastAsia="Arial" w:hAnsi="Arial"/>
          <w:sz w:val="16"/>
          <w:szCs w:val="16"/>
          <w:b w:val="1"/>
          <w:bCs w:val="1"/>
          <w:color w:val="auto"/>
        </w:rPr>
      </w:pPr>
      <w:r>
        <w:rPr>
          <w:rFonts w:ascii="Arial" w:cs="Arial" w:eastAsia="Arial" w:hAnsi="Arial"/>
          <w:sz w:val="18"/>
          <w:szCs w:val="18"/>
          <w:color w:val="auto"/>
        </w:rPr>
        <w:t>The following table summarizes the outstanding borrowings from the term loan described below, as of the dates presented:</w:t>
      </w:r>
    </w:p>
    <w:p>
      <w:pPr>
        <w:spacing w:after="0" w:line="266"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6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September 30, 2020</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December 31, 2019</w:t>
            </w:r>
          </w:p>
        </w:tc>
      </w:tr>
      <w:tr>
        <w:trPr>
          <w:trHeight w:val="210"/>
        </w:trPr>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3"/>
          </w:tcPr>
          <w:p>
            <w:pPr>
              <w:jc w:val="right"/>
              <w:ind w:right="152"/>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r>
      <w:tr>
        <w:trPr>
          <w:trHeight w:val="232"/>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Principal and final fee payments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29"/>
        </w:trPr>
        <w:tc>
          <w:tcPr>
            <w:tcW w:w="654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(777)</w:t>
            </w:r>
          </w:p>
        </w:tc>
      </w:tr>
      <w:tr>
        <w:trPr>
          <w:trHeight w:val="230"/>
        </w:trPr>
        <w:tc>
          <w:tcPr>
            <w:tcW w:w="6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Unaccreted value of final fee</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Outstanding debt, net of debt issuance costs and unaccreted value of final fee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39,368</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39,223</w:t>
            </w: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7"/>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Classified as:</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9"/>
        </w:trPr>
        <w:tc>
          <w:tcPr>
            <w:tcW w:w="6540" w:type="dxa"/>
            <w:vAlign w:val="bottom"/>
          </w:tcPr>
          <w:p>
            <w:pPr>
              <w:ind w:left="200"/>
              <w:spacing w:after="0"/>
              <w:rPr>
                <w:sz w:val="20"/>
                <w:szCs w:val="20"/>
                <w:color w:val="auto"/>
              </w:rPr>
            </w:pPr>
            <w:r>
              <w:rPr>
                <w:rFonts w:ascii="Arial" w:cs="Arial" w:eastAsia="Arial" w:hAnsi="Arial"/>
                <w:sz w:val="18"/>
                <w:szCs w:val="18"/>
                <w:color w:val="auto"/>
              </w:rPr>
              <w:t>Current portion of long-term borrowings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4,358</w:t>
            </w: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49"/>
        </w:trPr>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Long-term borrowings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34,865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outstanding debt as of December 31, 2019 was related to a term loan entered by the Company with Biopharma Credit Investments IV Sub LP (“Pharmakon”) in October 2017 for total loan proceeds of $40.0 million (the “Pharmakon Term Loan”). The Pharmakon Term Loan included an interest-only period for 35 months through September 2020 and then equal quarterly principal payments plus interest through December 2022. The Pharmakon Term Loan carried a fixed interest rate of 11.5% and allowed for early prepayment. The prepayment penalty fee was equal to the remaining interest due if prepaid within the first 30 months, a 2% penalty for months 31-48, and a 1% penalty for months 49-60.</w:t>
      </w:r>
    </w:p>
    <w:p>
      <w:pPr>
        <w:spacing w:after="0" w:line="20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7"/>
          <w:szCs w:val="17"/>
          <w:color w:val="auto"/>
        </w:rPr>
        <w:t>On May 29, 2020, the Company entered into a Loan and Security Agreement with Solar Capital Partners (“Solar”) providing for a term loan of an aggregate principal amount of $40.0 million to the Company (the “Solar Term Loan”). In accordance with the Loan and Security Agreement, the Company paid in full and terminated the Pharmakon Term Loan, which was accounted for as debt extinguishment in accordance with the accounting standards. The Company recognized the unamortized debt issuance costs of $0.7 million and the prepayment penalty and lender fees of $0.8 million related to Pharmakon Term Loan as a loss on debt extinguishment. The costs and fees are reflected as interest expense in the condensed consolidated statement of operations for the three and nine months ended September 30, 2020. The total debt issuance costs of $0.8 million associated with the Solar Term Loan were recorded in the condensed consolidated balance sheet as a direct deduction from the carrying amount of the loan, and are amortized as a component of interest expense using straight-line method over the life of the term loan.</w:t>
      </w:r>
    </w:p>
    <w:p>
      <w:pPr>
        <w:spacing w:after="0" w:line="208"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7"/>
          <w:szCs w:val="17"/>
          <w:color w:val="auto"/>
        </w:rPr>
        <w:t>The Solar Term Loan bears interest at a rate per annum equal to 9.40% plus London Interbank Offered Rate (“LIBOR”), payable monthly in arrears. LIBOR means the greater of (i) 0.33% or (ii) one-month LIBOR (or a comparable replacement rate to be determined by the collateral agent if the LIBOR is no longer available), which rate shall reset monthly. The Solar Term Loan matures in 60 months on June 1, 2025 (“Maturity Date”), with an interest-only period of 36 months through June 2023, and then repaid in equal monthly principal payments plus interest through maturity date. Pursuant to the Loan and Security Agreement, the Company may voluntarily prepay the Solar Term Loan, in full or in part, but only in increments of $10.0 million, for a prepayment premium in an amount equal to 3.0% of the principal if prepaid in year one, 1.25% of the principal if prepaid in year two, and 0.50% of the principal if prepaid in year three or later. The prepayment premium will be waived if the Company voluntarily prepays and refinances the outstanding balance with Solar. The Solar Term Loan is secured by substantially all of the Company’s assets.</w:t>
      </w:r>
    </w:p>
    <w:p>
      <w:pPr>
        <w:spacing w:after="0" w:line="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6"/>
          <w:szCs w:val="16"/>
          <w:color w:val="auto"/>
        </w:rPr>
        <w:t>The Company is also obligated to pay a final fee equal to $1.0 million or 2.5% of the aggregate principal amount of the Solar Term Loan, which was fully earned by Solar on the effective date of the Loan and Security Agreement. With respect to the Solar Term Loan, this final fee shall be due and payable on the earliest of (i) the maturity date, (ii) the acceleration of the loan balance or (iii) its full prepayment, refinancing, substitution or replacement. The final fee was included within the long-term borrowings and is accreted to interest expense using straight-line method over the life of the term loan.</w:t>
      </w:r>
    </w:p>
    <w:p>
      <w:pPr>
        <w:spacing w:after="0" w:line="188"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effective interest rate related to the Solar Term Loan and Pharmakon Term Loan (excluding the write-down of unamortized debt issuance costs and prepayment penalty related to the Pharmakon Term Loan) was 10.8% and 12.4% for the three months ended September 30, 2020 and 2019, respectively, and 11.6% and 12.3% for the nine months ended September 30, 2020 and 2019, respectively.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the future principal and final fee payments under the Solar Term Loan as of September 30, 2020:</w:t>
      </w:r>
    </w:p>
    <w:p>
      <w:pPr>
        <w:spacing w:after="0" w:line="262"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6"/>
                <w:szCs w:val="16"/>
                <w:b w:val="1"/>
                <w:bCs w:val="1"/>
                <w:color w:val="auto"/>
                <w:w w:val="90"/>
              </w:rPr>
              <w:t>(in thousands)</w:t>
            </w:r>
          </w:p>
        </w:tc>
      </w:tr>
      <w:tr>
        <w:trPr>
          <w:trHeight w:val="23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2020 (remaining three months)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11,667</w:t>
            </w:r>
          </w:p>
        </w:tc>
      </w:tr>
      <w:tr>
        <w:trPr>
          <w:trHeight w:val="229"/>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30"/>
        </w:trPr>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9,333</w:t>
            </w:r>
          </w:p>
        </w:tc>
      </w:tr>
      <w:tr>
        <w:trPr>
          <w:trHeight w:val="248"/>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principal and final fee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41,000</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Subject to other customary covenants set forth in the Loan and Security Agreement with Solar, the Company is required to maintain unrestricted cash and cash equivalents based on the trailing 12-month net products revenues tested on a monthly basis as follows: (a) $15.0 million if net product revenue is less than $75.0 million; or (b) $7.5 million if net product revenue is greater than or equal to $75.0 million, but less than $100.0 million (the “minimum liquidity requirement”). The Company is not subject to minimum liquidity requirement when trailing twelve-month net product revenues exceeds $100.0 million. Upon the occurrence of an event of default of certain customary covenants, including the minimum liquidity requirements, as specified in the Loan and Security Agreement, subject to specified cure periods, all amounts owed by the Company would begin to bear interest at a rate that is 5.0% above the rate effective immediately before the event of default and may be declared immediately due and payable by Solar. As of September 30, 2020, the Company was in compliance with all debt covenants. Though there are uncertainties surrounding the impact of the COVID-19 pandemic that may impact its future revenue, the Company believes that it has sufficient cash and cash equivalents to meet the minimum liquidity requirements in the foreseeable succeeding periods.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PPP Loan</w:t>
      </w:r>
    </w:p>
    <w:p>
      <w:pPr>
        <w:spacing w:after="0" w:line="21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6"/>
          <w:szCs w:val="16"/>
          <w:color w:val="auto"/>
        </w:rPr>
        <w:t>On March 27, 2020, the U.S. federal government enacted the “Coronavirus Aid, Relief and Economic Security (CARES) Act,” and among other things, established the Paycheck Protection Program (“PPP”), administered by the Small Business Administration (“SBA”), whereby certain small businesses were eligible for a loan to fund payroll expenses, rent, and related costs. The loan may be forgiven if the funds are used for payroll and other qualified expenses. The Company met the requirements to apply for the PPP loan given that the Company has less than 500 employees and the business was negatively impacted by COVID-19. The Company submitted its application and was approved for the SBA program and received the proceeds from the PPP loan amounting to $5.3 million on April 21, 2020, pursuant to a Promissory Note with Silicon Valley Bank (“SVB”). In light of the subsequent clarifications from the U.S. government on the eligibility criteria, the Company determined it was appropriate to repay the entire amount of the PPP loan. Accordingly, on April 29, 2020, the Company repaid in full the PPP loan and correspondingly terminated the Promissory Note.</w:t>
      </w:r>
    </w:p>
    <w:p>
      <w:pPr>
        <w:spacing w:after="0" w:line="200" w:lineRule="exact"/>
        <w:rPr>
          <w:sz w:val="20"/>
          <w:szCs w:val="20"/>
          <w:color w:val="auto"/>
        </w:rPr>
      </w:pPr>
    </w:p>
    <w:p>
      <w:pPr>
        <w:spacing w:after="0" w:line="207" w:lineRule="exact"/>
        <w:rPr>
          <w:sz w:val="20"/>
          <w:szCs w:val="20"/>
          <w:color w:val="auto"/>
        </w:rPr>
      </w:pPr>
    </w:p>
    <w:p>
      <w:pPr>
        <w:ind w:left="460" w:right="7720" w:hanging="452"/>
        <w:spacing w:after="0" w:line="518" w:lineRule="auto"/>
        <w:tabs>
          <w:tab w:leader="none" w:pos="19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Incentive Compensation Plans </w:t>
      </w:r>
      <w:r>
        <w:rPr>
          <w:rFonts w:ascii="Arial" w:cs="Arial" w:eastAsia="Arial" w:hAnsi="Arial"/>
          <w:sz w:val="18"/>
          <w:szCs w:val="18"/>
          <w:b w:val="1"/>
          <w:bCs w:val="1"/>
          <w:i w:val="1"/>
          <w:iCs w:val="1"/>
          <w:color w:val="auto"/>
        </w:rPr>
        <w:t>Stock Options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table below summarizes the stock option activity for the nine months ended September 30, 2020:</w:t>
      </w:r>
    </w:p>
    <w:p>
      <w:pPr>
        <w:spacing w:after="0" w:line="190"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320" w:type="dxa"/>
            <w:vAlign w:val="bottom"/>
            <w:vMerge w:val="restart"/>
          </w:tcPr>
          <w:p>
            <w:pPr>
              <w:jc w:val="right"/>
              <w:ind w:right="23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Exercise</w:t>
            </w:r>
          </w:p>
        </w:tc>
        <w:tc>
          <w:tcPr>
            <w:tcW w:w="0" w:type="dxa"/>
            <w:vAlign w:val="bottom"/>
          </w:tcPr>
          <w:p>
            <w:pPr>
              <w:spacing w:after="0"/>
              <w:rPr>
                <w:sz w:val="1"/>
                <w:szCs w:val="1"/>
                <w:color w:val="auto"/>
              </w:rPr>
            </w:pPr>
          </w:p>
        </w:tc>
      </w:tr>
      <w:tr>
        <w:trPr>
          <w:trHeight w:val="213"/>
        </w:trPr>
        <w:tc>
          <w:tcPr>
            <w:tcW w:w="50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w:t>
            </w:r>
          </w:p>
        </w:tc>
        <w:tc>
          <w:tcPr>
            <w:tcW w:w="0" w:type="dxa"/>
            <w:vAlign w:val="bottom"/>
          </w:tcPr>
          <w:p>
            <w:pPr>
              <w:spacing w:after="0"/>
              <w:rPr>
                <w:sz w:val="1"/>
                <w:szCs w:val="1"/>
                <w:color w:val="auto"/>
              </w:rPr>
            </w:pPr>
          </w:p>
        </w:tc>
      </w:tr>
      <w:tr>
        <w:trPr>
          <w:trHeight w:val="22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2,718,971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$8.02</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26,236</w:t>
            </w:r>
          </w:p>
        </w:tc>
        <w:tc>
          <w:tcPr>
            <w:tcW w:w="142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17.31</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(227,334)</w:t>
            </w:r>
          </w:p>
        </w:tc>
        <w:tc>
          <w:tcPr>
            <w:tcW w:w="14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4.34</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Canceled and 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(13,524)</w:t>
            </w:r>
          </w:p>
        </w:tc>
        <w:tc>
          <w:tcPr>
            <w:tcW w:w="142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88"/>
              </w:rPr>
              <w:t>17.21</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2020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2,504,349</w:t>
            </w:r>
          </w:p>
        </w:tc>
        <w:tc>
          <w:tcPr>
            <w:tcW w:w="14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8.40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As of September 30, 2020, the unrecognized compensation cost related to stock options was $3.7 million, which is expected to be recognized over a period of approximately 2.1 years.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There were no stock options granted during the three months ended September 30, 2020. The table below summarizes the weighted average grant date fair value per share and the assumptions used to estimate the grant date fair value using the Black-Scholes option-pricing model of the stock options granted during the periods presented:</w:t>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13"/>
        </w:trPr>
        <w:tc>
          <w:tcPr>
            <w:tcW w:w="2940" w:type="dxa"/>
            <w:vAlign w:val="bottom"/>
          </w:tcPr>
          <w:p>
            <w:pPr>
              <w:spacing w:after="0"/>
              <w:rPr>
                <w:sz w:val="18"/>
                <w:szCs w:val="18"/>
                <w:color w:val="auto"/>
              </w:rPr>
            </w:pPr>
          </w:p>
        </w:tc>
        <w:tc>
          <w:tcPr>
            <w:tcW w:w="3240" w:type="dxa"/>
            <w:vAlign w:val="bottom"/>
            <w:tcBorders>
              <w:bottom w:val="single" w:sz="8" w:color="auto"/>
            </w:tcBorders>
            <w:gridSpan w:val="4"/>
          </w:tcPr>
          <w:p>
            <w:pPr>
              <w:ind w:left="700"/>
              <w:spacing w:after="0"/>
              <w:rPr>
                <w:sz w:val="20"/>
                <w:szCs w:val="20"/>
                <w:color w:val="auto"/>
              </w:rPr>
            </w:pPr>
            <w:r>
              <w:rPr>
                <w:rFonts w:ascii="Arial" w:cs="Arial" w:eastAsia="Arial" w:hAnsi="Arial"/>
                <w:sz w:val="16"/>
                <w:szCs w:val="16"/>
                <w:b w:val="1"/>
                <w:bCs w:val="1"/>
                <w:color w:val="auto"/>
                <w:w w:val="92"/>
              </w:rPr>
              <w:t>Three Months Ended September 30,</w:t>
            </w:r>
          </w:p>
        </w:tc>
        <w:tc>
          <w:tcPr>
            <w:tcW w:w="6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w w:val="93"/>
              </w:rPr>
              <w:t>Nine Months Ended September 30,</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2019</w:t>
            </w:r>
          </w:p>
        </w:tc>
        <w:tc>
          <w:tcPr>
            <w:tcW w:w="6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940" w:type="dxa"/>
            <w:vAlign w:val="bottom"/>
            <w:shd w:val="clear" w:color="auto" w:fill="CCEEFF"/>
          </w:tcPr>
          <w:p>
            <w:pPr>
              <w:ind w:left="60"/>
              <w:spacing w:after="0" w:line="158" w:lineRule="exact"/>
              <w:rPr>
                <w:sz w:val="20"/>
                <w:szCs w:val="20"/>
                <w:color w:val="auto"/>
              </w:rPr>
            </w:pPr>
            <w:r>
              <w:rPr>
                <w:rFonts w:ascii="Arial" w:cs="Arial" w:eastAsia="Arial" w:hAnsi="Arial"/>
                <w:sz w:val="18"/>
                <w:szCs w:val="18"/>
                <w:color w:val="auto"/>
                <w:w w:val="92"/>
              </w:rPr>
              <w:t>Weighted average grant date fair value</w:t>
            </w:r>
          </w:p>
        </w:tc>
        <w:tc>
          <w:tcPr>
            <w:tcW w:w="200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$5.43</w:t>
            </w: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$8.37</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$9.78</w:t>
            </w: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 share</w:t>
            </w:r>
          </w:p>
        </w:tc>
        <w:tc>
          <w:tcPr>
            <w:tcW w:w="2000" w:type="dxa"/>
            <w:vAlign w:val="bottom"/>
            <w:gridSpan w:val="2"/>
            <w:vMerge w:val="continue"/>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60"/>
              <w:spacing w:after="0"/>
              <w:rPr>
                <w:sz w:val="20"/>
                <w:szCs w:val="20"/>
                <w:color w:val="auto"/>
              </w:rPr>
            </w:pPr>
            <w:r>
              <w:rPr>
                <w:rFonts w:ascii="Arial" w:cs="Arial" w:eastAsia="Arial" w:hAnsi="Arial"/>
                <w:sz w:val="18"/>
                <w:szCs w:val="18"/>
                <w:color w:val="auto"/>
              </w:rPr>
              <w:t>Expected term (years)</w:t>
            </w:r>
          </w:p>
        </w:tc>
        <w:tc>
          <w:tcPr>
            <w:tcW w:w="2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5.0</w:t>
            </w:r>
          </w:p>
        </w:tc>
        <w:tc>
          <w:tcPr>
            <w:tcW w:w="560" w:type="dxa"/>
            <w:vAlign w:val="bottom"/>
          </w:tcPr>
          <w:p>
            <w:pPr>
              <w:ind w:left="200"/>
              <w:spacing w:after="0"/>
              <w:rPr>
                <w:sz w:val="20"/>
                <w:szCs w:val="20"/>
                <w:color w:val="auto"/>
              </w:rPr>
            </w:pPr>
            <w:r>
              <w:rPr>
                <w:rFonts w:ascii="Arial" w:cs="Arial" w:eastAsia="Arial" w:hAnsi="Arial"/>
                <w:sz w:val="18"/>
                <w:szCs w:val="18"/>
                <w:color w:val="auto"/>
              </w:rPr>
              <w:t>to</w:t>
            </w:r>
          </w:p>
        </w:tc>
        <w:tc>
          <w:tcPr>
            <w:tcW w:w="660" w:type="dxa"/>
            <w:vAlign w:val="bottom"/>
          </w:tcPr>
          <w:p>
            <w:pPr>
              <w:jc w:val="center"/>
              <w:ind w:right="30"/>
              <w:spacing w:after="0"/>
              <w:rPr>
                <w:sz w:val="20"/>
                <w:szCs w:val="20"/>
                <w:color w:val="auto"/>
              </w:rPr>
            </w:pPr>
            <w:r>
              <w:rPr>
                <w:rFonts w:ascii="Arial" w:cs="Arial" w:eastAsia="Arial" w:hAnsi="Arial"/>
                <w:sz w:val="18"/>
                <w:szCs w:val="18"/>
                <w:color w:val="auto"/>
                <w:w w:val="87"/>
              </w:rPr>
              <w:t>7.0</w:t>
            </w:r>
          </w:p>
        </w:tc>
        <w:tc>
          <w:tcPr>
            <w:tcW w:w="24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5"/>
              </w:rPr>
              <w:t>5.5</w:t>
            </w:r>
          </w:p>
        </w:tc>
        <w:tc>
          <w:tcPr>
            <w:tcW w:w="520" w:type="dxa"/>
            <w:vAlign w:val="bottom"/>
          </w:tcPr>
          <w:p>
            <w:pPr>
              <w:ind w:left="220"/>
              <w:spacing w:after="0"/>
              <w:rPr>
                <w:sz w:val="20"/>
                <w:szCs w:val="20"/>
                <w:color w:val="auto"/>
              </w:rPr>
            </w:pPr>
            <w:r>
              <w:rPr>
                <w:rFonts w:ascii="Arial" w:cs="Arial" w:eastAsia="Arial" w:hAnsi="Arial"/>
                <w:sz w:val="18"/>
                <w:szCs w:val="18"/>
                <w:color w:val="auto"/>
              </w:rPr>
              <w:t>to</w:t>
            </w:r>
          </w:p>
        </w:tc>
        <w:tc>
          <w:tcPr>
            <w:tcW w:w="660" w:type="dxa"/>
            <w:vAlign w:val="bottom"/>
          </w:tcPr>
          <w:p>
            <w:pPr>
              <w:jc w:val="center"/>
              <w:spacing w:after="0"/>
              <w:rPr>
                <w:sz w:val="20"/>
                <w:szCs w:val="20"/>
                <w:color w:val="auto"/>
              </w:rPr>
            </w:pPr>
            <w:r>
              <w:rPr>
                <w:rFonts w:ascii="Arial" w:cs="Arial" w:eastAsia="Arial" w:hAnsi="Arial"/>
                <w:sz w:val="18"/>
                <w:szCs w:val="18"/>
                <w:color w:val="auto"/>
                <w:w w:val="95"/>
              </w:rPr>
              <w:t>7.0</w:t>
            </w:r>
          </w:p>
        </w:tc>
        <w:tc>
          <w:tcPr>
            <w:tcW w:w="8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5.0</w:t>
            </w:r>
          </w:p>
        </w:tc>
        <w:tc>
          <w:tcPr>
            <w:tcW w:w="640" w:type="dxa"/>
            <w:vAlign w:val="bottom"/>
          </w:tcPr>
          <w:p>
            <w:pPr>
              <w:ind w:left="220"/>
              <w:spacing w:after="0"/>
              <w:rPr>
                <w:sz w:val="20"/>
                <w:szCs w:val="20"/>
                <w:color w:val="auto"/>
              </w:rPr>
            </w:pPr>
            <w:r>
              <w:rPr>
                <w:rFonts w:ascii="Arial" w:cs="Arial" w:eastAsia="Arial" w:hAnsi="Arial"/>
                <w:sz w:val="18"/>
                <w:szCs w:val="18"/>
                <w:color w:val="auto"/>
              </w:rPr>
              <w:t>to</w:t>
            </w:r>
          </w:p>
        </w:tc>
        <w:tc>
          <w:tcPr>
            <w:tcW w:w="720" w:type="dxa"/>
            <w:vAlign w:val="bottom"/>
          </w:tcPr>
          <w:p>
            <w:pPr>
              <w:jc w:val="center"/>
              <w:ind w:right="50"/>
              <w:spacing w:after="0"/>
              <w:rPr>
                <w:sz w:val="20"/>
                <w:szCs w:val="20"/>
                <w:color w:val="auto"/>
              </w:rPr>
            </w:pPr>
            <w:r>
              <w:rPr>
                <w:rFonts w:ascii="Arial" w:cs="Arial" w:eastAsia="Arial" w:hAnsi="Arial"/>
                <w:sz w:val="18"/>
                <w:szCs w:val="18"/>
                <w:color w:val="auto"/>
                <w:w w:val="87"/>
              </w:rPr>
              <w:t>7.0</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Expected volatility</w:t>
            </w:r>
          </w:p>
        </w:tc>
        <w:tc>
          <w:tcPr>
            <w:tcW w:w="20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46.6%</w:t>
            </w:r>
          </w:p>
        </w:tc>
        <w:tc>
          <w:tcPr>
            <w:tcW w:w="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6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47.3%</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46.7%</w:t>
            </w:r>
          </w:p>
        </w:tc>
        <w:tc>
          <w:tcPr>
            <w:tcW w:w="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47.2%</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41.7%</w:t>
            </w:r>
          </w:p>
        </w:tc>
        <w:tc>
          <w:tcPr>
            <w:tcW w:w="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w:t>
            </w:r>
          </w:p>
        </w:tc>
        <w:tc>
          <w:tcPr>
            <w:tcW w:w="7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47.3%</w:t>
            </w:r>
          </w:p>
        </w:tc>
        <w:tc>
          <w:tcPr>
            <w:tcW w:w="0" w:type="dxa"/>
            <w:vAlign w:val="bottom"/>
          </w:tcPr>
          <w:p>
            <w:pPr>
              <w:spacing w:after="0"/>
              <w:rPr>
                <w:sz w:val="1"/>
                <w:szCs w:val="1"/>
                <w:color w:val="auto"/>
              </w:rPr>
            </w:pPr>
          </w:p>
        </w:tc>
      </w:tr>
      <w:tr>
        <w:trPr>
          <w:trHeight w:val="230"/>
        </w:trPr>
        <w:tc>
          <w:tcPr>
            <w:tcW w:w="294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2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1.32%</w:t>
            </w:r>
          </w:p>
        </w:tc>
        <w:tc>
          <w:tcPr>
            <w:tcW w:w="560" w:type="dxa"/>
            <w:vAlign w:val="bottom"/>
          </w:tcPr>
          <w:p>
            <w:pPr>
              <w:ind w:left="200"/>
              <w:spacing w:after="0"/>
              <w:rPr>
                <w:sz w:val="20"/>
                <w:szCs w:val="20"/>
                <w:color w:val="auto"/>
              </w:rPr>
            </w:pPr>
            <w:r>
              <w:rPr>
                <w:rFonts w:ascii="Arial" w:cs="Arial" w:eastAsia="Arial" w:hAnsi="Arial"/>
                <w:sz w:val="18"/>
                <w:szCs w:val="18"/>
                <w:color w:val="auto"/>
              </w:rPr>
              <w:t>to</w:t>
            </w:r>
          </w:p>
        </w:tc>
        <w:tc>
          <w:tcPr>
            <w:tcW w:w="660" w:type="dxa"/>
            <w:vAlign w:val="bottom"/>
          </w:tcPr>
          <w:p>
            <w:pPr>
              <w:jc w:val="center"/>
              <w:ind w:right="30"/>
              <w:spacing w:after="0"/>
              <w:rPr>
                <w:sz w:val="20"/>
                <w:szCs w:val="20"/>
                <w:color w:val="auto"/>
              </w:rPr>
            </w:pPr>
            <w:r>
              <w:rPr>
                <w:rFonts w:ascii="Arial" w:cs="Arial" w:eastAsia="Arial" w:hAnsi="Arial"/>
                <w:sz w:val="18"/>
                <w:szCs w:val="18"/>
                <w:color w:val="auto"/>
                <w:w w:val="90"/>
              </w:rPr>
              <w:t>1.39%</w:t>
            </w:r>
          </w:p>
        </w:tc>
        <w:tc>
          <w:tcPr>
            <w:tcW w:w="24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3"/>
              </w:rPr>
              <w:t>1.56%</w:t>
            </w:r>
          </w:p>
        </w:tc>
        <w:tc>
          <w:tcPr>
            <w:tcW w:w="520" w:type="dxa"/>
            <w:vAlign w:val="bottom"/>
          </w:tcPr>
          <w:p>
            <w:pPr>
              <w:ind w:left="220"/>
              <w:spacing w:after="0"/>
              <w:rPr>
                <w:sz w:val="20"/>
                <w:szCs w:val="20"/>
                <w:color w:val="auto"/>
              </w:rPr>
            </w:pPr>
            <w:r>
              <w:rPr>
                <w:rFonts w:ascii="Arial" w:cs="Arial" w:eastAsia="Arial" w:hAnsi="Arial"/>
                <w:sz w:val="18"/>
                <w:szCs w:val="18"/>
                <w:color w:val="auto"/>
              </w:rPr>
              <w:t>to</w:t>
            </w: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1.64%</w:t>
            </w:r>
          </w:p>
        </w:tc>
        <w:tc>
          <w:tcPr>
            <w:tcW w:w="8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1.32%</w:t>
            </w:r>
          </w:p>
        </w:tc>
        <w:tc>
          <w:tcPr>
            <w:tcW w:w="640" w:type="dxa"/>
            <w:vAlign w:val="bottom"/>
          </w:tcPr>
          <w:p>
            <w:pPr>
              <w:ind w:left="220"/>
              <w:spacing w:after="0"/>
              <w:rPr>
                <w:sz w:val="20"/>
                <w:szCs w:val="20"/>
                <w:color w:val="auto"/>
              </w:rPr>
            </w:pPr>
            <w:r>
              <w:rPr>
                <w:rFonts w:ascii="Arial" w:cs="Arial" w:eastAsia="Arial" w:hAnsi="Arial"/>
                <w:sz w:val="18"/>
                <w:szCs w:val="18"/>
                <w:color w:val="auto"/>
              </w:rPr>
              <w:t>to</w:t>
            </w:r>
          </w:p>
        </w:tc>
        <w:tc>
          <w:tcPr>
            <w:tcW w:w="720" w:type="dxa"/>
            <w:vAlign w:val="bottom"/>
          </w:tcPr>
          <w:p>
            <w:pPr>
              <w:jc w:val="center"/>
              <w:ind w:right="50"/>
              <w:spacing w:after="0"/>
              <w:rPr>
                <w:sz w:val="20"/>
                <w:szCs w:val="20"/>
                <w:color w:val="auto"/>
              </w:rPr>
            </w:pPr>
            <w:r>
              <w:rPr>
                <w:rFonts w:ascii="Arial" w:cs="Arial" w:eastAsia="Arial" w:hAnsi="Arial"/>
                <w:sz w:val="18"/>
                <w:szCs w:val="18"/>
                <w:color w:val="auto"/>
                <w:w w:val="90"/>
              </w:rPr>
              <w:t>2.59%</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Dividend yield</w:t>
            </w:r>
          </w:p>
        </w:tc>
        <w:tc>
          <w:tcPr>
            <w:tcW w:w="20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Early Exercise of Unvested Stock Options</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Early exercises of stock options under the Company's 2008 Stock Option Plan are subject to a right of repurchase by the Company of any unvested shares. The repurchase rights lapse over the original vesting period of the options. The Company accounts for the cash received in consideration for the early exercised options as a liability included in accrued liabilities, which is then reclassified to stockholders’ equity as the options vest. As of September 30, 2020 and December 31, 2019, the Company had a total of 7,784 shares and 21,404 shares of common stock, respectively, subject to repurchase under the Company's 2008 Stock Option Plan.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restricted stock units activity for the nine months ended September 30, 2020:</w:t>
      </w:r>
    </w:p>
    <w:p>
      <w:pPr>
        <w:spacing w:after="0" w:line="244" w:lineRule="exact"/>
        <w:rPr>
          <w:sz w:val="20"/>
          <w:szCs w:val="20"/>
          <w:color w:val="auto"/>
        </w:rPr>
      </w:pPr>
    </w:p>
    <w:tbl>
      <w:tblPr>
        <w:tblLayout w:type="fixed"/>
        <w:tblInd w:w="160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1"/>
              </w:rPr>
              <w:t>Number of Shares</w:t>
            </w:r>
          </w:p>
        </w:tc>
        <w:tc>
          <w:tcPr>
            <w:tcW w:w="20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2019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543,041</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$19.72</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979,082</w:t>
            </w:r>
          </w:p>
        </w:tc>
        <w:tc>
          <w:tcPr>
            <w:tcW w:w="152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20.08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(237,702)</w:t>
            </w:r>
          </w:p>
        </w:tc>
        <w:tc>
          <w:tcPr>
            <w:tcW w:w="15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20.67</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 and 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(34,248)</w:t>
            </w:r>
          </w:p>
        </w:tc>
        <w:tc>
          <w:tcPr>
            <w:tcW w:w="1520" w:type="dxa"/>
            <w:vAlign w:val="bottom"/>
            <w:tcBorders>
              <w:bottom w:val="single" w:sz="8" w:color="CCEEFF"/>
            </w:tcBorders>
            <w:gridSpan w:val="2"/>
          </w:tcPr>
          <w:p>
            <w:pPr>
              <w:jc w:val="center"/>
              <w:ind w:left="110"/>
              <w:spacing w:after="0"/>
              <w:rPr>
                <w:sz w:val="20"/>
                <w:szCs w:val="20"/>
                <w:color w:val="auto"/>
              </w:rPr>
            </w:pPr>
            <w:r>
              <w:rPr>
                <w:rFonts w:ascii="Arial" w:cs="Arial" w:eastAsia="Arial" w:hAnsi="Arial"/>
                <w:sz w:val="18"/>
                <w:szCs w:val="18"/>
                <w:color w:val="auto"/>
                <w:w w:val="88"/>
              </w:rPr>
              <w:t>19.55</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September 30, 2020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1,250,173</w:t>
            </w:r>
          </w:p>
        </w:tc>
        <w:tc>
          <w:tcPr>
            <w:tcW w:w="152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19.83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September 30, 2020, the unrecognized compensation cost related to the restricted stock units was $20.9 million, which is expected to be recognized over a period of approximately 3.0 years.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Company's 2018 Employee Stock Purchase Plan (the “ESPP”) allows eligible employees to purchase shares of the Company's common stock through payroll deductions at the price equal to 85% of the lesser of the fair market value of the stock as of the first date or the ending date of each six month offering period. The offer period generally commences in May and November. On March 26, 2020, the Company's Compensation Committee approved the amendment of the terms of future offerings under the ESPP which, among other things, increased the maximum number of shares that may be purchased on any single purchase date, provided for automatic enrollment in a new offering, and provided that the offering which commenced in May 2020 be twelve months in duration and consist of two purchase periods. The fair value of the ESPP shares is estimated using the Black-Scholes option pricing model, which is being amortized over the requisite service period. The Company issued 74,685 shares and 99,086 shares under the ESPP during the nine months ended September 30, 2020 and September 30, 2019, respectively, representing approximately $1.0 million and $1.3 million in employee contributions. As of September 30, 2020 and December 31, 2019, total accumulated ESPP related employee payroll deductions amounted to $0.7 million and $0.2 million, respectively, which were included within accrued compensation and related expenses in the condensed consolidated balance sheets.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table below presents the detail of stock-based compensation expense amounts included in the condensed consolidated statements of operations:</w:t>
      </w:r>
    </w:p>
    <w:p>
      <w:pPr>
        <w:spacing w:after="0" w:line="267"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2300" w:type="dxa"/>
            <w:vAlign w:val="bottom"/>
            <w:gridSpan w:val="4"/>
          </w:tcPr>
          <w:p>
            <w:pPr>
              <w:jc w:val="right"/>
              <w:ind w:right="93"/>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40" w:type="dxa"/>
            <w:vAlign w:val="bottom"/>
            <w:gridSpan w:val="4"/>
          </w:tcPr>
          <w:p>
            <w:pPr>
              <w:jc w:val="right"/>
              <w:ind w:right="632"/>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51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6"/>
                <w:szCs w:val="16"/>
                <w:b w:val="1"/>
                <w:bCs w:val="1"/>
                <w:color w:val="auto"/>
                <w:w w:val="93"/>
              </w:rPr>
              <w:t>September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209"/>
        </w:trPr>
        <w:tc>
          <w:tcPr>
            <w:tcW w:w="51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w w:val="95"/>
              </w:rPr>
              <w:t>2019</w:t>
            </w:r>
          </w:p>
        </w:tc>
      </w:tr>
      <w:tr>
        <w:trPr>
          <w:trHeight w:val="209"/>
        </w:trPr>
        <w:tc>
          <w:tcPr>
            <w:tcW w:w="5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2"/>
        </w:trPr>
        <w:tc>
          <w:tcPr>
            <w:tcW w:w="5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Cost of goods sold</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29"/>
        </w:trPr>
        <w:tc>
          <w:tcPr>
            <w:tcW w:w="5180" w:type="dxa"/>
            <w:vAlign w:val="bottom"/>
          </w:tcPr>
          <w:p>
            <w:pPr>
              <w:ind w:left="60"/>
              <w:spacing w:after="0"/>
              <w:rPr>
                <w:sz w:val="20"/>
                <w:szCs w:val="20"/>
                <w:color w:val="auto"/>
              </w:rPr>
            </w:pPr>
            <w:r>
              <w:rPr>
                <w:rFonts w:ascii="Arial" w:cs="Arial" w:eastAsia="Arial" w:hAnsi="Arial"/>
                <w:sz w:val="18"/>
                <w:szCs w:val="18"/>
                <w:color w:val="auto"/>
              </w:rPr>
              <w:t>Sales and marketing</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1,488</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2,481</w:t>
            </w:r>
          </w:p>
        </w:tc>
      </w:tr>
      <w:tr>
        <w:trPr>
          <w:trHeight w:val="230"/>
        </w:trPr>
        <w:tc>
          <w:tcPr>
            <w:tcW w:w="5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29"/>
        </w:trPr>
        <w:tc>
          <w:tcPr>
            <w:tcW w:w="51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1,306</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w:t>
            </w:r>
          </w:p>
        </w:tc>
      </w:tr>
      <w:tr>
        <w:trPr>
          <w:trHeight w:val="248"/>
        </w:trPr>
        <w:tc>
          <w:tcPr>
            <w:tcW w:w="5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3,180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Share of Common Stock</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table below summarizes the computation of basic and diluted net loss per share:</w:t>
      </w:r>
    </w:p>
    <w:p>
      <w:pPr>
        <w:spacing w:after="0" w:line="266"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Pr>
          <w:p>
            <w:pPr>
              <w:spacing w:after="0"/>
              <w:rPr>
                <w:sz w:val="18"/>
                <w:szCs w:val="18"/>
                <w:color w:val="auto"/>
              </w:rPr>
            </w:pPr>
          </w:p>
        </w:tc>
        <w:tc>
          <w:tcPr>
            <w:tcW w:w="2800" w:type="dxa"/>
            <w:vAlign w:val="bottom"/>
            <w:gridSpan w:val="5"/>
          </w:tcPr>
          <w:p>
            <w:pPr>
              <w:ind w:left="10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00" w:type="dxa"/>
            <w:vAlign w:val="bottom"/>
            <w:gridSpan w:val="9"/>
          </w:tcPr>
          <w:p>
            <w:pPr>
              <w:ind w:left="1240"/>
              <w:spacing w:after="0"/>
              <w:rPr>
                <w:sz w:val="20"/>
                <w:szCs w:val="20"/>
                <w:color w:val="auto"/>
              </w:rPr>
            </w:pPr>
            <w:r>
              <w:rPr>
                <w:rFonts w:ascii="Arial" w:cs="Arial" w:eastAsia="Arial" w:hAnsi="Arial"/>
                <w:sz w:val="16"/>
                <w:szCs w:val="16"/>
                <w:b w:val="1"/>
                <w:bCs w:val="1"/>
                <w:color w:val="auto"/>
                <w:w w:val="89"/>
              </w:rPr>
              <w:t>(in thousands, except share and per share data)</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(9,474)</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(11,306)</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(34,718)</w:t>
            </w: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(29,305)</w:t>
            </w:r>
          </w:p>
        </w:tc>
        <w:tc>
          <w:tcPr>
            <w:tcW w:w="0" w:type="dxa"/>
            <w:vAlign w:val="bottom"/>
          </w:tcPr>
          <w:p>
            <w:pPr>
              <w:spacing w:after="0"/>
              <w:rPr>
                <w:sz w:val="1"/>
                <w:szCs w:val="1"/>
                <w:color w:val="auto"/>
              </w:rPr>
            </w:pPr>
          </w:p>
        </w:tc>
      </w:tr>
      <w:tr>
        <w:trPr>
          <w:trHeight w:val="263"/>
        </w:trPr>
        <w:tc>
          <w:tcPr>
            <w:tcW w:w="4820" w:type="dxa"/>
            <w:vAlign w:val="bottom"/>
          </w:tcPr>
          <w:p>
            <w:pPr>
              <w:ind w:left="60"/>
              <w:spacing w:after="0"/>
              <w:rPr>
                <w:sz w:val="20"/>
                <w:szCs w:val="20"/>
                <w:color w:val="auto"/>
              </w:rPr>
            </w:pPr>
            <w:r>
              <w:rPr>
                <w:rFonts w:ascii="Arial" w:cs="Arial" w:eastAsia="Arial" w:hAnsi="Arial"/>
                <w:sz w:val="18"/>
                <w:szCs w:val="18"/>
                <w:color w:val="auto"/>
                <w:w w:val="92"/>
              </w:rPr>
              <w:t>Weighted-average shares used to compute basic and diluted net</w:t>
            </w:r>
          </w:p>
        </w:tc>
        <w:tc>
          <w:tcPr>
            <w:tcW w:w="180" w:type="dxa"/>
            <w:vAlign w:val="bottom"/>
          </w:tcPr>
          <w:p>
            <w:pPr>
              <w:spacing w:after="0"/>
              <w:rPr>
                <w:sz w:val="22"/>
                <w:szCs w:val="22"/>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28,713,418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vMerge w:val="restart"/>
          </w:tcPr>
          <w:p>
            <w:pPr>
              <w:ind w:left="240"/>
              <w:spacing w:after="0"/>
              <w:rPr>
                <w:sz w:val="20"/>
                <w:szCs w:val="20"/>
                <w:color w:val="auto"/>
              </w:rPr>
            </w:pPr>
            <w:r>
              <w:rPr>
                <w:rFonts w:ascii="Arial" w:cs="Arial" w:eastAsia="Arial" w:hAnsi="Arial"/>
                <w:sz w:val="18"/>
                <w:szCs w:val="18"/>
                <w:color w:val="auto"/>
                <w:w w:val="95"/>
              </w:rPr>
              <w:t>24,803,452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vMerge w:val="restart"/>
          </w:tcPr>
          <w:p>
            <w:pPr>
              <w:ind w:left="360"/>
              <w:spacing w:after="0"/>
              <w:rPr>
                <w:sz w:val="20"/>
                <w:szCs w:val="20"/>
                <w:color w:val="auto"/>
              </w:rPr>
            </w:pPr>
            <w:r>
              <w:rPr>
                <w:rFonts w:ascii="Arial" w:cs="Arial" w:eastAsia="Arial" w:hAnsi="Arial"/>
                <w:sz w:val="18"/>
                <w:szCs w:val="18"/>
                <w:color w:val="auto"/>
                <w:w w:val="95"/>
              </w:rPr>
              <w:t>28,155,561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vMerge w:val="restart"/>
          </w:tcPr>
          <w:p>
            <w:pPr>
              <w:ind w:left="240"/>
              <w:spacing w:after="0"/>
              <w:rPr>
                <w:sz w:val="20"/>
                <w:szCs w:val="20"/>
                <w:color w:val="auto"/>
              </w:rPr>
            </w:pPr>
            <w:r>
              <w:rPr>
                <w:rFonts w:ascii="Arial" w:cs="Arial" w:eastAsia="Arial" w:hAnsi="Arial"/>
                <w:sz w:val="18"/>
                <w:szCs w:val="18"/>
                <w:color w:val="auto"/>
                <w:w w:val="95"/>
              </w:rPr>
              <w:t>24,596,788</w:t>
            </w: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loss per share</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
        </w:trPr>
        <w:tc>
          <w:tcPr>
            <w:tcW w:w="4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48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loss per share, basic and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Because the Company has reported a net loss in all periods presented, outstanding stock options, restricted stock units, shares subject to repurchase, ESPP purchase rights and common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20" w:type="dxa"/>
            <w:vAlign w:val="bottom"/>
          </w:tcPr>
          <w:p>
            <w:pPr>
              <w:spacing w:after="0"/>
              <w:rPr>
                <w:sz w:val="18"/>
                <w:szCs w:val="18"/>
                <w:color w:val="auto"/>
              </w:rPr>
            </w:pPr>
          </w:p>
        </w:tc>
        <w:tc>
          <w:tcPr>
            <w:tcW w:w="3300" w:type="dxa"/>
            <w:vAlign w:val="bottom"/>
            <w:gridSpan w:val="4"/>
          </w:tcPr>
          <w:p>
            <w:pPr>
              <w:ind w:left="280"/>
              <w:spacing w:after="0"/>
              <w:rPr>
                <w:sz w:val="20"/>
                <w:szCs w:val="20"/>
                <w:color w:val="auto"/>
              </w:rPr>
            </w:pPr>
            <w:r>
              <w:rPr>
                <w:rFonts w:ascii="Arial" w:cs="Arial" w:eastAsia="Arial" w:hAnsi="Arial"/>
                <w:sz w:val="16"/>
                <w:szCs w:val="16"/>
                <w:b w:val="1"/>
                <w:bCs w:val="1"/>
                <w:color w:val="auto"/>
              </w:rPr>
              <w:t>Three Months Ended September 30,</w:t>
            </w:r>
          </w:p>
        </w:tc>
        <w:tc>
          <w:tcPr>
            <w:tcW w:w="3020" w:type="dxa"/>
            <w:vAlign w:val="bottom"/>
            <w:gridSpan w:val="3"/>
          </w:tcPr>
          <w:p>
            <w:pPr>
              <w:jc w:val="right"/>
              <w:ind w:right="211"/>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492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r>
      <w:tr>
        <w:trPr>
          <w:trHeight w:val="226"/>
        </w:trPr>
        <w:tc>
          <w:tcPr>
            <w:tcW w:w="4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 options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2,504,349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2,824,485</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2,504,349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2,824,485</w:t>
            </w:r>
          </w:p>
        </w:tc>
      </w:tr>
      <w:tr>
        <w:trPr>
          <w:trHeight w:val="229"/>
        </w:trPr>
        <w:tc>
          <w:tcPr>
            <w:tcW w:w="4920" w:type="dxa"/>
            <w:vAlign w:val="bottom"/>
          </w:tcPr>
          <w:p>
            <w:pPr>
              <w:ind w:left="60"/>
              <w:spacing w:after="0"/>
              <w:rPr>
                <w:sz w:val="20"/>
                <w:szCs w:val="20"/>
                <w:color w:val="auto"/>
              </w:rPr>
            </w:pPr>
            <w:r>
              <w:rPr>
                <w:rFonts w:ascii="Arial" w:cs="Arial" w:eastAsia="Arial" w:hAnsi="Arial"/>
                <w:sz w:val="18"/>
                <w:szCs w:val="18"/>
                <w:color w:val="auto"/>
              </w:rPr>
              <w:t>Restricted stock units</w:t>
            </w:r>
          </w:p>
        </w:tc>
        <w:tc>
          <w:tcPr>
            <w:tcW w:w="1480" w:type="dxa"/>
            <w:vAlign w:val="bottom"/>
          </w:tcPr>
          <w:p>
            <w:pPr>
              <w:jc w:val="right"/>
              <w:spacing w:after="0"/>
              <w:rPr>
                <w:sz w:val="20"/>
                <w:szCs w:val="20"/>
                <w:color w:val="auto"/>
              </w:rPr>
            </w:pPr>
            <w:r>
              <w:rPr>
                <w:rFonts w:ascii="Arial" w:cs="Arial" w:eastAsia="Arial" w:hAnsi="Arial"/>
                <w:sz w:val="18"/>
                <w:szCs w:val="18"/>
                <w:color w:val="auto"/>
              </w:rPr>
              <w:t>1,250,173</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565,430</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1,250,173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565,430</w:t>
            </w:r>
          </w:p>
        </w:tc>
      </w:tr>
      <w:tr>
        <w:trPr>
          <w:trHeight w:val="230"/>
        </w:trPr>
        <w:tc>
          <w:tcPr>
            <w:tcW w:w="4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Shares subject to repurchase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29,268</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29,268</w:t>
            </w:r>
          </w:p>
        </w:tc>
      </w:tr>
      <w:tr>
        <w:trPr>
          <w:trHeight w:val="230"/>
        </w:trPr>
        <w:tc>
          <w:tcPr>
            <w:tcW w:w="4920" w:type="dxa"/>
            <w:vAlign w:val="bottom"/>
          </w:tcPr>
          <w:p>
            <w:pPr>
              <w:ind w:left="60"/>
              <w:spacing w:after="0"/>
              <w:rPr>
                <w:sz w:val="20"/>
                <w:szCs w:val="20"/>
                <w:color w:val="auto"/>
              </w:rPr>
            </w:pPr>
            <w:r>
              <w:rPr>
                <w:rFonts w:ascii="Arial" w:cs="Arial" w:eastAsia="Arial" w:hAnsi="Arial"/>
                <w:sz w:val="18"/>
                <w:szCs w:val="18"/>
                <w:color w:val="auto"/>
              </w:rPr>
              <w:t>ESPP purchase rights</w:t>
            </w:r>
          </w:p>
        </w:tc>
        <w:tc>
          <w:tcPr>
            <w:tcW w:w="1480" w:type="dxa"/>
            <w:vAlign w:val="bottom"/>
          </w:tcPr>
          <w:p>
            <w:pPr>
              <w:jc w:val="right"/>
              <w:spacing w:after="0"/>
              <w:rPr>
                <w:sz w:val="20"/>
                <w:szCs w:val="20"/>
                <w:color w:val="auto"/>
              </w:rPr>
            </w:pPr>
            <w:r>
              <w:rPr>
                <w:rFonts w:ascii="Arial" w:cs="Arial" w:eastAsia="Arial" w:hAnsi="Arial"/>
                <w:sz w:val="18"/>
                <w:szCs w:val="18"/>
                <w:color w:val="auto"/>
              </w:rPr>
              <w:t>138,950</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72,679</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138,950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72,679</w:t>
            </w:r>
          </w:p>
        </w:tc>
      </w:tr>
      <w:tr>
        <w:trPr>
          <w:trHeight w:val="230"/>
        </w:trPr>
        <w:tc>
          <w:tcPr>
            <w:tcW w:w="4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Common stock warrants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118,122</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118,122</w:t>
            </w:r>
          </w:p>
        </w:tc>
        <w:tc>
          <w:tcPr>
            <w:tcW w:w="2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118,122</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118,122</w:t>
            </w:r>
          </w:p>
        </w:tc>
      </w:tr>
      <w:tr>
        <w:trPr>
          <w:trHeight w:val="223"/>
        </w:trPr>
        <w:tc>
          <w:tcPr>
            <w:tcW w:w="49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4,019,378</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3,609,984</w:t>
            </w:r>
          </w:p>
        </w:tc>
        <w:tc>
          <w:tcPr>
            <w:tcW w:w="2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4,019,378</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3,609,984</w:t>
            </w:r>
          </w:p>
        </w:tc>
      </w:tr>
      <w:tr>
        <w:trPr>
          <w:trHeight w:val="20"/>
        </w:trPr>
        <w:tc>
          <w:tcPr>
            <w:tcW w:w="49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750"/>
        </w:trPr>
        <w:tc>
          <w:tcPr>
            <w:tcW w:w="4920" w:type="dxa"/>
            <w:vAlign w:val="bottom"/>
          </w:tcPr>
          <w:p>
            <w:pPr>
              <w:spacing w:after="0"/>
              <w:rPr>
                <w:sz w:val="24"/>
                <w:szCs w:val="24"/>
                <w:color w:val="auto"/>
              </w:rPr>
            </w:pPr>
          </w:p>
        </w:tc>
        <w:tc>
          <w:tcPr>
            <w:tcW w:w="1480" w:type="dxa"/>
            <w:vAlign w:val="bottom"/>
          </w:tcPr>
          <w:p>
            <w:pPr>
              <w:jc w:val="right"/>
              <w:ind w:right="59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58"/>
        </w:trPr>
        <w:tc>
          <w:tcPr>
            <w:tcW w:w="49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w:t>
      </w:r>
    </w:p>
    <w:p>
      <w:pPr>
        <w:spacing w:after="0" w:line="22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On February 24, 2020, the Company entered into a joint development agreement (the “Development Agreement”) with SeaSpine Orthopedics Corporation (“SeaSpine”) to develop a next generation device for sacropelvic fixation. Mr. Keith Valentine, who serves as the President, Chief Executive Officer and a member of the board of directors of SeaSpine, also serves as a member of the Company's Board of Directors since August 2015.</w:t>
      </w:r>
    </w:p>
    <w:p>
      <w:pPr>
        <w:spacing w:after="0" w:line="14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Pursuant to the development plan, SeaSpine shall use reasonable efforts to assist in the development of the potential product offering, including licensing certain existing intellectual property to be incorporated into such product. Under the terms of the Development Agreement, the Company agreed to make monthly payments to SeaSpine to reimburse for full time resources employed by SeaSpine responsible to conduct the development activities. For the three and nine months ended September 30, 2020, the Company expensed $40,000 and $86,000, respectively, of the reimbursement charges from SeaSpine, which was recorded within research and development expense in the condensed consolidated statement of operations. The outstanding liability to SeaSpine as of September 30, 2020 amounted to $10,000, recorded within accrued liabilities and other in the condensed consolidated balance sheet.</w:t>
      </w:r>
    </w:p>
    <w:p>
      <w:pPr>
        <w:spacing w:after="0" w:line="164"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Certain intellectual property developed pursuant to the project plan will be owned by the Company, certain intellectual property developed pursuant to the project plan will be owned by SeaSpine, and other intellectual property developed pursuant to the project plan will be jointly owned by SeaSpine and the Company. The Company also agreed to provide SeaSpine a royalty-free, worldwide, perpetual, non-exclusive license of certain of the Company's intellectual property incorporated into the product to be developed. The Company also agreed to pay SeaSpine a product royalty, in an amount specified in the Development Agreement, for each resulting product sold for a period of 10 years beginning on the initial market launch. The term of the Development Agreement shall continue until the expiration of all royalty terms, unless earlier terminated by either party, as provided for by the Development Agreement.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5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determining quarterly provisions for income taxes, the Company uses the annual estimated effective tax rate applied to the actual year-to-date profit or loss, adjusted for discrete items arising in that quarter. The Company updates its estimate of its annual effective tax rate at the end of each quarterly period. The estimate takes into account annual forecasted income (loss) before income taxes, the geographic mix of income (loss) before income taxes and any significant permanent tax items. The Company did not have provision for income taxes for the three and nine months ended September 30, 2020 and 2019. The Company continues to maintain a full valuation allowance against its net deferred tax assets due to the uncertainty surrounding realization of such assets.</w:t>
      </w:r>
    </w:p>
    <w:p>
      <w:pPr>
        <w:spacing w:after="0" w:line="1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There had been no changes in the estimated uncertain tax benefits recorded as of December 31, 2019.</w:t>
      </w:r>
    </w:p>
    <w:p>
      <w:pPr>
        <w:spacing w:after="0" w:line="18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CARES Act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The Company evaluated its impact of the CARES Act as part of ASC 740 consideration and does not expect the provisions of the CARES Act would result in a material impact to the consolidated financial statements. The Company continues to monitor the impact this CARES Act may have on its business.</w:t>
      </w:r>
    </w:p>
    <w:p>
      <w:pPr>
        <w:spacing w:after="0" w:line="188" w:lineRule="exact"/>
        <w:rPr>
          <w:sz w:val="20"/>
          <w:szCs w:val="20"/>
          <w:color w:val="auto"/>
        </w:rPr>
      </w:pPr>
    </w:p>
    <w:p>
      <w:pPr>
        <w:jc w:val="both"/>
        <w:ind w:firstLine="486"/>
        <w:spacing w:after="0" w:line="239" w:lineRule="auto"/>
        <w:rPr>
          <w:sz w:val="20"/>
          <w:szCs w:val="20"/>
          <w:color w:val="auto"/>
        </w:rPr>
      </w:pPr>
      <w:r>
        <w:rPr>
          <w:rFonts w:ascii="Arial" w:cs="Arial" w:eastAsia="Arial" w:hAnsi="Arial"/>
          <w:sz w:val="18"/>
          <w:szCs w:val="18"/>
          <w:color w:val="auto"/>
        </w:rPr>
        <w:t>On June 29, 2020, Governor Gavin Newsom signed California Assembly Bill 85 (AB 85) into law. The legislation suspends the California net operating loss deductions for 2020, 2021, and 2022 for certain taxpayers and imposes a limitation of certain California Tax Credits for 2020, 2021, and 2022. The legislation disallows the use of California net operating loss deductions if the taxpayer recognizes business income and its adjusted gross income is greater than $1.0 million. The carryover periods for net operating loss deductions disallowed by this provision will be extended. Additionally, any business credit will only offset a maximum of $5.0 million of California tax. Given the Company’s expected loss position in the current year, the new legislation will not impact the current year provision. The Company will continue to monitor the possible California net operating loss and credit limitations in future periods.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Second Follow-On Offering</w:t>
      </w:r>
    </w:p>
    <w:p>
      <w:pPr>
        <w:spacing w:after="0" w:line="225"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On October 19, 2020, the Company received $71.9 million of net proceeds, after deducting the underwriting discounts and commissions but before offering expenses, from its second follow-on public offering of 3,000,000 shares of the Company's common stock, and the exercise of underwriter's option to purchase from the Company an additional 478,507 shares of the Company's common stock, at a public offering price of $22.00 per share. The estimated total offering cost of approximately $0.4 million will be charged against the gross proceeds received from this second follow-on offering. The Company currently intends to use the net proceeds from this offering to support the continued commercial expansion of its products, including the increase of its sales force, additional medical affairs and educational efforts, research and development and clinical studies, direct to patient marketing, as well as for working capital and general corporate purposes. The Company may also use a portion of the net proceeds to acquire or invest in complementary products, technologies, or businesses; however, the Company currently has no agreements or commitments to complete any such transactions.</w:t>
      </w:r>
    </w:p>
    <w:p>
      <w:pPr>
        <w:spacing w:after="0" w:line="16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addition to the shares sold by the Company in the second follow-on offering, on October 19, 2020, the selling stockholder sold 190,053 shares of the Company's common stock previously held by the selling stockholder at a price to the public of $22.00 per share. The Company did not receive any proceeds from the sale by the selling stockholder.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37"/>
        <w:spacing w:after="0" w:line="255" w:lineRule="auto"/>
        <w:rPr>
          <w:sz w:val="20"/>
          <w:szCs w:val="20"/>
          <w:color w:val="auto"/>
        </w:rPr>
      </w:pPr>
      <w:r>
        <w:rPr>
          <w:rFonts w:ascii="Arial" w:cs="Arial" w:eastAsia="Arial" w:hAnsi="Arial"/>
          <w:sz w:val="17"/>
          <w:szCs w:val="17"/>
          <w:i w:val="1"/>
          <w:iCs w:val="1"/>
          <w:color w:val="auto"/>
        </w:rPr>
        <w:t xml:space="preserve">The following discussion and analysis of our financial condition and results of operations should be read in conjunction with our condensed consolidated financial statements and the related notes to those statements included elsewhere in this Quarterly Report on Form 10-Q, and with the consolidated financial statements and management’s discussion and analysis of our financial condition and results of operations in our Annual Report on Form 10-K filed with the SEC on March 11, 2020.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w:t>
      </w:r>
      <w:r>
        <w:rPr>
          <w:rFonts w:ascii="Arial" w:cs="Arial" w:eastAsia="Arial" w:hAnsi="Arial"/>
          <w:sz w:val="17"/>
          <w:szCs w:val="17"/>
          <w:color w:val="auto"/>
        </w:rPr>
        <w:t>“</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of this Quarterly Report on Form 10-Q, our actual results could differ materially from the results described in, or implied, by these forward-looking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We are a medical device company focused on the development of implantable devices used in the surgical treatment of the sacropelvic anatomy. We have pioneered a proprietary minimally invasive surgical implant system, which we call iFuse, to fuse the sacroiliac joint and treat sacroiliac joint dysfunction, which often causes severe lower back pain. Since we introduced iFuse in 2009, as of September 30, 2020, more than 50,000 procedures have been performed by over 2,200 surgeons in the U.S. and 35 other countries.</w:t>
      </w:r>
    </w:p>
    <w:p>
      <w:pPr>
        <w:spacing w:after="0" w:line="188"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Our iFuse Implant System includes a series of patented triangular titanium implants and the instruments we have developed to enable surgeons to perform the procedure. Surgeons place our implants across the sacroiliac joint, either from a lateral approach through the iliac bones into the sacrum, or from a posterior approach through the sacrum and into the iliac bones. Surgeons typically use three iFuse implants to fuse a sacroiliac joint in the lateral procedure, and one iFuse implant in each sacroiliac joint, typically alongside another device crossing the joint and joining to the spinal construct.</w:t>
      </w:r>
    </w:p>
    <w:p>
      <w:pPr>
        <w:spacing w:after="0" w:line="15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iFuse implants have a triangular cross section that resists twisting or rotation of the implant within the bone in which it is implanted, regardless of the surgical approach and technique used to place the implants. The triangular shape of our implants helps stabilize the joint, and the implants’ porous surface enables biologic fixation of the bone onto the implant, or bony ongrowth and ingrowth, that results in fusion. We hold issued patents on implants with cross-sections of many non-round shapes, including the triangular shape of the iFuse implant. We also hold issued patents for the method of placing those implants across the sacroiliac joint, as well as other parts of the spine and pelvis. Each titanium iFuse implant has at least three times the strength of a typical eight-millimeter cannulated surgical screw, and the large porous surface area of our implants allows for bony ingrowth.</w:t>
      </w:r>
    </w:p>
    <w:p>
      <w:pPr>
        <w:spacing w:after="0" w:line="16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introduced our second-generation implant, the iFuse-3D, in 2017. This patented titanium implant combines the triangular cross-section of the iFuse implant with the proprietary 3D-printed porous surface and fenestrated design. This design also allows the surgeon to fill the implant with ground-up bone before implantation, which some surgeons believe accelerates bone through-growth and biological fixation. iFuse-3D implants have shown positive bony ingrowth, ongrowth and through-growth and in animal studies, whether or not ground-up bone is used. We hold issued patents on 3D-printed triangular implants with fenestrations, or holes, which allow bone to grow into and through the implants.</w:t>
      </w:r>
    </w:p>
    <w:p>
      <w:pPr>
        <w:spacing w:after="0" w:line="176"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April 2019, we received clearance from the United States Food and Drug Administration, or FDA, to promote the use of our iFuse Implant System for fusion of the sacroiliac joint in conjunction with multi-level spinal fusion procedures to provide further stabilization and immobilization of the sacroiliac joint. For this indication, surgeons typically use the posterior approach, through the sacrum and into the iliac bones, which we call the Bedrock technique. We received CE marking and began marketing our iFuse Implant System for this indication and surgical technique in Europe in December 2019. In March 2020, we received FDA 510(k) clearance for an expanded indication for the iFuse Implant System to support our trauma program.</w:t>
      </w:r>
    </w:p>
    <w:p>
      <w:pPr>
        <w:spacing w:after="0" w:line="107"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We market our products primarily with a direct sales force as well as a number of distributors in the U.S., and with a combination of a direct sales force and distributors in other countries.</w:t>
      </w:r>
    </w:p>
    <w:p>
      <w:pPr>
        <w:spacing w:after="0" w:line="117"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In October 2018, we completed our initial public offering (“IPO”) resulting in net proceeds of $113.4 million after deducting underwriting discounts and commissions and offering expenses. In January and February 2020, we received a total of $63.0 million of net proceeds, after deducting the underwriting discounts, commissions and offering costs, from our first follow-on public offering of our common stock. In October 2020, we received a total of approximately $71.9 million after deducting underwriting discounts and commissions but before offering expenses, from our second follow-on offering of our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25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6"/>
          <w:szCs w:val="16"/>
          <w:color w:val="auto"/>
        </w:rPr>
        <w:t>The COVID-19 pandemic and the resulting economic downturn are affecting business conditions in our industry. The overall demand for our products decreased as a result of the pandemic, which impacted our operating results for the three and nine months ended September 30, 2020. Many state and local governments in the U.S. and foreign governments issued orders that temporarily precluded elective procedures in order to conserve scarce health system resources in view of the pandemic. The decrease in hospital admission rates and elective surgeries decreases the demand for elective procedures using our iFuse implants. Prior to the COVID-19 pandemic, we experienced case growth trends consistent with those experienced in the fourth quarter of 2019. Beginning at the end of February 2020, we began to see an impact on case volumes in Northern Italy due to the spread of the virus in the Lombardy region, the location of our operation in Gallarate, Italy. Overall, the disruption was not significant through the middle of March 2020, as Italy represents a small portion of our worldwide sales. Beginning in mid-March 2020 through April 2020, we saw a substantial worldwide reduction in global case volumes due to deferral of elective surgeries as a result of the COVID-19 pandemic in the U.S. and across Europe. In May 2020, case volumes began to recover as hospitals and medical centers across the U.S. and Europe resumed performance of elective surgical procedures.</w:t>
      </w:r>
    </w:p>
    <w:p>
      <w:pPr>
        <w:spacing w:after="0" w:line="19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7"/>
          <w:szCs w:val="17"/>
          <w:color w:val="auto"/>
        </w:rPr>
        <w:t>We have taken what we believe are all necessary precautions to safeguard our employees, patients, customers, and other stakeholders from COVID-19 pandemic. We are following the Centers for Disease Control and Prevention’s guidance and local restrictions. We took actions to support patients, customers, and employees, while maintaining business continuity in response to the COVID-19 pandemic. The majority of our employees who are not related to manufacturing and order fulfillment are currently on a telecommunication work arrangement and have generally been able to successfully work remotely. We restricted non-essential travel to protect the health and safety of our employees, patients, and customers. We modified operations and clinical support starting in March 2020, maintaining streamlined assembly, distribution and related processes in order to continue providing products to our customers. Specific protocols were designed and implemented to minimize contact time among employees working on site. Where healthcare operations were impacted, we supported healthcare providers via telephone and online technologies. Starting in May 2020, we began to return to more normalized operations and clinical support as local restrictions were reduced. We also continue to focus on increasing surgeon activity by utilizing a virtual education series for surgeons and mid-level practitioners to continue our training activities.</w:t>
      </w:r>
    </w:p>
    <w:p>
      <w:pPr>
        <w:spacing w:after="0" w:line="207"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Our primary goal was to retain our employees and continue forward with major new product initiatives to protect the long-term prospects of our business. However, we curtailed operating expense in other areas due to limited visibility on the extent and duration of the impact from COVID-19. We took preemptive steps to manage spending, including implementing hiring restrictions, eliminating discretionary spending, reducing executive salaries, reducing capital expenditures, reducing non-essential marketing expenses, and delaying clinical research projects. We will continue to take a thoughtful approach to spending that will help align any return to investments in our business with a return to revenue growth, while managing our net loss and protecting our cash.</w:t>
      </w:r>
    </w:p>
    <w:p>
      <w:pPr>
        <w:spacing w:after="0" w:line="189"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timing, extent and continuation of any further increase in procedures, and any corresponding increase in sales of our products, and whether there could be a future decrease in the current level of procedures as a result of the COVID-19 pandemic or otherwise, remain uncertain and are subject to a variety of factors, including:</w:t>
      </w:r>
    </w:p>
    <w:p>
      <w:pPr>
        <w:spacing w:after="0" w:line="182" w:lineRule="exact"/>
        <w:rPr>
          <w:sz w:val="20"/>
          <w:szCs w:val="20"/>
          <w:color w:val="auto"/>
        </w:rPr>
      </w:pPr>
    </w:p>
    <w:p>
      <w:pPr>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return of elective procedures has been more rapid in some locations than others due to the extent and impact of the COVID-19 pandemic, and varying degrees of ongoing local restrictions related to the COVID-19 pandemic.</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material increase in COVID-19 cases in one or more locations would result in an increase in hospitalizations and a corresponding decrease in elective procedures in such impacted locations.</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Individual surgeons and hospitals may postpone elective procedures as a result of reduced availability of physicians or space to treat patients, different treatment prioritizations, increased cost pressures and burdens on the overall healthcare infrastructure.</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Patients may elect to defer or avoid elective procedures due to concerns about being exposed to COVID-19 in hospital settings, loss of employer-sponsored health insurance related to the high levels of unemployment in the U.S. or other reasons.</w:t>
      </w:r>
    </w:p>
    <w:p>
      <w:pPr>
        <w:spacing w:after="0" w:line="17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Hospitals may reserve increased space for potential COVID-19 patients, especially if the number of COVID-19 cases spikes, limiting the space allocated to inpatient and outpatient elective procedures.</w:t>
      </w:r>
    </w:p>
    <w:p>
      <w:pPr>
        <w:spacing w:after="0" w:line="170"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personnel are experiencing, and expect to continue to experience, restrictions on access to many customers, hospitals, labs and other medical facilities for sales activities, physician training and case support as they have been deemed to be “non-essential” personnel by those facilities or applicable local regulations.</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existence and further duration of the COVID-19 pandemic may also further exacerbate certain risks as described in “Item 1A - Risk Factors”.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Recently, certain U.S. states are experiencing increasing trends of COVID-19 infections and hospitalizations.</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25" w:name="page26"/>
    <w:bookmarkEnd w:id="25"/>
    <w:p>
      <w:pPr>
        <w:jc w:val="both"/>
        <w:ind w:firstLine="405"/>
        <w:spacing w:after="0" w:line="241" w:lineRule="auto"/>
        <w:rPr>
          <w:sz w:val="20"/>
          <w:szCs w:val="20"/>
          <w:color w:val="auto"/>
        </w:rPr>
      </w:pPr>
      <w:r>
        <w:rPr>
          <w:rFonts w:ascii="Arial" w:cs="Arial" w:eastAsia="Arial" w:hAnsi="Arial"/>
          <w:sz w:val="18"/>
          <w:szCs w:val="18"/>
          <w:color w:val="auto"/>
        </w:rPr>
        <w:t>The COVID-19 pandemic is continuing globally and preliminary indications of an increase in procedure volumes and related product sales are not necessarily indicative of the results that may be reported for the remainder of fiscal 2020, or any future periods. We are unable to predict how the COVID-19 pandemic will impact procedure volumes or product sales in the future, or the extent, duration or recurrence of the COVID-19 pandemic in any location. We are, therefore, unable to predict the impact of the COVID-19 pandemic, and such could have a material adverse effect on our results of operations, financial condition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 and Key Performance Indicators</w:t>
      </w:r>
    </w:p>
    <w:p>
      <w:pPr>
        <w:spacing w:after="0" w:line="229"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We monitor certain key performance indicators that we believe provide us and our investors indications of conditions that may affect results of our operations. Our revenue growth rate and commercial progress is impacted by, among other things, our key performance indicators, including our ability to leverage our sales force, increase surgeon activity and training, engage key opinion leaders, and leverage broad coverage and reimbursements.</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Leverage our sales force</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have made significant investments in our sales force since our initial public offering in 2018. We have built a valuable sales team, and we believe they are the key to the recovery that follows the pandemic. As such, we have made it a top priority to support and retain our sales force through this challenging period. However, we have also limited new sales force hiring in the second and third quarter of 2020 given current uncertainties and are focusing on sales force productivity during this period. As of September 30, 2020, our U.S. sales force consisted of 59 territory sales managers and 57 clinical support specialists directly employed by us and 39 third-party distributors, compared to 53 territory sales managers and 53 clinical support specialists directly employed by us and 34 third-party distributors as of September 30, 2019. As of September 30, 2020, our international sales force consisted of 20 sales representatives directly employed by us and 31 third-party distributors, compared to 19 sales representatives directly employed by us and 28 third-party distributors as of September 30, 2019.</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Increase surgeon activity and training</w:t>
      </w:r>
    </w:p>
    <w:p>
      <w:pPr>
        <w:spacing w:after="0" w:line="25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medical affairs team works closely with our sales team to increase surgeon activity and training. Surgeon activity includes both the number of surgeons performing iFuse procedures as well as the number of procedures performed per surgeon. As of September 30, 2020 and 2019, in the U.S., more than 1,500 surgeons and 1,400 surgeons, respectively, have been trained on iFuse and have treated at least one patient. Outside the U.S., as of September 30, 2020 and 2019, more than 600 surgeons have been trained on iFuse and have treated at least one patient. We will continue to pursue the remainder of the approximately 7,500 target surgeons in the U.S., as well as international surgeons for training in the future. The COVID-19 outbreak challenged our traditional method of hands-on cadaveric and dry-lab training. Therefore, in addition to utilizing a virtual education series for surgeons and mid-level practitioners for training activities, we began using a portable, radiation free, haptics and computer-based simulator for training purposes in July 2020. We will focus on increasing the number of procedures performed by active iFuse surgeons, converting recently trained surgeons to first case, and converting inactive surgeons to active surgeons.</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Engage key opinion leaders</w:t>
      </w:r>
    </w:p>
    <w:p>
      <w:pPr>
        <w:spacing w:after="0" w:line="252"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We conduct training courses in several academic centers in the U.S. and engage key opinion leaders to support our development efforts. Our Bedrock technique is used in the treatment of adult spinal deformity. We introduced this technique in June 2019 for use in the fusion of the sacroiliac joints in conjunction with a multi-segment spinal fusion, or long construct, procedure. The Bedrock technique utilizes our proprietary iFuse Implants, with one implant placed across each sacroiliac joint (for a total of two implants per case) using a posterior approach, through the sacrum, across the sacroiliac joint, and into the ilium. The Bedrock technique differs from our traditional iFuse procedure, whereby three iFuse implants are placed across one sacroiliac joint via a lateral transarticular approach through the ilium and into the sacrum. The Bedrock technique is performed to increase stability at the base of a long construct. Biomechanical testing has shown that iFuse Implants placed in this position reduce sacroiliac joint motion by approximately 30% in conjunction with a long construct. Interest in the Bedrock technique among deformity surgeons, including many key opinion leaders, has provided our sales representatives with access to important academic medical centers in the U.S. This enables our representatives to train a broader group of spine surgeons, including residents and fellows at these centers, on both the Bedrock technique and minimally invasive sacroiliac fusion. Since the launch of Bedrock, we have conducted more than 45 training courses at academic centers in the U.S., where more than 200 surgical residents and fellows have been trained. We received CE mark clearance for the promotion of the Bedrock technique in Europe and we launched the promotion of this technique in select European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6" w:name="page27"/>
    <w:bookmarkEnd w:id="26"/>
    <w:p>
      <w:pPr>
        <w:ind w:left="420"/>
        <w:spacing w:after="0"/>
        <w:rPr>
          <w:sz w:val="20"/>
          <w:szCs w:val="20"/>
          <w:color w:val="auto"/>
        </w:rPr>
      </w:pPr>
      <w:r>
        <w:rPr>
          <w:rFonts w:ascii="Arial" w:cs="Arial" w:eastAsia="Arial" w:hAnsi="Arial"/>
          <w:sz w:val="18"/>
          <w:szCs w:val="18"/>
          <w:b w:val="1"/>
          <w:bCs w:val="1"/>
          <w:i w:val="1"/>
          <w:iCs w:val="1"/>
          <w:color w:val="auto"/>
        </w:rPr>
        <w:t>Leverage broad coverage and reimbursement</w:t>
      </w:r>
    </w:p>
    <w:p>
      <w:pPr>
        <w:spacing w:after="0" w:line="25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made significant progress in both the number of covered lives and the Medicare physician fee for surgeons performing minimally invasive sacroiliac fusion in the U.S.</w:t>
      </w:r>
    </w:p>
    <w:p>
      <w:pPr>
        <w:spacing w:after="0" w:line="211" w:lineRule="exact"/>
        <w:rPr>
          <w:sz w:val="20"/>
          <w:szCs w:val="20"/>
          <w:color w:val="auto"/>
        </w:rPr>
      </w:pPr>
    </w:p>
    <w:p>
      <w:pPr>
        <w:jc w:val="both"/>
        <w:ind w:left="660" w:hanging="328"/>
        <w:spacing w:after="0" w:line="265" w:lineRule="auto"/>
        <w:tabs>
          <w:tab w:leader="none" w:pos="621" w:val="left"/>
        </w:tabs>
        <w:numPr>
          <w:ilvl w:val="0"/>
          <w:numId w:val="11"/>
        </w:numPr>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Covered lives </w:t>
      </w:r>
      <w:r>
        <w:rPr>
          <w:rFonts w:ascii="Arial" w:cs="Arial" w:eastAsia="Arial" w:hAnsi="Arial"/>
          <w:sz w:val="16"/>
          <w:szCs w:val="16"/>
          <w:color w:val="auto"/>
        </w:rPr>
        <w:t>- As of September 30, 2020, of the U.S. payors covering 298.9 million lives that reimburse for iFuse, 183.1 million lives are covered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private payors. This includes lives covered by Aetna, which adopted a new coverage policy for minimally invasive arthrodesis of the sacroiliac joint for sacroiliac joint syndrome and sacroiliac joint pain, effective May 28, 2020. Aetna is the third largest commercial health plan in the U.S. with over 22 million members. Currently, covered lives counts do not include Anthem, which covers minimally invasive sacroiliac fusion procedures in the event of pelvic girdle trauma only. On October 1, 2020, Anthem published an update to its sacroiliac joint fusion medical policy. This update retained policy language limiting indications for iFuse to cases involving a history of pelvic girdle trauma, similar to earlier versions of the policy, and did not reflect the feedback from specialists Anthem received in mid-2020, or other substantive updates to the evidence base. Anthem has communicated to us that this feedback and additional evidence may be taken into consideration in future policy updates in 2021. As of September 30, 2019, U.S. payors covering 268.0 million lives reimbursed for iFuse, of which 133.0 million were covered by private payors. We track the number of U.S. covered lives, or individuals whose healthcare is paid for by a private commercial or governmental payor that routinely reimburses for minimally invasive sacroiliac fusion, as a proxy for availability of the procedure within the U.S. healthcare payment system. As of September 30, 2020, 35 U.S. payors have issued positive coverage policies exclusive to iFuse for sacroiliac joint fusion because of the clinical evidence, compared to 34 exclusive coverage policies as of September 30, 2019. These payors have based their exclusive coverage decisions on the quality of our data. Further, as of September 30, 2020 and 2019, there were 22 and 18, respectively, U.S. payors that are covering iFuse and other products for sacroiliac joint fusion. We believe that the full impact of each coverage decision grows over time as surgeons gain confidence that they will receive reimbursement for the majority of their diagnosed patients.</w:t>
      </w:r>
    </w:p>
    <w:p>
      <w:pPr>
        <w:spacing w:after="0" w:line="180"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Surgeon payment </w:t>
      </w:r>
      <w:r>
        <w:rPr>
          <w:rFonts w:ascii="Arial" w:cs="Arial" w:eastAsia="Arial" w:hAnsi="Arial"/>
          <w:sz w:val="18"/>
          <w:szCs w:val="18"/>
          <w:color w:val="auto"/>
        </w:rPr>
        <w:t>- The Center for Medicare &amp; Medicaid Services announced in November 2019 that the U.S. national average physician fee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reimbursement for minimally invasive sacroiliac joint fusion increased from $720, effective January 1, 2019 to $915, effective January 1, 2020. Many private payors set their payment amounts with reference to the Medicare payment, often approximately 10% to 33% higher than the Medicare payment for a procedure. We believe that expanded coverage for minimally invasive sacroiliac fusion and the increase in physician reimbursement for the procedure may enable surgeons to treat more patients diagnosed with sacroiliac joint dysfunction and degeneration with iFuse.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We generate our revenue from sales of iFuse. Revenue from sales of iFuse fluctuate based on volume of cases (procedures performed), discounts, mix of international and U.S. sales, and the number of implants used for a particular patient. Similar to other orthopedic companies, our case volume can vary from quarter to quarter due to a variety of factors including reimbursement, sales force changes, physician activities, and seasonality. In addition, our revenue is impacted by changes in average selling price as we respond to the competitive landscape. Further, revenue results can differ based upon the mix of business between U.S. and international sales and mix of our products either delivered at the point of implantation at the hospital or other medical facilities or delivered through distributors or to hospitals where the products were ordered in advance of the procedure. Our revenue from international sales is impacted by fluctuations in foreign currency exchange rates between the U.S. dollar (our reporting currency) and the local currency.</w:t>
      </w:r>
    </w:p>
    <w:p>
      <w:pPr>
        <w:spacing w:after="0" w:line="166"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The COVID-19 pandemic reduced our expected number of cases. As the pandemic continued in the U.S. and Europe, it had a significant impact on our case volumes beginning mid-March 2020. The largest impact was felt in April 2020, where revenue declined by 84% from the prior year. Given the situation, a considerable number of cases were deferred from mid-March through the end of April 2020. In May 2020, case volumes began to recover as hospitals and medical centers across the U.S. and Europe resumed performance of elective surgery procedures, with revenue growth of 6% in May 2020 compared to the prior year. Case volumes continued to improve in June 2020 with revenue growth of 42% compared to the prior year. We believe a considerable number of cases performed in May 2020 and June 2020 were rescheduled surgeries cancelled in the second half of March through the end of April 2020. In the third quarter of 2020, we saw a more normalized revenue growth resulting in a 26% increase compared to the prior year. We continue to monitor the potential impact of COVID-19 to our product sales in the U.S. and international markets during the fourth quarter of 2020.</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7" w:name="page28"/>
    <w:bookmarkEnd w:id="27"/>
    <w:p>
      <w:pPr>
        <w:ind w:left="500"/>
        <w:spacing w:after="0"/>
        <w:rPr>
          <w:sz w:val="20"/>
          <w:szCs w:val="20"/>
          <w:color w:val="auto"/>
        </w:rPr>
      </w:pPr>
      <w:r>
        <w:rPr>
          <w:rFonts w:ascii="Arial" w:cs="Arial" w:eastAsia="Arial" w:hAnsi="Arial"/>
          <w:sz w:val="18"/>
          <w:szCs w:val="18"/>
          <w:b w:val="1"/>
          <w:bCs w:val="1"/>
          <w:i w:val="1"/>
          <w:iCs w:val="1"/>
          <w:color w:val="auto"/>
        </w:rPr>
        <w:t>Cost of Goods Sold, Gross Profit, and Gross Margin</w:t>
      </w:r>
    </w:p>
    <w:p>
      <w:pPr>
        <w:spacing w:after="0" w:line="22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utilize third-party manufacturers for production of iFuse implants and instrument sets. Cost of goods sold consists primarily of costs of the components of iFuse implants and instruments, instrument set depreciation, scrap and inventory obsolescence, as well as distribution-related expenses such as logistics and shipping costs. Our cost of goods sold has historically increased as case levels increase.</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gross profit and gross margin are affected by factors impacting revenue and cost of goods sold. In addition, our gross margins are typically higher on products we sell directly as compared to products we sell through third-party distributors. As a result, changes in the mix of direct versus distributor sales can directly influence our gross margins.</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operations ran at suboptimal capacity as a result of decreased iFuse demand from worldwide restrictions on elective procedures during the second quarter of 2020. Accordingly, in the second quarter of 2020, certain labor and overhead costs were expensed as incurred which impacted our gross profit and gross margin. We saw a more normalized operations capacity during the third quarter of 2020 as case volumes began to recover. We may experience similar issues in future quarters due to the COVID-19 pandemic.</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anticipate operating expenses will continue to increase to support our employees. During the second quarter, we took steps to reduce variable expenses that are ineffective and slowed down hiring due to the impact to our revenue from COVID-19. We continue to monitor the rapidly evolving situation, but as operations return to normal levels, we intend to make investments to execute our strategic plans and operational initiatives.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Sales and Marketing Expenses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to our senior sales management, direct territory sales managers, territory associate representatives and third-party distributors.</w:t>
      </w:r>
    </w:p>
    <w:p>
      <w:pPr>
        <w:spacing w:after="0" w:line="21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Our sales and marketing spending reflected normal business activities into mid-March 2020. Due to the COVID-19 pandemic, we focused on protecting key investments in our field force while curtailing most other areas of sales and marketing spend during the second and third quarter of 2020. For example, we guaranteed certain levels of incentive compensation to members of our field sales organization in order to retain these employees and partially mitigate the impact of the pandemic to their compensation. In contrast, we reduced certain other spending during the COVID-19 pandemic, such as travel and related expenses, regional surgeon training, trade shows, and discretionary marketing. As revenue growth returned to the levels that we were</w:t>
      </w:r>
    </w:p>
    <w:p>
      <w:pPr>
        <w:spacing w:after="0" w:line="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experiencing prior to the pandemic, we increased our sales and marketing expense accordingly in the third quarter of 2020. We will continue to determine the level of sales and marketing expense in light of market conditions and our growth opportunities.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research and development expenses primarily consist of engineering, product development, clinical and regulatory expenses (including clinical study expenses), and consulting services, outside prototyping services, outside research activities, materials, depreciation, and other costs associated with development of our products. Research and development expenses also include related personnel compensation and stock-based compensation expense. We expense research and development costs as they are incurred.</w:t>
      </w:r>
    </w:p>
    <w:p>
      <w:pPr>
        <w:spacing w:after="0" w:line="21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Research and development expenses for engineering projects fluctuate with project timing. Based upon our broader set of product development initiatives and the stage of the underlying projects, we expect to continue to make investments in research and development. Clinical study expenses declined during mid-March through April due to hospital postponement of trials as a result of the COVID-19 pandemic. However, most hospitals allowed the resumption of clinical trials starting in May 2020. As such, we anticipate that research and development expenses will continue to increase in the future.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8" w:name="page29"/>
    <w:bookmarkEnd w:id="28"/>
    <w:p>
      <w:pPr>
        <w:ind w:left="4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5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General and administrative expenses primarily consist of salaries, stock-based compensation expense, and other costs for finance, accounting, legal, compliance, and administrative matters. We have taken measures to control discretionary items classified as general and administrative expenses, but expect our general and administrative expenses to return to normal levels as the acuity of the COVID-19 pandemic recedes. General and administrative activities that sustain our business and support our operations as a public company, include but are not limited to: expenses related to compliance with the rules and regulations of the Securities and Exchange Commission and those of the Nasdaq Global Market on which our securities are traded; additional insurance expenses; investor relations activities; and other administrative and professional services.</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income is primarily related to our investments of excess cash in money market funds and marketable securities.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Interest expense is primarily related to borrowings, amortization of debt issuance costs and accretion of final fee on our Solar Term Loan. Following the refinancing of our term loan, interest expense also includes the loss on debt extinguishment.</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income (expense), net consists primarily of net foreign exchange gains and losses on foreign transactions.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9" w:name="page30"/>
    <w:bookmarkEnd w:id="29"/>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We manage and operate as one reportable segment. The table below summarizes our results of operations for the periods presented (percentages are amounts as a percentage of revenue), which we derived from the accompanying condensed consolidated financial statements:</w:t>
      </w:r>
    </w:p>
    <w:p>
      <w:pPr>
        <w:spacing w:after="0" w:line="187"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2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5"/>
          </w:tcPr>
          <w:p>
            <w:pPr>
              <w:jc w:val="right"/>
              <w:ind w:right="52"/>
              <w:spacing w:after="0"/>
              <w:rPr>
                <w:sz w:val="20"/>
                <w:szCs w:val="20"/>
                <w:color w:val="auto"/>
              </w:rPr>
            </w:pPr>
            <w:r>
              <w:rPr>
                <w:rFonts w:ascii="Arial" w:cs="Arial" w:eastAsia="Arial" w:hAnsi="Arial"/>
                <w:sz w:val="16"/>
                <w:szCs w:val="16"/>
                <w:b w:val="1"/>
                <w:bCs w:val="1"/>
                <w:color w:val="auto"/>
              </w:rPr>
              <w:t>Three Months Ended September 30,</w:t>
            </w:r>
          </w:p>
        </w:tc>
        <w:tc>
          <w:tcPr>
            <w:tcW w:w="6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5"/>
          </w:tcPr>
          <w:p>
            <w:pPr>
              <w:jc w:val="right"/>
              <w:ind w:right="71"/>
              <w:spacing w:after="0"/>
              <w:rPr>
                <w:sz w:val="20"/>
                <w:szCs w:val="20"/>
                <w:color w:val="auto"/>
              </w:rPr>
            </w:pPr>
            <w:r>
              <w:rPr>
                <w:rFonts w:ascii="Arial" w:cs="Arial" w:eastAsia="Arial" w:hAnsi="Arial"/>
                <w:sz w:val="16"/>
                <w:szCs w:val="16"/>
                <w:b w:val="1"/>
                <w:bCs w:val="1"/>
                <w:color w:val="auto"/>
              </w:rPr>
              <w:t>Nine Months Ended September 30,</w:t>
            </w:r>
          </w:p>
        </w:tc>
        <w:tc>
          <w:tcPr>
            <w:tcW w:w="680" w:type="dxa"/>
            <w:vAlign w:val="bottom"/>
            <w:tcBorders>
              <w:bottom w:val="single" w:sz="8" w:color="auto"/>
            </w:tcBorders>
          </w:tcPr>
          <w:p>
            <w:pPr>
              <w:spacing w:after="0"/>
              <w:rPr>
                <w:sz w:val="18"/>
                <w:szCs w:val="18"/>
                <w:color w:val="auto"/>
              </w:rPr>
            </w:pPr>
          </w:p>
        </w:tc>
      </w:tr>
      <w:tr>
        <w:trPr>
          <w:trHeight w:val="210"/>
        </w:trPr>
        <w:tc>
          <w:tcPr>
            <w:tcW w:w="2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2020</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2019</w:t>
            </w:r>
          </w:p>
        </w:tc>
        <w:tc>
          <w:tcPr>
            <w:tcW w:w="6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rPr>
              <w:t>2019</w:t>
            </w:r>
          </w:p>
        </w:tc>
        <w:tc>
          <w:tcPr>
            <w:tcW w:w="680" w:type="dxa"/>
            <w:vAlign w:val="bottom"/>
            <w:tcBorders>
              <w:bottom w:val="single" w:sz="8" w:color="auto"/>
            </w:tcBorders>
          </w:tcPr>
          <w:p>
            <w:pPr>
              <w:spacing w:after="0"/>
              <w:rPr>
                <w:sz w:val="18"/>
                <w:szCs w:val="18"/>
                <w:color w:val="auto"/>
              </w:rPr>
            </w:pPr>
          </w:p>
        </w:tc>
      </w:tr>
      <w:tr>
        <w:trPr>
          <w:trHeight w:val="210"/>
        </w:trPr>
        <w:tc>
          <w:tcPr>
            <w:tcW w:w="2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w w:val="99"/>
              </w:rPr>
              <w:t>Amount</w:t>
            </w:r>
          </w:p>
        </w:tc>
        <w:tc>
          <w:tcPr>
            <w:tcW w:w="68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w w:val="99"/>
              </w:rPr>
              <w:t>Amount</w:t>
            </w:r>
          </w:p>
        </w:tc>
        <w:tc>
          <w:tcPr>
            <w:tcW w:w="64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Amount</w:t>
            </w:r>
          </w:p>
        </w:tc>
        <w:tc>
          <w:tcPr>
            <w:tcW w:w="6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w w:val="99"/>
              </w:rPr>
              <w:t>Amount</w:t>
            </w:r>
          </w:p>
        </w:tc>
        <w:tc>
          <w:tcPr>
            <w:tcW w:w="68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w:t>
            </w:r>
          </w:p>
        </w:tc>
      </w:tr>
      <w:tr>
        <w:trPr>
          <w:trHeight w:val="207"/>
        </w:trPr>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20" w:type="dxa"/>
            <w:vAlign w:val="bottom"/>
            <w:gridSpan w:val="5"/>
          </w:tcPr>
          <w:p>
            <w:pPr>
              <w:jc w:val="right"/>
              <w:ind w:right="12"/>
              <w:spacing w:after="0"/>
              <w:rPr>
                <w:sz w:val="20"/>
                <w:szCs w:val="20"/>
                <w:color w:val="auto"/>
              </w:rPr>
            </w:pPr>
            <w:r>
              <w:rPr>
                <w:rFonts w:ascii="Arial" w:cs="Arial" w:eastAsia="Arial" w:hAnsi="Arial"/>
                <w:sz w:val="16"/>
                <w:szCs w:val="16"/>
                <w:b w:val="1"/>
                <w:bCs w:val="1"/>
                <w:color w:val="auto"/>
              </w:rPr>
              <w:t>(in thousands, except for percentages)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5"/>
        </w:trPr>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20,373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16,182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51,243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47,490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2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2,578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1,630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6,627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4,744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r>
      <w:tr>
        <w:trPr>
          <w:trHeight w:val="223"/>
        </w:trPr>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17,795</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14,552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44,616</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42,746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09"/>
        </w:trPr>
        <w:tc>
          <w:tcPr>
            <w:tcW w:w="266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18,772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16,443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53,808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48,985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29"/>
        </w:trPr>
        <w:tc>
          <w:tcPr>
            <w:tcW w:w="26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9"/>
                <w:szCs w:val="19"/>
                <w:color w:val="auto"/>
              </w:rPr>
            </w:pPr>
          </w:p>
        </w:tc>
        <w:tc>
          <w:tcPr>
            <w:tcW w:w="1140" w:type="dxa"/>
            <w:vAlign w:val="bottom"/>
          </w:tcPr>
          <w:p>
            <w:pPr>
              <w:jc w:val="right"/>
              <w:ind w:right="292"/>
              <w:spacing w:after="0"/>
              <w:rPr>
                <w:sz w:val="20"/>
                <w:szCs w:val="20"/>
                <w:color w:val="auto"/>
              </w:rPr>
            </w:pPr>
            <w:r>
              <w:rPr>
                <w:rFonts w:ascii="Arial" w:cs="Arial" w:eastAsia="Arial" w:hAnsi="Arial"/>
                <w:sz w:val="18"/>
                <w:szCs w:val="18"/>
                <w:color w:val="auto"/>
              </w:rPr>
              <w:t>2,778</w:t>
            </w:r>
          </w:p>
        </w:tc>
        <w:tc>
          <w:tcPr>
            <w:tcW w:w="68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32"/>
              <w:spacing w:after="0"/>
              <w:rPr>
                <w:sz w:val="20"/>
                <w:szCs w:val="20"/>
                <w:color w:val="auto"/>
              </w:rPr>
            </w:pPr>
            <w:r>
              <w:rPr>
                <w:rFonts w:ascii="Arial" w:cs="Arial" w:eastAsia="Arial" w:hAnsi="Arial"/>
                <w:sz w:val="18"/>
                <w:szCs w:val="18"/>
                <w:color w:val="auto"/>
              </w:rPr>
              <w:t>1,874</w:t>
            </w:r>
          </w:p>
        </w:tc>
        <w:tc>
          <w:tcPr>
            <w:tcW w:w="640" w:type="dxa"/>
            <w:vAlign w:val="bottom"/>
          </w:tcPr>
          <w:p>
            <w:pPr>
              <w:jc w:val="right"/>
              <w:spacing w:after="0"/>
              <w:rPr>
                <w:sz w:val="20"/>
                <w:szCs w:val="20"/>
                <w:color w:val="auto"/>
              </w:rPr>
            </w:pPr>
            <w:r>
              <w:rPr>
                <w:rFonts w:ascii="Arial" w:cs="Arial" w:eastAsia="Arial" w:hAnsi="Arial"/>
                <w:sz w:val="18"/>
                <w:szCs w:val="18"/>
                <w:color w:val="auto"/>
              </w:rPr>
              <w:t>12 %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332"/>
              <w:spacing w:after="0"/>
              <w:rPr>
                <w:sz w:val="20"/>
                <w:szCs w:val="20"/>
                <w:color w:val="auto"/>
              </w:rPr>
            </w:pPr>
            <w:r>
              <w:rPr>
                <w:rFonts w:ascii="Arial" w:cs="Arial" w:eastAsia="Arial" w:hAnsi="Arial"/>
                <w:sz w:val="18"/>
                <w:szCs w:val="18"/>
                <w:color w:val="auto"/>
              </w:rPr>
              <w:t>7,033</w:t>
            </w:r>
          </w:p>
        </w:tc>
        <w:tc>
          <w:tcPr>
            <w:tcW w:w="62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11"/>
              <w:spacing w:after="0"/>
              <w:rPr>
                <w:sz w:val="20"/>
                <w:szCs w:val="20"/>
                <w:color w:val="auto"/>
              </w:rPr>
            </w:pPr>
            <w:r>
              <w:rPr>
                <w:rFonts w:ascii="Arial" w:cs="Arial" w:eastAsia="Arial" w:hAnsi="Arial"/>
                <w:sz w:val="18"/>
                <w:szCs w:val="18"/>
                <w:color w:val="auto"/>
              </w:rPr>
              <w:t>5,503</w:t>
            </w:r>
          </w:p>
        </w:tc>
        <w:tc>
          <w:tcPr>
            <w:tcW w:w="68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4,920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6,816</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14,471</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15,776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23"/>
        </w:trPr>
        <w:tc>
          <w:tcPr>
            <w:tcW w:w="2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26,470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25,133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156 %</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75,312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70,264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148 %</w:t>
            </w:r>
          </w:p>
        </w:tc>
      </w:tr>
      <w:tr>
        <w:trPr>
          <w:trHeight w:val="223"/>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(8,675)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(10,581)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(30,696)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(27,518)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3940" w:type="dxa"/>
            <w:vAlign w:val="bottom"/>
            <w:gridSpan w:val="3"/>
          </w:tcPr>
          <w:p>
            <w:pPr>
              <w:spacing w:after="0"/>
              <w:rPr>
                <w:sz w:val="20"/>
                <w:szCs w:val="20"/>
                <w:color w:val="auto"/>
              </w:rPr>
            </w:pPr>
            <w:r>
              <w:rPr>
                <w:rFonts w:ascii="Arial" w:cs="Arial" w:eastAsia="Arial" w:hAnsi="Arial"/>
                <w:sz w:val="18"/>
                <w:szCs w:val="18"/>
                <w:color w:val="auto"/>
              </w:rPr>
              <w:t>Interest and other income (expense), net:</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192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612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1,019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2,051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26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140" w:type="dxa"/>
            <w:vAlign w:val="bottom"/>
          </w:tcPr>
          <w:p>
            <w:pPr>
              <w:jc w:val="right"/>
              <w:ind w:right="252"/>
              <w:spacing w:after="0"/>
              <w:rPr>
                <w:sz w:val="20"/>
                <w:szCs w:val="20"/>
                <w:color w:val="auto"/>
              </w:rPr>
            </w:pPr>
            <w:r>
              <w:rPr>
                <w:rFonts w:ascii="Arial" w:cs="Arial" w:eastAsia="Arial" w:hAnsi="Arial"/>
                <w:sz w:val="18"/>
                <w:szCs w:val="18"/>
                <w:color w:val="auto"/>
              </w:rPr>
              <w:t>(1,102)</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(1,243)</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292"/>
              <w:spacing w:after="0"/>
              <w:rPr>
                <w:sz w:val="20"/>
                <w:szCs w:val="20"/>
                <w:color w:val="auto"/>
              </w:rPr>
            </w:pPr>
            <w:r>
              <w:rPr>
                <w:rFonts w:ascii="Arial" w:cs="Arial" w:eastAsia="Arial" w:hAnsi="Arial"/>
                <w:sz w:val="18"/>
                <w:szCs w:val="18"/>
                <w:color w:val="auto"/>
              </w:rPr>
              <w:t>(5,016)</w:t>
            </w: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271"/>
              <w:spacing w:after="0"/>
              <w:rPr>
                <w:sz w:val="20"/>
                <w:szCs w:val="20"/>
                <w:color w:val="auto"/>
              </w:rPr>
            </w:pPr>
            <w:r>
              <w:rPr>
                <w:rFonts w:ascii="Arial" w:cs="Arial" w:eastAsia="Arial" w:hAnsi="Arial"/>
                <w:sz w:val="18"/>
                <w:szCs w:val="18"/>
                <w:color w:val="auto"/>
              </w:rPr>
              <w:t>(3,706)</w:t>
            </w: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(94)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(25)</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(132)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266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rPr>
              <w:t>(9,474)</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(11,306)</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(34,718)</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color w:val="auto"/>
              </w:rPr>
              <w:t>(29,305)</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derive the majority of our revenue from sales to customers in the U.S. Revenue by geography is based on billing address of the customer. No single country outside the U.S. accounts for more than 10% of the total revenue during the periods presented. The table below summarizes our revenue by geography:</w:t>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13"/>
        </w:trPr>
        <w:tc>
          <w:tcPr>
            <w:tcW w:w="2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5"/>
          </w:tcPr>
          <w:p>
            <w:pPr>
              <w:jc w:val="right"/>
              <w:ind w:right="55"/>
              <w:spacing w:after="0"/>
              <w:rPr>
                <w:sz w:val="20"/>
                <w:szCs w:val="20"/>
                <w:color w:val="auto"/>
              </w:rPr>
            </w:pPr>
            <w:r>
              <w:rPr>
                <w:rFonts w:ascii="Arial" w:cs="Arial" w:eastAsia="Arial" w:hAnsi="Arial"/>
                <w:sz w:val="16"/>
                <w:szCs w:val="16"/>
                <w:b w:val="1"/>
                <w:bCs w:val="1"/>
                <w:color w:val="auto"/>
              </w:rPr>
              <w:t>Three Months Ended September 30,</w:t>
            </w:r>
          </w:p>
        </w:tc>
        <w:tc>
          <w:tcPr>
            <w:tcW w:w="6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5"/>
          </w:tcPr>
          <w:p>
            <w:pPr>
              <w:jc w:val="right"/>
              <w:ind w:right="74"/>
              <w:spacing w:after="0"/>
              <w:rPr>
                <w:sz w:val="20"/>
                <w:szCs w:val="20"/>
                <w:color w:val="auto"/>
              </w:rPr>
            </w:pPr>
            <w:r>
              <w:rPr>
                <w:rFonts w:ascii="Arial" w:cs="Arial" w:eastAsia="Arial" w:hAnsi="Arial"/>
                <w:sz w:val="16"/>
                <w:szCs w:val="16"/>
                <w:b w:val="1"/>
                <w:bCs w:val="1"/>
                <w:color w:val="auto"/>
              </w:rPr>
              <w:t>Nine Months Ended September 30,</w:t>
            </w:r>
          </w:p>
        </w:tc>
        <w:tc>
          <w:tcPr>
            <w:tcW w:w="700" w:type="dxa"/>
            <w:vAlign w:val="bottom"/>
            <w:tcBorders>
              <w:bottom w:val="single" w:sz="8" w:color="auto"/>
            </w:tcBorders>
          </w:tcPr>
          <w:p>
            <w:pPr>
              <w:spacing w:after="0"/>
              <w:rPr>
                <w:sz w:val="18"/>
                <w:szCs w:val="18"/>
                <w:color w:val="auto"/>
              </w:rPr>
            </w:pPr>
          </w:p>
        </w:tc>
      </w:tr>
      <w:tr>
        <w:trPr>
          <w:trHeight w:val="210"/>
        </w:trPr>
        <w:tc>
          <w:tcPr>
            <w:tcW w:w="2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2020</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2019</w:t>
            </w:r>
          </w:p>
        </w:tc>
        <w:tc>
          <w:tcPr>
            <w:tcW w:w="6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rPr>
              <w:t>2019</w:t>
            </w:r>
          </w:p>
        </w:tc>
        <w:tc>
          <w:tcPr>
            <w:tcW w:w="700" w:type="dxa"/>
            <w:vAlign w:val="bottom"/>
            <w:tcBorders>
              <w:bottom w:val="single" w:sz="8" w:color="auto"/>
            </w:tcBorders>
          </w:tcPr>
          <w:p>
            <w:pPr>
              <w:spacing w:after="0"/>
              <w:rPr>
                <w:sz w:val="18"/>
                <w:szCs w:val="18"/>
                <w:color w:val="auto"/>
              </w:rPr>
            </w:pPr>
          </w:p>
        </w:tc>
      </w:tr>
      <w:tr>
        <w:trPr>
          <w:trHeight w:val="210"/>
        </w:trPr>
        <w:tc>
          <w:tcPr>
            <w:tcW w:w="2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w w:val="99"/>
              </w:rPr>
              <w:t>Amount</w:t>
            </w:r>
          </w:p>
        </w:tc>
        <w:tc>
          <w:tcPr>
            <w:tcW w:w="68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w w:val="99"/>
              </w:rPr>
              <w:t>Amount</w:t>
            </w:r>
          </w:p>
        </w:tc>
        <w:tc>
          <w:tcPr>
            <w:tcW w:w="6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w w:val="99"/>
              </w:rPr>
              <w:t>Amount</w:t>
            </w:r>
          </w:p>
        </w:tc>
        <w:tc>
          <w:tcPr>
            <w:tcW w:w="6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w w:val="99"/>
              </w:rPr>
              <w:t>Amount</w:t>
            </w:r>
          </w:p>
        </w:tc>
        <w:tc>
          <w:tcPr>
            <w:tcW w:w="70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w:t>
            </w:r>
          </w:p>
        </w:tc>
      </w:tr>
      <w:tr>
        <w:trPr>
          <w:trHeight w:val="210"/>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40" w:type="dxa"/>
            <w:vAlign w:val="bottom"/>
            <w:gridSpan w:val="5"/>
          </w:tcPr>
          <w:p>
            <w:pPr>
              <w:jc w:val="right"/>
              <w:ind w:right="35"/>
              <w:spacing w:after="0"/>
              <w:rPr>
                <w:sz w:val="20"/>
                <w:szCs w:val="20"/>
                <w:color w:val="auto"/>
              </w:rPr>
            </w:pPr>
            <w:r>
              <w:rPr>
                <w:rFonts w:ascii="Arial" w:cs="Arial" w:eastAsia="Arial" w:hAnsi="Arial"/>
                <w:sz w:val="16"/>
                <w:szCs w:val="16"/>
                <w:b w:val="1"/>
                <w:bCs w:val="1"/>
                <w:color w:val="auto"/>
              </w:rPr>
              <w:t>(in thousands except for percentages)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2"/>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18,924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14,856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47,442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43,325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91 %</w:t>
            </w:r>
          </w:p>
        </w:tc>
      </w:tr>
      <w:tr>
        <w:trPr>
          <w:trHeight w:val="229"/>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8"/>
                <w:szCs w:val="18"/>
                <w:color w:val="auto"/>
              </w:rPr>
              <w:t>1,449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1,326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color w:val="auto"/>
              </w:rPr>
              <w:t>3,801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4,165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rPr>
              <w:t>20,373</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8"/>
                <w:szCs w:val="18"/>
                <w:color w:val="auto"/>
              </w:rPr>
              <w:t>16,182</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rPr>
              <w:t>51,243</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47,490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Comparison of the Three Months Ended September 30, 2020 and September 30, 2019</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Cost of Goods Sold, Gross Profit, and Gross Margin</w:t>
      </w:r>
      <w:r>
        <w:rPr>
          <w:rFonts w:ascii="Arial" w:cs="Arial" w:eastAsia="Arial" w:hAnsi="Arial"/>
          <w:sz w:val="18"/>
          <w:szCs w:val="18"/>
          <w:color w:val="auto"/>
        </w:rPr>
        <w:t>:</w:t>
      </w:r>
    </w:p>
    <w:p>
      <w:pPr>
        <w:spacing w:after="0" w:line="266"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 Change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w w:val="89"/>
              </w:rPr>
              <w:t>(in thousands, except for percentages)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20,373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16,182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26%</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2,578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1,630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15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4"/>
              </w:rPr>
              <w:t>58%</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17,795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14,552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margin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spacing w:after="0" w:line="204" w:lineRule="exact"/>
              <w:rPr>
                <w:sz w:val="20"/>
                <w:szCs w:val="20"/>
                <w:color w:val="auto"/>
              </w:rPr>
            </w:pPr>
            <w:r>
              <w:rPr>
                <w:rFonts w:ascii="Arial" w:cs="Arial" w:eastAsia="Arial" w:hAnsi="Arial"/>
                <w:sz w:val="18"/>
                <w:szCs w:val="18"/>
                <w:color w:val="auto"/>
              </w:rPr>
              <w:t>87 %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4" w:lineRule="exact"/>
              <w:rPr>
                <w:sz w:val="20"/>
                <w:szCs w:val="20"/>
                <w:color w:val="auto"/>
              </w:rPr>
            </w:pPr>
            <w:r>
              <w:rPr>
                <w:rFonts w:ascii="Arial" w:cs="Arial" w:eastAsia="Arial" w:hAnsi="Arial"/>
                <w:sz w:val="18"/>
                <w:szCs w:val="18"/>
                <w:color w:val="auto"/>
              </w:rPr>
              <w:t>90 %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The increase in revenue for the three months ended September 30, 2020 as compared to the three months ended September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comprised a $4.1 million increase in our U.S. revenue and an increase of $0.1 million in our international revenue, mainly due to an increase in case volumes. We attribute case growth to higher sales force productivity, higher numbers of sales personnel, and increased active surgeons due to improving U.S. reimbursement coverage. To a certain extent, a portion of the increase in revenue in the three months ended September 30, 2020 are attributable to case procedures scheduled for prior quarter rescheduled due to COVID-19.</w:t>
      </w:r>
    </w:p>
    <w:p>
      <w:pPr>
        <w:spacing w:after="0" w:line="21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 xml:space="preserve">Gross Profit and Gross Margin. </w:t>
      </w:r>
      <w:r>
        <w:rPr>
          <w:rFonts w:ascii="Arial" w:cs="Arial" w:eastAsia="Arial" w:hAnsi="Arial"/>
          <w:sz w:val="18"/>
          <w:szCs w:val="18"/>
          <w:color w:val="auto"/>
        </w:rPr>
        <w:t>Gross profit increased $3.2 million for the three months ended September 30, 2020 as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2019, mainly driven by higher revenue. The gross margin decreased to 87% for the three months ended September 30, 2020 as compared to 90% for the three months ended September 30, 2019 primarily due to increases in inventory write-downs of approximately $0.5 million and higher cost of operations to support the growth of the business.</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color w:val="auto"/>
        </w:rPr>
        <w:t>:</w:t>
      </w:r>
    </w:p>
    <w:p>
      <w:pPr>
        <w:spacing w:after="0" w:line="266"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3180" w:type="dxa"/>
            <w:vAlign w:val="bottom"/>
            <w:gridSpan w:val="6"/>
          </w:tcPr>
          <w:p>
            <w:pPr>
              <w:ind w:left="28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3"/>
        </w:trPr>
        <w:tc>
          <w:tcPr>
            <w:tcW w:w="48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 Change</w:t>
            </w:r>
          </w:p>
        </w:tc>
        <w:tc>
          <w:tcPr>
            <w:tcW w:w="162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 Change</w:t>
            </w:r>
          </w:p>
        </w:tc>
      </w:tr>
      <w:tr>
        <w:trPr>
          <w:trHeight w:val="210"/>
        </w:trPr>
        <w:tc>
          <w:tcPr>
            <w:tcW w:w="4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4"/>
          </w:tcPr>
          <w:p>
            <w:pPr>
              <w:jc w:val="right"/>
              <w:ind w:right="132"/>
              <w:spacing w:after="0"/>
              <w:rPr>
                <w:sz w:val="20"/>
                <w:szCs w:val="20"/>
                <w:color w:val="auto"/>
              </w:rPr>
            </w:pPr>
            <w:r>
              <w:rPr>
                <w:rFonts w:ascii="Arial" w:cs="Arial" w:eastAsia="Arial" w:hAnsi="Arial"/>
                <w:sz w:val="16"/>
                <w:szCs w:val="16"/>
                <w:b w:val="1"/>
                <w:bCs w:val="1"/>
                <w:color w:val="auto"/>
                <w:w w:val="90"/>
              </w:rPr>
              <w:t>(in thousands, except for percentages)</w:t>
            </w:r>
          </w:p>
        </w:tc>
        <w:tc>
          <w:tcPr>
            <w:tcW w:w="1620" w:type="dxa"/>
            <w:vAlign w:val="bottom"/>
          </w:tcPr>
          <w:p>
            <w:pPr>
              <w:spacing w:after="0"/>
              <w:rPr>
                <w:sz w:val="18"/>
                <w:szCs w:val="18"/>
                <w:color w:val="auto"/>
              </w:rPr>
            </w:pPr>
          </w:p>
        </w:tc>
      </w:tr>
      <w:tr>
        <w:trPr>
          <w:trHeight w:val="232"/>
        </w:trPr>
        <w:tc>
          <w:tcPr>
            <w:tcW w:w="4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Sales and marketing</w:t>
            </w: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18,772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6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8"/>
              </w:rPr>
              <w:t>14%</w:t>
            </w:r>
          </w:p>
        </w:tc>
      </w:tr>
      <w:tr>
        <w:trPr>
          <w:trHeight w:val="230"/>
        </w:trPr>
        <w:tc>
          <w:tcPr>
            <w:tcW w:w="4800" w:type="dxa"/>
            <w:vAlign w:val="bottom"/>
          </w:tcPr>
          <w:p>
            <w:pPr>
              <w:ind w:left="6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904</w:t>
            </w:r>
          </w:p>
        </w:tc>
        <w:tc>
          <w:tcPr>
            <w:tcW w:w="1620" w:type="dxa"/>
            <w:vAlign w:val="bottom"/>
          </w:tcPr>
          <w:p>
            <w:pPr>
              <w:jc w:val="center"/>
              <w:ind w:left="12"/>
              <w:spacing w:after="0"/>
              <w:rPr>
                <w:sz w:val="20"/>
                <w:szCs w:val="20"/>
                <w:color w:val="auto"/>
              </w:rPr>
            </w:pPr>
            <w:r>
              <w:rPr>
                <w:rFonts w:ascii="Arial" w:cs="Arial" w:eastAsia="Arial" w:hAnsi="Arial"/>
                <w:sz w:val="18"/>
                <w:szCs w:val="18"/>
                <w:color w:val="auto"/>
                <w:w w:val="88"/>
              </w:rPr>
              <w:t>48%</w:t>
            </w:r>
          </w:p>
        </w:tc>
      </w:tr>
      <w:tr>
        <w:trPr>
          <w:trHeight w:val="230"/>
        </w:trPr>
        <w:tc>
          <w:tcPr>
            <w:tcW w:w="4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6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1"/>
              </w:rPr>
              <w:t>(28)%</w:t>
            </w:r>
          </w:p>
        </w:tc>
      </w:tr>
      <w:tr>
        <w:trPr>
          <w:trHeight w:val="223"/>
        </w:trPr>
        <w:tc>
          <w:tcPr>
            <w:tcW w:w="4800" w:type="dxa"/>
            <w:vAlign w:val="bottom"/>
          </w:tcPr>
          <w:p>
            <w:pPr>
              <w:ind w:left="60"/>
              <w:spacing w:after="0"/>
              <w:rPr>
                <w:sz w:val="20"/>
                <w:szCs w:val="20"/>
                <w:color w:val="auto"/>
              </w:rPr>
            </w:pPr>
            <w:r>
              <w:rPr>
                <w:rFonts w:ascii="Arial" w:cs="Arial" w:eastAsia="Arial" w:hAnsi="Arial"/>
                <w:sz w:val="18"/>
                <w:szCs w:val="18"/>
                <w:color w:val="auto"/>
              </w:rPr>
              <w:t>Total operating expenses</w:t>
            </w:r>
          </w:p>
        </w:tc>
        <w:tc>
          <w:tcPr>
            <w:tcW w:w="900" w:type="dxa"/>
            <w:vAlign w:val="bottom"/>
            <w:tcBorders>
              <w:bottom w:val="single" w:sz="8" w:color="auto"/>
            </w:tcBorders>
          </w:tcPr>
          <w:p>
            <w:pPr>
              <w:jc w:val="right"/>
              <w:ind w:right="71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26,470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1620" w:type="dxa"/>
            <w:vAlign w:val="bottom"/>
          </w:tcPr>
          <w:p>
            <w:pPr>
              <w:jc w:val="center"/>
              <w:ind w:left="12"/>
              <w:spacing w:after="0"/>
              <w:rPr>
                <w:sz w:val="20"/>
                <w:szCs w:val="20"/>
                <w:color w:val="auto"/>
              </w:rPr>
            </w:pPr>
            <w:r>
              <w:rPr>
                <w:rFonts w:ascii="Arial" w:cs="Arial" w:eastAsia="Arial" w:hAnsi="Arial"/>
                <w:sz w:val="18"/>
                <w:szCs w:val="18"/>
                <w:color w:val="auto"/>
                <w:w w:val="92"/>
              </w:rPr>
              <w:t>5%</w:t>
            </w:r>
          </w:p>
        </w:tc>
      </w:tr>
      <w:tr>
        <w:trPr>
          <w:trHeight w:val="20"/>
        </w:trPr>
        <w:tc>
          <w:tcPr>
            <w:tcW w:w="4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The increase in sales and marketing expenses for the three months ended September 30, 2020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2019 was primarily due to an increase of $3.4 million in employee related costs and stock-based compensation expense driven by increased headcount. These increases were partly offset by decreases in travel and other sales and marketing related expenses of $1.1 million as a result of the COVID-19 pandemic.</w:t>
      </w:r>
    </w:p>
    <w:p>
      <w:pPr>
        <w:spacing w:after="0" w:line="18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The increase in research and development expenses for the three months ended September 30, 2020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three months ended September 30, 2019 was primarily due to an increase of $0.5 million in employee related costs and stock-based compensation expense driven by increased headcount, as well as increases in other research and development expenses of $0.4 million, primarily due to clinical study and research and development activities.</w:t>
      </w:r>
    </w:p>
    <w:p>
      <w:pPr>
        <w:spacing w:after="0" w:line="187"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The decrease in general and administrative expenses for the three months ended September 30, 2020</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three months ended September 30, 2019 was primarily due to $2.5 million of accrued litigation expense associated with the TCPA class action lawsuit recorded in the third quarter of 2019 that was not repeated in the current quarter. In addition, other general and administrative expenses decreased by $0.3 million as a result of curtailment of discretionary spending in response to the COVID-19 pandemic. These decreases were partly offset by the increase in employee related costs and stock-based compensation expense of $0.9 million driven by increased headcount.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1" w:name="page32"/>
    <w:bookmarkEnd w:id="31"/>
    <w:p>
      <w:pPr>
        <w:ind w:left="460"/>
        <w:spacing w:after="0"/>
        <w:rPr>
          <w:sz w:val="20"/>
          <w:szCs w:val="20"/>
          <w:color w:val="auto"/>
        </w:rPr>
      </w:pPr>
      <w:r>
        <w:rPr>
          <w:rFonts w:ascii="Arial" w:cs="Arial" w:eastAsia="Arial" w:hAnsi="Arial"/>
          <w:sz w:val="18"/>
          <w:szCs w:val="18"/>
          <w:b w:val="1"/>
          <w:bCs w:val="1"/>
          <w:i w:val="1"/>
          <w:iCs w:val="1"/>
          <w:color w:val="auto"/>
        </w:rPr>
        <w:t>Interest and Other Income (Expense), Net</w:t>
      </w:r>
      <w:r>
        <w:rPr>
          <w:rFonts w:ascii="Arial" w:cs="Arial" w:eastAsia="Arial" w:hAnsi="Arial"/>
          <w:sz w:val="18"/>
          <w:szCs w:val="18"/>
          <w:color w:val="auto"/>
        </w:rPr>
        <w:t>:</w:t>
      </w:r>
    </w:p>
    <w:p>
      <w:pPr>
        <w:spacing w:after="0" w:line="266"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Three Months Ended September 30,</w:t>
      </w:r>
    </w:p>
    <w:p>
      <w:pPr>
        <w:spacing w:after="0" w:line="26"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48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6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 Change</w:t>
            </w:r>
          </w:p>
        </w:tc>
      </w:tr>
      <w:tr>
        <w:trPr>
          <w:trHeight w:val="209"/>
        </w:trPr>
        <w:tc>
          <w:tcPr>
            <w:tcW w:w="4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154"/>
              <w:spacing w:after="0"/>
              <w:rPr>
                <w:sz w:val="20"/>
                <w:szCs w:val="20"/>
                <w:color w:val="auto"/>
              </w:rPr>
            </w:pPr>
            <w:r>
              <w:rPr>
                <w:rFonts w:ascii="Arial" w:cs="Arial" w:eastAsia="Arial" w:hAnsi="Arial"/>
                <w:sz w:val="16"/>
                <w:szCs w:val="16"/>
                <w:b w:val="1"/>
                <w:bCs w:val="1"/>
                <w:color w:val="auto"/>
                <w:w w:val="90"/>
              </w:rPr>
              <w:t>(in thousands, except for percentages)</w:t>
            </w:r>
          </w:p>
        </w:tc>
        <w:tc>
          <w:tcPr>
            <w:tcW w:w="1620" w:type="dxa"/>
            <w:vAlign w:val="bottom"/>
          </w:tcPr>
          <w:p>
            <w:pPr>
              <w:spacing w:after="0"/>
              <w:rPr>
                <w:sz w:val="18"/>
                <w:szCs w:val="18"/>
                <w:color w:val="auto"/>
              </w:rPr>
            </w:pPr>
          </w:p>
        </w:tc>
      </w:tr>
      <w:tr>
        <w:trPr>
          <w:trHeight w:val="232"/>
        </w:trPr>
        <w:tc>
          <w:tcPr>
            <w:tcW w:w="4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2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1"/>
              </w:rPr>
              <w:t>(69)%</w:t>
            </w:r>
          </w:p>
        </w:tc>
      </w:tr>
      <w:tr>
        <w:trPr>
          <w:trHeight w:val="229"/>
        </w:trPr>
        <w:tc>
          <w:tcPr>
            <w:tcW w:w="4800" w:type="dxa"/>
            <w:vAlign w:val="bottom"/>
          </w:tcPr>
          <w:p>
            <w:pPr>
              <w:ind w:left="60"/>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(1,102)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w:t>
            </w:r>
          </w:p>
        </w:tc>
        <w:tc>
          <w:tcPr>
            <w:tcW w:w="1620" w:type="dxa"/>
            <w:vAlign w:val="bottom"/>
          </w:tcPr>
          <w:p>
            <w:pPr>
              <w:jc w:val="center"/>
              <w:ind w:left="14"/>
              <w:spacing w:after="0"/>
              <w:rPr>
                <w:sz w:val="20"/>
                <w:szCs w:val="20"/>
                <w:color w:val="auto"/>
              </w:rPr>
            </w:pPr>
            <w:r>
              <w:rPr>
                <w:rFonts w:ascii="Arial" w:cs="Arial" w:eastAsia="Arial" w:hAnsi="Arial"/>
                <w:sz w:val="18"/>
                <w:szCs w:val="18"/>
                <w:color w:val="auto"/>
                <w:w w:val="91"/>
              </w:rPr>
              <w:t>(11)%</w:t>
            </w:r>
          </w:p>
        </w:tc>
      </w:tr>
      <w:tr>
        <w:trPr>
          <w:trHeight w:val="230"/>
        </w:trPr>
        <w:tc>
          <w:tcPr>
            <w:tcW w:w="4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income (expense), net</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(218)%</w:t>
            </w:r>
          </w:p>
        </w:tc>
      </w:tr>
      <w:tr>
        <w:trPr>
          <w:trHeight w:val="223"/>
        </w:trPr>
        <w:tc>
          <w:tcPr>
            <w:tcW w:w="4800" w:type="dxa"/>
            <w:vAlign w:val="bottom"/>
          </w:tcPr>
          <w:p>
            <w:pPr>
              <w:ind w:left="60"/>
              <w:spacing w:after="0"/>
              <w:rPr>
                <w:sz w:val="20"/>
                <w:szCs w:val="20"/>
                <w:color w:val="auto"/>
              </w:rPr>
            </w:pPr>
            <w:r>
              <w:rPr>
                <w:rFonts w:ascii="Arial" w:cs="Arial" w:eastAsia="Arial" w:hAnsi="Arial"/>
                <w:sz w:val="18"/>
                <w:szCs w:val="18"/>
                <w:color w:val="auto"/>
              </w:rPr>
              <w:t>Total interest and other expense, net</w:t>
            </w:r>
          </w:p>
        </w:tc>
        <w:tc>
          <w:tcPr>
            <w:tcW w:w="920" w:type="dxa"/>
            <w:vAlign w:val="bottom"/>
            <w:tcBorders>
              <w:bottom w:val="single" w:sz="8" w:color="auto"/>
            </w:tcBorders>
          </w:tcPr>
          <w:p>
            <w:pPr>
              <w:jc w:val="right"/>
              <w:ind w:right="733"/>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620" w:type="dxa"/>
            <w:vAlign w:val="bottom"/>
          </w:tcPr>
          <w:p>
            <w:pPr>
              <w:jc w:val="center"/>
              <w:ind w:left="14"/>
              <w:spacing w:after="0"/>
              <w:rPr>
                <w:sz w:val="20"/>
                <w:szCs w:val="20"/>
                <w:color w:val="auto"/>
              </w:rPr>
            </w:pPr>
            <w:r>
              <w:rPr>
                <w:rFonts w:ascii="Arial" w:cs="Arial" w:eastAsia="Arial" w:hAnsi="Arial"/>
                <w:sz w:val="18"/>
                <w:szCs w:val="18"/>
                <w:color w:val="auto"/>
                <w:w w:val="88"/>
              </w:rPr>
              <w:t>10%</w:t>
            </w:r>
          </w:p>
        </w:tc>
      </w:tr>
      <w:tr>
        <w:trPr>
          <w:trHeight w:val="21"/>
        </w:trPr>
        <w:tc>
          <w:tcPr>
            <w:tcW w:w="4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The decrease in interest income for the three months ended September 30, 2020 as compared to the three months ended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30, 2019 was mainly due to lower interest earned on our investments in marketable securities, primarily as a result of lower interest rates.</w:t>
      </w:r>
    </w:p>
    <w:p>
      <w:pPr>
        <w:spacing w:after="0" w:line="146"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The decrease in interest expense for the three months ended September 30, 2020 as compared to the three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2019 was due lower interest associated with the Solar Term Loan compared to the Pharmakon Term Loan.</w:t>
      </w:r>
    </w:p>
    <w:p>
      <w:pPr>
        <w:spacing w:after="0" w:line="17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net increased for the three months ended September 30, 2020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2019 due to net foreign currency gains.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of the Nine Months Ended September 30, 2020 and September 30, 2019</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Cost of Goods Sold, Gross Profit, and Gross Margin</w:t>
      </w:r>
      <w:r>
        <w:rPr>
          <w:rFonts w:ascii="Arial" w:cs="Arial" w:eastAsia="Arial" w:hAnsi="Arial"/>
          <w:sz w:val="18"/>
          <w:szCs w:val="18"/>
          <w:color w:val="auto"/>
        </w:rPr>
        <w:t>:</w:t>
      </w:r>
    </w:p>
    <w:p>
      <w:pPr>
        <w:spacing w:after="0" w:line="266"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60" w:type="dxa"/>
            <w:vAlign w:val="bottom"/>
            <w:gridSpan w:val="5"/>
          </w:tcPr>
          <w:p>
            <w:pPr>
              <w:ind w:left="180"/>
              <w:spacing w:after="0"/>
              <w:rPr>
                <w:sz w:val="20"/>
                <w:szCs w:val="20"/>
                <w:color w:val="auto"/>
              </w:rPr>
            </w:pPr>
            <w:r>
              <w:rPr>
                <w:rFonts w:ascii="Arial" w:cs="Arial" w:eastAsia="Arial" w:hAnsi="Arial"/>
                <w:sz w:val="16"/>
                <w:szCs w:val="16"/>
                <w:b w:val="1"/>
                <w:bCs w:val="1"/>
                <w:color w:val="auto"/>
              </w:rPr>
              <w:t>Nine Months Ended September 30,</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 Change</w:t>
            </w:r>
          </w:p>
        </w:tc>
        <w:tc>
          <w:tcPr>
            <w:tcW w:w="158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w w:val="89"/>
              </w:rPr>
              <w:t>(in thousands, except for percentages)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51,243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47,490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8%</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6,627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4,744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w:t>
            </w:r>
          </w:p>
        </w:tc>
        <w:tc>
          <w:tcPr>
            <w:tcW w:w="15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4"/>
              </w:rPr>
              <w:t>40%</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44,616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42,746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margin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spacing w:after="0" w:line="204" w:lineRule="exact"/>
              <w:rPr>
                <w:sz w:val="20"/>
                <w:szCs w:val="20"/>
                <w:color w:val="auto"/>
              </w:rPr>
            </w:pPr>
            <w:r>
              <w:rPr>
                <w:rFonts w:ascii="Arial" w:cs="Arial" w:eastAsia="Arial" w:hAnsi="Arial"/>
                <w:sz w:val="18"/>
                <w:szCs w:val="18"/>
                <w:color w:val="auto"/>
              </w:rPr>
              <w:t>87 %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4" w:lineRule="exact"/>
              <w:rPr>
                <w:sz w:val="20"/>
                <w:szCs w:val="20"/>
                <w:color w:val="auto"/>
              </w:rPr>
            </w:pPr>
            <w:r>
              <w:rPr>
                <w:rFonts w:ascii="Arial" w:cs="Arial" w:eastAsia="Arial" w:hAnsi="Arial"/>
                <w:sz w:val="18"/>
                <w:szCs w:val="18"/>
                <w:color w:val="auto"/>
              </w:rPr>
              <w:t>90 %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The increase in revenue for the nine months ended September 30, 2020 as compared to the nine months ended September 30, 2019</w:t>
      </w:r>
      <w:r>
        <w:rPr>
          <w:rFonts w:ascii="Arial" w:cs="Arial" w:eastAsia="Arial" w:hAnsi="Arial"/>
          <w:sz w:val="17"/>
          <w:szCs w:val="17"/>
          <w:i w:val="1"/>
          <w:iCs w:val="1"/>
          <w:color w:val="auto"/>
        </w:rPr>
        <w:t xml:space="preserve"> </w:t>
      </w:r>
      <w:r>
        <w:rPr>
          <w:rFonts w:ascii="Arial" w:cs="Arial" w:eastAsia="Arial" w:hAnsi="Arial"/>
          <w:sz w:val="17"/>
          <w:szCs w:val="17"/>
          <w:color w:val="auto"/>
        </w:rPr>
        <w:t>comprised $4.1 million increase in our U.S. revenue, partly offset by a decrease of $0.4 million in our international revenue. The increase in U.S. revenue was attributable to an increase in case volumes. The increasing growth trend of our U.S. case count prior to the impact of COVID-19 was partly offset by the decline in U.S. case volumes specifically during mid-March through April 2020 due to COVID-19. Prior to the impact of COVID-19, we experienced case growth trends consistent with those experienced in the fourth quarter of 2019. The case growth we experienced prior to the impact of COVID-19 we attribute to higher sales force productivity, higher numbers of sales personnel, and increased active surgeons due to improving U.S. reimbursement coverage. The decrease in our international revenue was primarily due to the effects of COVID-19.</w:t>
      </w:r>
    </w:p>
    <w:p>
      <w:pPr>
        <w:spacing w:after="0" w:line="204"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i w:val="1"/>
          <w:iCs w:val="1"/>
          <w:color w:val="auto"/>
        </w:rPr>
        <w:t xml:space="preserve">Gross Profit and Gross Margin. </w:t>
      </w:r>
      <w:r>
        <w:rPr>
          <w:rFonts w:ascii="Arial" w:cs="Arial" w:eastAsia="Arial" w:hAnsi="Arial"/>
          <w:sz w:val="16"/>
          <w:szCs w:val="16"/>
          <w:color w:val="auto"/>
        </w:rPr>
        <w:t>Gross profit increased $1.9 million for the nine months ended September 30, 2020 as compared to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2019 primarily driven by higher revenue, partly offset by higher cost of goods sold. Gross margin decreased to 87% for the nine months ended September 30, 2020 as compared to 90% for the nine months ended September 30, 2019 primarily due to certain period costs of approximately $0.2 million charged directly to cost of operations and increases in inventory write-downs of approximately $0.9 million. Certain period costs were expensed as incurred during the second quarter of 2020 because our operations ran at suboptimal capacity due to lower case volumes as a result of the COVID-19 pandemic. Gross margin was also impacted by higher cost of operations to support the growth of the business.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2" w:name="page33"/>
    <w:bookmarkEnd w:id="32"/>
    <w:p>
      <w:pPr>
        <w:ind w:left="460"/>
        <w:spacing w:after="0"/>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color w:val="auto"/>
        </w:rPr>
        <w:t>:</w:t>
      </w:r>
    </w:p>
    <w:p>
      <w:pPr>
        <w:spacing w:after="0" w:line="266"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3180" w:type="dxa"/>
            <w:vAlign w:val="bottom"/>
            <w:gridSpan w:val="6"/>
          </w:tcPr>
          <w:p>
            <w:pPr>
              <w:ind w:left="320"/>
              <w:spacing w:after="0"/>
              <w:rPr>
                <w:sz w:val="20"/>
                <w:szCs w:val="20"/>
                <w:color w:val="auto"/>
              </w:rPr>
            </w:pPr>
            <w:r>
              <w:rPr>
                <w:rFonts w:ascii="Arial" w:cs="Arial" w:eastAsia="Arial" w:hAnsi="Arial"/>
                <w:sz w:val="16"/>
                <w:szCs w:val="16"/>
                <w:b w:val="1"/>
                <w:bCs w:val="1"/>
                <w:color w:val="auto"/>
              </w:rPr>
              <w:t>Nine Months Ended September 30,</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3"/>
        </w:trPr>
        <w:tc>
          <w:tcPr>
            <w:tcW w:w="48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 Change</w:t>
            </w:r>
          </w:p>
        </w:tc>
        <w:tc>
          <w:tcPr>
            <w:tcW w:w="162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 Change</w:t>
            </w:r>
          </w:p>
        </w:tc>
      </w:tr>
      <w:tr>
        <w:trPr>
          <w:trHeight w:val="210"/>
        </w:trPr>
        <w:tc>
          <w:tcPr>
            <w:tcW w:w="4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4"/>
          </w:tcPr>
          <w:p>
            <w:pPr>
              <w:ind w:left="80"/>
              <w:spacing w:after="0"/>
              <w:rPr>
                <w:sz w:val="20"/>
                <w:szCs w:val="20"/>
                <w:color w:val="auto"/>
              </w:rPr>
            </w:pPr>
            <w:r>
              <w:rPr>
                <w:rFonts w:ascii="Arial" w:cs="Arial" w:eastAsia="Arial" w:hAnsi="Arial"/>
                <w:sz w:val="16"/>
                <w:szCs w:val="16"/>
                <w:b w:val="1"/>
                <w:bCs w:val="1"/>
                <w:color w:val="auto"/>
                <w:w w:val="95"/>
              </w:rPr>
              <w:t>(in thousands, except for percentages)</w:t>
            </w:r>
          </w:p>
        </w:tc>
        <w:tc>
          <w:tcPr>
            <w:tcW w:w="1620" w:type="dxa"/>
            <w:vAlign w:val="bottom"/>
          </w:tcPr>
          <w:p>
            <w:pPr>
              <w:spacing w:after="0"/>
              <w:rPr>
                <w:sz w:val="18"/>
                <w:szCs w:val="18"/>
                <w:color w:val="auto"/>
              </w:rPr>
            </w:pPr>
          </w:p>
        </w:tc>
      </w:tr>
      <w:tr>
        <w:trPr>
          <w:trHeight w:val="232"/>
        </w:trPr>
        <w:tc>
          <w:tcPr>
            <w:tcW w:w="4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Sales and marketing</w:t>
            </w: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53,808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center"/>
              <w:ind w:left="592"/>
              <w:spacing w:after="0"/>
              <w:rPr>
                <w:sz w:val="20"/>
                <w:szCs w:val="20"/>
                <w:color w:val="auto"/>
              </w:rPr>
            </w:pPr>
            <w:r>
              <w:rPr>
                <w:rFonts w:ascii="Arial" w:cs="Arial" w:eastAsia="Arial" w:hAnsi="Arial"/>
                <w:sz w:val="18"/>
                <w:szCs w:val="18"/>
                <w:color w:val="auto"/>
                <w:w w:val="88"/>
              </w:rPr>
              <w:t>4,823</w:t>
            </w:r>
          </w:p>
        </w:tc>
        <w:tc>
          <w:tcPr>
            <w:tcW w:w="16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8"/>
              </w:rPr>
              <w:t>10%</w:t>
            </w:r>
          </w:p>
        </w:tc>
      </w:tr>
      <w:tr>
        <w:trPr>
          <w:trHeight w:val="229"/>
        </w:trPr>
        <w:tc>
          <w:tcPr>
            <w:tcW w:w="4800" w:type="dxa"/>
            <w:vAlign w:val="bottom"/>
          </w:tcPr>
          <w:p>
            <w:pPr>
              <w:ind w:left="6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592"/>
              <w:spacing w:after="0"/>
              <w:rPr>
                <w:sz w:val="20"/>
                <w:szCs w:val="20"/>
                <w:color w:val="auto"/>
              </w:rPr>
            </w:pPr>
            <w:r>
              <w:rPr>
                <w:rFonts w:ascii="Arial" w:cs="Arial" w:eastAsia="Arial" w:hAnsi="Arial"/>
                <w:sz w:val="18"/>
                <w:szCs w:val="18"/>
                <w:color w:val="auto"/>
                <w:w w:val="88"/>
              </w:rPr>
              <w:t>1,530</w:t>
            </w:r>
          </w:p>
        </w:tc>
        <w:tc>
          <w:tcPr>
            <w:tcW w:w="1620" w:type="dxa"/>
            <w:vAlign w:val="bottom"/>
          </w:tcPr>
          <w:p>
            <w:pPr>
              <w:jc w:val="center"/>
              <w:ind w:left="12"/>
              <w:spacing w:after="0"/>
              <w:rPr>
                <w:sz w:val="20"/>
                <w:szCs w:val="20"/>
                <w:color w:val="auto"/>
              </w:rPr>
            </w:pPr>
            <w:r>
              <w:rPr>
                <w:rFonts w:ascii="Arial" w:cs="Arial" w:eastAsia="Arial" w:hAnsi="Arial"/>
                <w:sz w:val="18"/>
                <w:szCs w:val="18"/>
                <w:color w:val="auto"/>
                <w:w w:val="88"/>
              </w:rPr>
              <w:t>28%</w:t>
            </w:r>
          </w:p>
        </w:tc>
      </w:tr>
      <w:tr>
        <w:trPr>
          <w:trHeight w:val="230"/>
        </w:trPr>
        <w:tc>
          <w:tcPr>
            <w:tcW w:w="4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14,471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572"/>
              <w:spacing w:after="0"/>
              <w:rPr>
                <w:sz w:val="20"/>
                <w:szCs w:val="20"/>
                <w:color w:val="auto"/>
              </w:rPr>
            </w:pPr>
            <w:r>
              <w:rPr>
                <w:rFonts w:ascii="Arial" w:cs="Arial" w:eastAsia="Arial" w:hAnsi="Arial"/>
                <w:sz w:val="18"/>
                <w:szCs w:val="18"/>
                <w:color w:val="auto"/>
                <w:w w:val="94"/>
              </w:rPr>
              <w:t>(1,305)</w:t>
            </w:r>
          </w:p>
        </w:tc>
        <w:tc>
          <w:tcPr>
            <w:tcW w:w="16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4"/>
              </w:rPr>
              <w:t>(8)%</w:t>
            </w:r>
          </w:p>
        </w:tc>
      </w:tr>
      <w:tr>
        <w:trPr>
          <w:trHeight w:val="223"/>
        </w:trPr>
        <w:tc>
          <w:tcPr>
            <w:tcW w:w="4800" w:type="dxa"/>
            <w:vAlign w:val="bottom"/>
          </w:tcPr>
          <w:p>
            <w:pPr>
              <w:ind w:left="60"/>
              <w:spacing w:after="0"/>
              <w:rPr>
                <w:sz w:val="20"/>
                <w:szCs w:val="20"/>
                <w:color w:val="auto"/>
              </w:rPr>
            </w:pPr>
            <w:r>
              <w:rPr>
                <w:rFonts w:ascii="Arial" w:cs="Arial" w:eastAsia="Arial" w:hAnsi="Arial"/>
                <w:sz w:val="18"/>
                <w:szCs w:val="18"/>
                <w:color w:val="auto"/>
              </w:rPr>
              <w:t>Total operating expenses</w:t>
            </w:r>
          </w:p>
        </w:tc>
        <w:tc>
          <w:tcPr>
            <w:tcW w:w="900" w:type="dxa"/>
            <w:vAlign w:val="bottom"/>
            <w:tcBorders>
              <w:bottom w:val="single" w:sz="8" w:color="auto"/>
            </w:tcBorders>
          </w:tcPr>
          <w:p>
            <w:pPr>
              <w:jc w:val="right"/>
              <w:ind w:right="71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75,312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70,264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center"/>
              <w:ind w:left="592"/>
              <w:spacing w:after="0"/>
              <w:rPr>
                <w:sz w:val="20"/>
                <w:szCs w:val="20"/>
                <w:color w:val="auto"/>
              </w:rPr>
            </w:pPr>
            <w:r>
              <w:rPr>
                <w:rFonts w:ascii="Arial" w:cs="Arial" w:eastAsia="Arial" w:hAnsi="Arial"/>
                <w:sz w:val="18"/>
                <w:szCs w:val="18"/>
                <w:color w:val="auto"/>
                <w:w w:val="88"/>
              </w:rPr>
              <w:t>5,048</w:t>
            </w:r>
          </w:p>
        </w:tc>
        <w:tc>
          <w:tcPr>
            <w:tcW w:w="1620" w:type="dxa"/>
            <w:vAlign w:val="bottom"/>
          </w:tcPr>
          <w:p>
            <w:pPr>
              <w:jc w:val="center"/>
              <w:ind w:left="12"/>
              <w:spacing w:after="0"/>
              <w:rPr>
                <w:sz w:val="20"/>
                <w:szCs w:val="20"/>
                <w:color w:val="auto"/>
              </w:rPr>
            </w:pPr>
            <w:r>
              <w:rPr>
                <w:rFonts w:ascii="Arial" w:cs="Arial" w:eastAsia="Arial" w:hAnsi="Arial"/>
                <w:sz w:val="18"/>
                <w:szCs w:val="18"/>
                <w:color w:val="auto"/>
                <w:w w:val="92"/>
              </w:rPr>
              <w:t>7%</w:t>
            </w:r>
          </w:p>
        </w:tc>
      </w:tr>
      <w:tr>
        <w:trPr>
          <w:trHeight w:val="21"/>
        </w:trPr>
        <w:tc>
          <w:tcPr>
            <w:tcW w:w="4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The increase in sales and marketing expenses for the nine months ended September 30, 2020 as compared to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2019 was primarily due to an increase of $8.3 million in employee related costs and stock-based compensation expense driven by increased headcount. The increase was partly offset by decreases in travel and other sales and marketing related expenses of $3.5 million due to the COVID-19 pandemic.</w:t>
      </w:r>
    </w:p>
    <w:p>
      <w:pPr>
        <w:spacing w:after="0" w:line="18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The increase in research and development expenses for the nine months ended September 30, 2020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nine months ended September 30, 2019 was primarily due to increases in employee related costs and stock-based compensation expense of $1.3 million driven by increased headcount, as well as increases in other research and development expenses of $0.2 million primarily due to clinical study and research and development activities.</w:t>
      </w:r>
    </w:p>
    <w:p>
      <w:pPr>
        <w:spacing w:after="0" w:line="187"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The decrease in general and administrative expenses for the nine months ended September 30, 2020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nine months ended September 30, 2019 was primarily due to $2.5 million accrued litigation expense recorded in the third quarter of 2019, the reversal of excess accrued litigation expense of $0.6 million in the second quarter of 2020 following the final settlement of the TCPA class action lawsuit, and decreases in other general and administrative expenses of $0.4 million as a result of curtailment of discretionary spending in response to the COVID-19 pandemic. These decreases were partly offset by an increase of $2.0 million in employee related costs and stock-based compensation expense driven by increased headcount and $0.2 million public offering costs that were expensed associated with the follow-on offering in the first quarter of 2020.</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and Other Income (Expense), Net</w:t>
      </w:r>
      <w:r>
        <w:rPr>
          <w:rFonts w:ascii="Arial" w:cs="Arial" w:eastAsia="Arial" w:hAnsi="Arial"/>
          <w:sz w:val="18"/>
          <w:szCs w:val="18"/>
          <w:color w:val="auto"/>
        </w:rPr>
        <w:t>:</w:t>
      </w:r>
    </w:p>
    <w:p>
      <w:pPr>
        <w:spacing w:after="0" w:line="266"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Nine Months Ended September 30,</w:t>
      </w:r>
    </w:p>
    <w:p>
      <w:pPr>
        <w:spacing w:after="0" w:line="26"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89"/>
              </w:rPr>
              <w:t>Change</w:t>
            </w:r>
          </w:p>
        </w:tc>
        <w:tc>
          <w:tcPr>
            <w:tcW w:w="16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 Change</w:t>
            </w:r>
          </w:p>
        </w:tc>
      </w:tr>
      <w:tr>
        <w:trPr>
          <w:trHeight w:val="209"/>
        </w:trPr>
        <w:tc>
          <w:tcPr>
            <w:tcW w:w="4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5"/>
          </w:tcPr>
          <w:p>
            <w:pPr>
              <w:jc w:val="right"/>
              <w:ind w:right="134"/>
              <w:spacing w:after="0"/>
              <w:rPr>
                <w:sz w:val="20"/>
                <w:szCs w:val="20"/>
                <w:color w:val="auto"/>
              </w:rPr>
            </w:pPr>
            <w:r>
              <w:rPr>
                <w:rFonts w:ascii="Arial" w:cs="Arial" w:eastAsia="Arial" w:hAnsi="Arial"/>
                <w:sz w:val="16"/>
                <w:szCs w:val="16"/>
                <w:b w:val="1"/>
                <w:bCs w:val="1"/>
                <w:color w:val="auto"/>
                <w:w w:val="96"/>
              </w:rPr>
              <w:t>(in thousands, except for percentages)</w:t>
            </w:r>
          </w:p>
        </w:tc>
        <w:tc>
          <w:tcPr>
            <w:tcW w:w="1620" w:type="dxa"/>
            <w:vAlign w:val="bottom"/>
          </w:tcPr>
          <w:p>
            <w:pPr>
              <w:spacing w:after="0"/>
              <w:rPr>
                <w:sz w:val="18"/>
                <w:szCs w:val="18"/>
                <w:color w:val="auto"/>
              </w:rPr>
            </w:pPr>
          </w:p>
        </w:tc>
      </w:tr>
      <w:tr>
        <w:trPr>
          <w:trHeight w:val="232"/>
        </w:trPr>
        <w:tc>
          <w:tcPr>
            <w:tcW w:w="4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 income</w:t>
            </w: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62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1"/>
              </w:rPr>
              <w:t>(50)%</w:t>
            </w:r>
          </w:p>
        </w:tc>
      </w:tr>
      <w:tr>
        <w:trPr>
          <w:trHeight w:val="230"/>
        </w:trPr>
        <w:tc>
          <w:tcPr>
            <w:tcW w:w="4820" w:type="dxa"/>
            <w:vAlign w:val="bottom"/>
          </w:tcPr>
          <w:p>
            <w:pPr>
              <w:ind w:left="60"/>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(5,016)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(3,706)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(1,310)</w:t>
            </w:r>
          </w:p>
        </w:tc>
        <w:tc>
          <w:tcPr>
            <w:tcW w:w="1620" w:type="dxa"/>
            <w:vAlign w:val="bottom"/>
          </w:tcPr>
          <w:p>
            <w:pPr>
              <w:jc w:val="center"/>
              <w:ind w:left="14"/>
              <w:spacing w:after="0"/>
              <w:rPr>
                <w:sz w:val="20"/>
                <w:szCs w:val="20"/>
                <w:color w:val="auto"/>
              </w:rPr>
            </w:pPr>
            <w:r>
              <w:rPr>
                <w:rFonts w:ascii="Arial" w:cs="Arial" w:eastAsia="Arial" w:hAnsi="Arial"/>
                <w:sz w:val="18"/>
                <w:szCs w:val="18"/>
                <w:color w:val="auto"/>
                <w:w w:val="88"/>
              </w:rPr>
              <w:t>35%</w:t>
            </w:r>
          </w:p>
        </w:tc>
      </w:tr>
      <w:tr>
        <w:trPr>
          <w:trHeight w:val="230"/>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2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1"/>
              </w:rPr>
              <w:t>(81)%</w:t>
            </w:r>
          </w:p>
        </w:tc>
      </w:tr>
      <w:tr>
        <w:trPr>
          <w:trHeight w:val="223"/>
        </w:trPr>
        <w:tc>
          <w:tcPr>
            <w:tcW w:w="4820" w:type="dxa"/>
            <w:vAlign w:val="bottom"/>
          </w:tcPr>
          <w:p>
            <w:pPr>
              <w:ind w:left="60"/>
              <w:spacing w:after="0"/>
              <w:rPr>
                <w:sz w:val="20"/>
                <w:szCs w:val="20"/>
                <w:color w:val="auto"/>
              </w:rPr>
            </w:pPr>
            <w:r>
              <w:rPr>
                <w:rFonts w:ascii="Arial" w:cs="Arial" w:eastAsia="Arial" w:hAnsi="Arial"/>
                <w:sz w:val="18"/>
                <w:szCs w:val="18"/>
                <w:color w:val="auto"/>
              </w:rPr>
              <w:t>Total interest and other expense, net</w:t>
            </w:r>
          </w:p>
        </w:tc>
        <w:tc>
          <w:tcPr>
            <w:tcW w:w="90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(4,022)</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(1,787)</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125%</w:t>
            </w:r>
          </w:p>
        </w:tc>
      </w:tr>
      <w:tr>
        <w:trPr>
          <w:trHeight w:val="20"/>
        </w:trPr>
        <w:tc>
          <w:tcPr>
            <w:tcW w:w="4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45"/>
        <w:spacing w:after="0" w:line="308"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The decrease in interest income for the nine months ended September 30, 2020 as compared to the nine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2019 was mainly due to lower interest earned on our investments in marketable securities, primarily as a result of lower interest rates.</w:t>
      </w:r>
    </w:p>
    <w:p>
      <w:pPr>
        <w:spacing w:after="0" w:line="14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The increase in interest expense for the nine months ended September 30, 2020 as compared to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2019 was mainly due to the loss on extinguishment of Pharmakon Term Loan of $1.5 million, partly offset by lower interest associated with the Solar Term Loan.</w:t>
      </w:r>
    </w:p>
    <w:p>
      <w:pPr>
        <w:spacing w:after="0" w:line="18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decreased for the nine months ended September 30, 2020 as compared to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2019 due to lower net foreign currency losses.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As of September 30, 2020, we had cash and marketable securities of $132.0 million compared to $93.1 million as of December 31, 2019. We have financed our operations through our public offerings, debt financing arrangements, and the sale of our products. In October 2020, we received proceeds of $71.9 million after deducting underwriting discounts and commissions but before offering costs, from the sale of common stock in our second follow-on offering. As of September 30, 2020 and December 31, 2019, we had $39.4 million and $39.2 million outstanding debt, respectively.</w:t>
      </w:r>
    </w:p>
    <w:p>
      <w:pPr>
        <w:spacing w:after="0" w:line="17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of September 30, 2020, we had an accumulated deficit of $230.3 million. During the nine months ended September 30, 2020, we incurred a net loss of $34.7 million. During the years ended December 31, 2019 and 2018, we incurred a net loss of $38.4 million and $17.5 million, respectively, and expect to incur additional losses in the future. We have not achieved positive cash flow from operations to date.</w:t>
      </w:r>
    </w:p>
    <w:p>
      <w:pPr>
        <w:spacing w:after="0" w:line="184"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6"/>
          <w:szCs w:val="16"/>
          <w:color w:val="auto"/>
        </w:rPr>
        <w:t>Based upon our current operating plan, we believe that our existing cash and marketable securities will enable us to fund our operating expenses and capital expenditure requirements through at least the next 12 months. However, the economic impact of the duration and severity of the COVID-19 pandemic, and our responses thereto (including such actions we have taken or may take in the future as disclosed elsewhere in this Report) pose risks and uncertainties in our future available capital resources. Further, we may face challenges and uncertainties and, as a result, our available capital resources may be consumed more rapidly than currently expected due to, but not limited to, the following as a result of the COVID-19 pandemic or otherwise:</w:t>
      </w:r>
    </w:p>
    <w:p>
      <w:pPr>
        <w:spacing w:after="0" w:line="2" w:lineRule="exact"/>
        <w:rPr>
          <w:sz w:val="20"/>
          <w:szCs w:val="20"/>
          <w:color w:val="auto"/>
        </w:rPr>
      </w:pPr>
    </w:p>
    <w:p>
      <w:pPr>
        <w:jc w:val="both"/>
        <w:ind w:firstLine="8"/>
        <w:spacing w:after="0" w:line="302" w:lineRule="auto"/>
        <w:tabs>
          <w:tab w:leader="none" w:pos="266"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decreases in sales of our products and the uncertainty of future revenues from new products; (b) changes we may make to the business that affect ongoing operating expenses; (c) changes we may make in our business strategy; (d) regulatory developments affecting our existing products; (e) changes we may make in our research and development spending plans; and (f) other items affecting our forecasted level of expenditures and use of cash resources.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The outstanding debt as of September 30, 2020 is related to a term loan pursuant to the Loan and Security Agreement dated May 29, 2020, entered into by us with Solar Capital Partners (“Solar”). Pursuant to the Loan and Security Agreement, Solar provided an aggregate principal amount of $40.0 million term loan to us (the “Solar Term Loan”). Prior to Solar Term Loan, our outstanding debt was related to a $40.0 million Term Loan with Biopharma Credit Investments IV Sub LP (“Pharmakon”) entered in October 2017 (the “Pharmakon Term Loan”). In accordance with the Loan and Security Agreement, we paid in full and terminated the Pharmakon Term Loan, which we accounted for as debt extinguishment in accordance with the accounting standards. As of September 30, 2020 and December 31, 2019, there was no amount available that could be borrowed under the credit facilities.</w:t>
      </w:r>
    </w:p>
    <w:p>
      <w:pPr>
        <w:spacing w:after="0" w:line="164" w:lineRule="exact"/>
        <w:rPr>
          <w:sz w:val="20"/>
          <w:szCs w:val="20"/>
          <w:color w:val="auto"/>
        </w:rPr>
      </w:pPr>
    </w:p>
    <w:p>
      <w:pPr>
        <w:jc w:val="both"/>
        <w:ind w:right="20" w:firstLine="486"/>
        <w:spacing w:after="0" w:line="294" w:lineRule="auto"/>
        <w:rPr>
          <w:sz w:val="20"/>
          <w:szCs w:val="20"/>
          <w:color w:val="auto"/>
        </w:rPr>
      </w:pPr>
      <w:r>
        <w:rPr>
          <w:rFonts w:ascii="Arial" w:cs="Arial" w:eastAsia="Arial" w:hAnsi="Arial"/>
          <w:sz w:val="16"/>
          <w:szCs w:val="16"/>
          <w:color w:val="auto"/>
        </w:rPr>
        <w:t>The Pharmakon Term Loan included an interest-only period for 35 months through September 2020 and equal quarterly principal payments plus interest through December 2022. The Pharmakon Term Loan carried a fixed interest rate of 11.5% and allowed for early prepayment. The prepayment penalty was equal to the remaining interest due if prepaid within the first 30 months, a 2% penalty for months 31-48, and a 1% penalty for months 49-60.</w:t>
      </w:r>
    </w:p>
    <w:p>
      <w:pPr>
        <w:spacing w:after="0" w:line="1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7"/>
          <w:szCs w:val="17"/>
          <w:color w:val="auto"/>
        </w:rPr>
        <w:t>The Solar Term Loan bears interest at a rate per annum equal to 9.40% plus London Interbank Offered Rate (“LIBOR”), payable monthly in arrears. LIBOR means the greater of (i) 0.33% or (ii) one-month LIBOR (or a comparable replacement rate to be determined by the collateral agent if the LIBOR is no longer available), which rate shall reset monthly. The Solar Term Loan matures in 60 months on June 1, 2025 (“Maturity Date”), with an interest-only period of 36 months through June 2023, and then repaid in equal monthly principal payments plus interest through maturity date. Pursuant to the Loan and Security Agreement, we may voluntarily prepay the Solar Term Loan, in full or in part, in increments of $10.0 million, for a prepayment premium in an amount equal to 3.0% of the principal if prepaid in year one, 1.25% of the principal if prepaid in year two, and 0.50% of the principal if prepaid if prepaid in year three or later. The prepayment premium will be waived if we voluntarily prepay and refinance the outstanding balance with Solar. The Solar Term Loan is secured by substantially all of our assets. We are also obligated to pay a final fee equal to $1.0 million or 2.5% of the aggregate principal amount of the Solar Term Loan. This final fee shall be due and payable on the earliest of (i) the maturity date, (ii) the acceleration of the loan balance, or (iii) the full prepayment, refinancing, substitution or replacement of Solar Term Loan. The final fee was included within the long-term borrowings and is accreted to interest expense using straight-line method over the life of the term loan.</w:t>
      </w:r>
    </w:p>
    <w:p>
      <w:pPr>
        <w:spacing w:after="0" w:line="213" w:lineRule="exact"/>
        <w:rPr>
          <w:sz w:val="20"/>
          <w:szCs w:val="20"/>
          <w:color w:val="auto"/>
        </w:rPr>
      </w:pPr>
    </w:p>
    <w:p>
      <w:pPr>
        <w:jc w:val="both"/>
        <w:ind w:firstLine="486"/>
        <w:spacing w:after="0" w:line="274" w:lineRule="auto"/>
        <w:rPr>
          <w:sz w:val="20"/>
          <w:szCs w:val="20"/>
          <w:color w:val="auto"/>
        </w:rPr>
      </w:pPr>
      <w:r>
        <w:rPr>
          <w:rFonts w:ascii="Arial" w:cs="Arial" w:eastAsia="Arial" w:hAnsi="Arial"/>
          <w:sz w:val="16"/>
          <w:szCs w:val="16"/>
          <w:color w:val="auto"/>
        </w:rPr>
        <w:t>In July 2017, the head of the United Kingdom Financial Conduct Authority announced the desire to phase out the use of LIBOR by the end of 2021. In addition, the U.S. Federal Reserve, in conjunction with the Alternative Reference Rates Committee, a steering committee composed of large U.S. financial institutions, is considering replacing U.S. dollar LIBOR with the Secured Overnight Financing Rate (“SOFR”), a new index calculated by short-term repurchase agreements, backed by Treasury securities. Although there have been a few issuances utilizing SOFR or the Sterling Over Night Index Average, an alternative reference rate that is based on transactions, it is unknown whether these alternative reference rates will attain market acceptance as replacements for LIBOR. There is currently no definitive information regarding the future utilization of LIBOR or of any particular replacement rate. As such, the potential effect of any replacement of the LIBOR could have on our business and financial condition cannot yet be determined.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jc w:val="both"/>
        <w:ind w:firstLine="445"/>
        <w:spacing w:after="0" w:line="271" w:lineRule="auto"/>
        <w:rPr>
          <w:sz w:val="20"/>
          <w:szCs w:val="20"/>
          <w:color w:val="auto"/>
        </w:rPr>
      </w:pPr>
      <w:r>
        <w:rPr>
          <w:rFonts w:ascii="Arial" w:cs="Arial" w:eastAsia="Arial" w:hAnsi="Arial"/>
          <w:sz w:val="16"/>
          <w:szCs w:val="16"/>
          <w:color w:val="auto"/>
        </w:rPr>
        <w:t>Subject to other customary covenants set forth in the Loan and Security Agreement, we are required to maintain unrestricted cash and cash equivalents based on the trailing 12-month net products revenues tested on a monthly basis as follows: (a) $15.0 million if net product revenue is less than $75.0 million; or (b) $7.5 million if net product revenue is greater than or equal to $75.0 million, but less than $100.0 million (the “minimum liquidity requirement”). We are not subject to minimum liquidity requirement when trailing twelve-month net product revenues exceed $100.0 million. Upon the occurrence of an event of default of certain customary covenants, including the minimum liquidity requirement, as specified in the Loan and Security Agreement, subject to specified cure periods, all amounts owed by us would begin to bear interest at a rate that is 5.0% above the rate effective immediately before the event of default and may be declared immediately due and payable by Solar. As of September 30, 2020, we were in compliance with all debt covenants. Though there are uncertainties surrounding the impact of the COVID -19 pandemic that may impact our future revenue, we believe that we have sufficient cash and cash equivalents to meet the minimum liquidity requirements in the foreseeable succeeding periods.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contractual obligations as of September 30, 2020:</w:t>
      </w:r>
    </w:p>
    <w:p>
      <w:pPr>
        <w:spacing w:after="0" w:line="388" w:lineRule="exact"/>
        <w:rPr>
          <w:sz w:val="20"/>
          <w:szCs w:val="20"/>
          <w:color w:val="auto"/>
        </w:rPr>
      </w:pPr>
    </w:p>
    <w:tbl>
      <w:tblPr>
        <w:tblLayout w:type="fixed"/>
        <w:tblInd w:w="240" w:type="dxa"/>
        <w:tblCellMar>
          <w:top w:w="0" w:type="dxa"/>
          <w:left w:w="0" w:type="dxa"/>
          <w:bottom w:w="0" w:type="dxa"/>
          <w:right w:w="0" w:type="dxa"/>
        </w:tblCellMar>
      </w:tblPr>
      <w:tr>
        <w:trPr>
          <w:trHeight w:val="213"/>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Payments Due By Period</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88"/>
              </w:rPr>
              <w:t>Less than 1</w:t>
            </w:r>
          </w:p>
        </w:tc>
        <w:tc>
          <w:tcPr>
            <w:tcW w:w="120" w:type="dxa"/>
            <w:vAlign w:val="bottom"/>
          </w:tcPr>
          <w:p>
            <w:pPr>
              <w:spacing w:after="0"/>
              <w:rPr>
                <w:sz w:val="13"/>
                <w:szCs w:val="13"/>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2"/>
              </w:rPr>
              <w:t>1-3 years</w:t>
            </w:r>
          </w:p>
        </w:tc>
        <w:tc>
          <w:tcPr>
            <w:tcW w:w="200" w:type="dxa"/>
            <w:vAlign w:val="bottom"/>
          </w:tcPr>
          <w:p>
            <w:pPr>
              <w:spacing w:after="0"/>
              <w:rPr>
                <w:sz w:val="13"/>
                <w:szCs w:val="13"/>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4-5 years</w:t>
            </w:r>
          </w:p>
        </w:tc>
        <w:tc>
          <w:tcPr>
            <w:tcW w:w="140" w:type="dxa"/>
            <w:vAlign w:val="bottom"/>
          </w:tcPr>
          <w:p>
            <w:pPr>
              <w:spacing w:after="0"/>
              <w:rPr>
                <w:sz w:val="13"/>
                <w:szCs w:val="13"/>
                <w:color w:val="auto"/>
              </w:rPr>
            </w:pPr>
          </w:p>
        </w:tc>
        <w:tc>
          <w:tcPr>
            <w:tcW w:w="1040" w:type="dxa"/>
            <w:vAlign w:val="bottom"/>
          </w:tcPr>
          <w:p>
            <w:pPr>
              <w:jc w:val="right"/>
              <w:ind w:right="93"/>
              <w:spacing w:after="0" w:line="158" w:lineRule="exact"/>
              <w:rPr>
                <w:sz w:val="20"/>
                <w:szCs w:val="20"/>
                <w:color w:val="auto"/>
              </w:rPr>
            </w:pPr>
            <w:r>
              <w:rPr>
                <w:rFonts w:ascii="Arial" w:cs="Arial" w:eastAsia="Arial" w:hAnsi="Arial"/>
                <w:sz w:val="16"/>
                <w:szCs w:val="16"/>
                <w:b w:val="1"/>
                <w:bCs w:val="1"/>
                <w:color w:val="auto"/>
                <w:w w:val="93"/>
              </w:rPr>
              <w:t>More than 5</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1"/>
              </w:rPr>
              <w:t>year</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(in thousands)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 xml:space="preserve">Principal obligations and final fee on long-term debt </w:t>
            </w:r>
            <w:r>
              <w:rPr>
                <w:rFonts w:ascii="Arial" w:cs="Arial" w:eastAsia="Arial" w:hAnsi="Arial"/>
                <w:sz w:val="14"/>
                <w:szCs w:val="14"/>
                <w:color w:val="auto"/>
                <w:w w:val="99"/>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9,333</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14"/>
                <w:szCs w:val="14"/>
                <w:color w:val="auto"/>
              </w:rPr>
              <w:t>(2)</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7,892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5,550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38,967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7316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480" w:hanging="310"/>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the principal obligations and the final fee at maturities of our Solar Term Loan.</w:t>
      </w:r>
    </w:p>
    <w:p>
      <w:pPr>
        <w:spacing w:after="0" w:line="13" w:lineRule="exact"/>
        <w:rPr>
          <w:rFonts w:ascii="Arial" w:cs="Arial" w:eastAsia="Arial" w:hAnsi="Arial"/>
          <w:sz w:val="14"/>
          <w:szCs w:val="14"/>
          <w:color w:val="auto"/>
        </w:rPr>
      </w:pPr>
    </w:p>
    <w:p>
      <w:pPr>
        <w:ind w:left="480" w:hanging="310"/>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the future interest obligations on our Solar Term Loan estimated using the fixed interest rate of 9.40% plus LIBOR held constant as of September 30, 2020.</w:t>
      </w:r>
    </w:p>
    <w:p>
      <w:pPr>
        <w:spacing w:after="0" w:line="2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This compared to $54.9 million of contractual obligations as of December 31,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5" w:name="page36"/>
    <w:bookmarkEnd w:id="35"/>
    <w:p>
      <w:pPr>
        <w:ind w:left="4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26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gridSpan w:val="5"/>
          </w:tcPr>
          <w:p>
            <w:pPr>
              <w:ind w:left="120"/>
              <w:spacing w:after="0"/>
              <w:rPr>
                <w:sz w:val="20"/>
                <w:szCs w:val="20"/>
                <w:color w:val="auto"/>
              </w:rPr>
            </w:pPr>
            <w:r>
              <w:rPr>
                <w:rFonts w:ascii="Arial" w:cs="Arial" w:eastAsia="Arial" w:hAnsi="Arial"/>
                <w:sz w:val="16"/>
                <w:szCs w:val="16"/>
                <w:b w:val="1"/>
                <w:bCs w:val="1"/>
                <w:color w:val="auto"/>
              </w:rPr>
              <w:t>Nine Months Ended September 30,</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57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 Change</w:t>
            </w:r>
          </w:p>
        </w:tc>
      </w:tr>
      <w:tr>
        <w:trPr>
          <w:trHeight w:val="215"/>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9"/>
        </w:trPr>
        <w:tc>
          <w:tcPr>
            <w:tcW w:w="57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(3,013)</w:t>
            </w:r>
          </w:p>
        </w:tc>
      </w:tr>
      <w:tr>
        <w:trPr>
          <w:trHeight w:val="230"/>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61,127</w:t>
            </w:r>
          </w:p>
        </w:tc>
      </w:tr>
      <w:tr>
        <w:trPr>
          <w:trHeight w:val="229"/>
        </w:trPr>
        <w:tc>
          <w:tcPr>
            <w:tcW w:w="5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Effects of exchange rate changes on cash and cash equivalents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248"/>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58,067</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Used in Operating Activities</w:t>
      </w:r>
    </w:p>
    <w:p>
      <w:pPr>
        <w:spacing w:after="0" w:line="17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Net cash used in operating activities for the nine months ended September 30, 2020 of $22.8 million resulted from cash outflows due to a net loss of $34.7 million, adjusted for $11.7 million of non-cash items, partly offset by cash inflows from changes in operating assets and liabilities of $0.2 million. Net cash used in operating activities for the nine months ended September 30, 2019 of $22.6 million resulted from cash outflows due to a net loss of $29.3 million, adjusted for $5.2 million of non-cash items, and cash inflows from changes in operating assets and liabilities of $1.5 million. The decrease in net loss, net of non-cash items for the nine months ended September 30, 2020 compared to the nine months ended September 30, 2019 was mainly due to the increase in revenue and decreases of certain expenses primarily due to the timing of accrual for litigation expense, and the result of actions taken to reduce discretionary spending in response to COVID-19, partly offset higher operating expenses from the growth of the business. Cash inflows from changes in operating assets and liabilities for the nine months ended September 30, 2020 were primarily due to timing of prepayments of certain expenses, lower accounts receivable due to the timing of collections and lower inventory due to the timing of inventory build-up, partly offset by cash outflows due to decreases in operating liabilities due to timing of payments. Cash inflows from changes in operating assets and liabilities for the nine months ended September 30, 2019 were primarily due to increased operating liabilities due to timing of payments, partly offset by increases in inventory and accounts receivable as a result of increased case volumes and growth of the business.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Provided by Investing Activities</w:t>
      </w:r>
    </w:p>
    <w:p>
      <w:pPr>
        <w:spacing w:after="0" w:line="17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Net cash provided by investing activities in the nine months ended September 30, 2020 was $4.9 million compared to $7.9 million in the nine months ended September 30, 2019. Net cash provided by investing activities for the nine months ended September 30, 2020 consisted of maturities and sales of our marketable securities, net of purchases of $6.6 million, partially offset by purchases of property and equipment of $1.7 million. Net cash provided by investing activities for the nine months ended September 30, 2019 consisted of maturities of our marketable securities, net of purchases of $9.6 million, partially offset by purchases of property and equipment of $1.6 million.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7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Cash provided by financing activities in the nine months ended September 30, 2020 was $63.4 million compared to $2.2 million in the nine months ended September 30, 2019. The difference was primarily due to the receipt of the proceeds, net of underwriting discounts, commissions and offering costs of $63.0 million from our follow-on public offering during the first quarter of 2020. Cash provided by financing activities in the nine months ended September 30, 2020 also include proceeds from the issuance of common stock under our stock-based incentive compensation plans of $2.0 million, partly offset by payments associated with refinancing of our debt of $1.6 million. This compares to the cash provided by financing activities for the nine months ended September 30, 2019 which consisted of proceeds from the issuance of common stock under our stock-based incentive compensation plans of $2.4 million, partly offset by payments of additional IPO related costs of $0.2 million.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6" w:name="page37"/>
    <w:bookmarkEnd w:id="36"/>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29"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w:t>
      </w:r>
    </w:p>
    <w:p>
      <w:pPr>
        <w:spacing w:after="0" w:line="164"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Our critical accounting policies and estimates are described in “Management's Discussion and Analysis of Financial Condition and Results of Operations - Critical Accounting Policies and Estimates” in our Annual Report on Form 10-K filed with the SEC on March 11, 2020. There had been no material changes to these accounting policies. See Note 2 of Notes to Condensed Consolidated Financial Statements (Unaudited) for related discussions on updates on recently issued accounting pronouncements.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effect on our financial condition, results of operations, liquidity, capital expenditures or capital resources that is material to investors.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April 2012, the JOBS Act was enacted. Section 107(b)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this exemption and, therefore, are not be subject to the same new or revised accounting standards as other public companies that are not emerging growth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See Note 2 of Notes to Condensed Consolidated Financial Statements (Unaudited) for related discussions on updates on recently issued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a “smaller reporting company,” we are not required to provide the information otherwise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pursuant to the Securities and Exchange Act of 1934, as amended (the “Exchange Act”), is recorded, processed, summarized and reported within the time periods specified in the rules and forms of the Securities and Exchange Commission, and that such information is accumulated and communicated to our management, including our Chief Executive Officer (“CEO”) and Chief Operating Officer and Chief Financial Officer (“COO/CFO”),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jc w:val="both"/>
        <w:ind w:firstLine="486"/>
        <w:spacing w:after="0" w:line="254"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that such improvements will be sufficient to provide us with effective internal control over financial reporting.</w:t>
      </w:r>
    </w:p>
    <w:p>
      <w:pPr>
        <w:spacing w:after="0" w:line="19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Management, with the participation of the CEO and COO/CFO, evaluated the effectiveness of the design and operation of our disclosure controls and procedures as defined in Rules 13a-15(e) and 15d-15(e) of the Exchange Act as of the end of the period covered by this report. Based on this evaluation, our CEO and COO/CFO have concluded that, as of September 30, 2020, our disclosure controls and procedures were effective at the reasonable assurances level.</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2020, that have materially affected, or are reasonably likely to materially affect, our internal control over financial reporting. In response to the COVID-19 pandemic, certain of our employees still continued to work remotely during the quarter. Management took measures to ensure that our internal control over financial reporting remained unchanged during this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 xml:space="preserve">For information regarding legal proceedings, refer to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in “Note 6 </w:t>
      </w:r>
      <w:r>
        <w:rPr>
          <w:rFonts w:ascii="Arial" w:cs="Arial" w:eastAsia="Arial" w:hAnsi="Arial"/>
          <w:sz w:val="18"/>
          <w:szCs w:val="18"/>
          <w:i w:val="1"/>
          <w:iCs w:val="1"/>
          <w:color w:val="auto"/>
        </w:rPr>
        <w:t>-</w:t>
      </w:r>
      <w:r>
        <w:rPr>
          <w:rFonts w:ascii="Arial" w:cs="Arial" w:eastAsia="Arial" w:hAnsi="Arial"/>
          <w:sz w:val="18"/>
          <w:szCs w:val="18"/>
          <w:color w:val="auto"/>
        </w:rPr>
        <w:t xml:space="preserve"> Commitments and Contingencies” in the accompanying Notes to Condensed Consolidated Financial Statements (Unaudited), which information is incorporated by reference here.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8" w:name="page39"/>
    <w:bookmarkEnd w:id="38"/>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6"/>
          <w:szCs w:val="16"/>
          <w:i w:val="1"/>
          <w:iCs w:val="1"/>
          <w:color w:val="auto"/>
        </w:rPr>
        <w:t>Investing in our common stock involves a high degree of risk. Investors should carefully consider the risks described below, as well as the other information in this Quarterly Report on Form 10-Q, including our condensed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our stockholders may lose all or part of their investment. Additional risks and uncertainties not presently known to us or that we currently deem immaterial may also impair our business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1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we expect to continue to incur operating losses in the future, and we may not be able to achieve or sustain future profitability.</w:t>
      </w:r>
    </w:p>
    <w:p>
      <w:pPr>
        <w:spacing w:after="0" w:line="171"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We have incurred net losses since our inception in 2008. For the nine months ended September 30, 2020, we had a net loss of $34.7 million. For the years ended December 31, 2019 and 2018, we had net losses of $38.4 million and $17.5 million, respectively. As of September 30, 2020, we had an accumulated deficit of $230.3 million. We have financed our operations primarily through the net proceeds of our public offerings of our common stock,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and even if we are able to do so, our ability to do so has been delayed by the COVID-19 pandemic. Many restrictive measures put in place to deal with the COVID-19 outbreak have been lifted and as we are able to resume more normalized levels of operations, we expect that our operating expenses will continue to increase as we continue to build our commercial infrastructure, develop, enhance, and commercialize our existing and new products.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180"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7"/>
          <w:szCs w:val="17"/>
          <w:color w:val="auto"/>
        </w:rPr>
        <w:t>Our expected future capital requirements may depend on many factors including expanding our surgeon base, the expansion of our sales force, and the timing and extent of spending on the development of our technology to increase our product offerings. We may need additional funding to fund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 at all.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jc w:val="both"/>
        <w:ind w:firstLine="405"/>
        <w:spacing w:after="0" w:line="291" w:lineRule="auto"/>
        <w:rPr>
          <w:sz w:val="20"/>
          <w:szCs w:val="20"/>
          <w:color w:val="auto"/>
        </w:rPr>
      </w:pPr>
      <w:r>
        <w:rPr>
          <w:rFonts w:ascii="Arial" w:cs="Arial" w:eastAsia="Arial" w:hAnsi="Arial"/>
          <w:sz w:val="17"/>
          <w:szCs w:val="17"/>
          <w:b w:val="1"/>
          <w:bCs w:val="1"/>
          <w:i w:val="1"/>
          <w:iCs w:val="1"/>
          <w:color w:val="auto"/>
        </w:rPr>
        <w:t>Epidemic diseases, or the perception of their effects, have had and could have (or, in the case of the COVID-19 pandemic, will continue to have during its duration) a material adverse effect on our business, financial condition, results of operations, or cash flows.</w:t>
      </w:r>
    </w:p>
    <w:p>
      <w:pPr>
        <w:spacing w:after="0" w:line="147"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6"/>
          <w:szCs w:val="16"/>
          <w:color w:val="auto"/>
        </w:rPr>
        <w:t>Outbreaks of infectious diseases, such as COVID-19, and historically, the Ebola virus, Middle East Respiratory Syndrome, Severe Acute Respiratory Syndrome, or the H1N1 influenza virus, could divert medical resources and priorities towards the treatment of that disease. An outbreak of an infectious disease, or continued escalation of the outbreak of COVID-19 could also negatively affect hospital admission rates and the decision by patients to undergo elective surgery, which could decrease demand for procedures using our iFuse implants and cause other disruptions to our business. Business disruptions could include disruptions or restrictions on our ability to travel or to distribute our products, government orders suspending the performance of elective surgical procedures such as the iFuse procedure, inability of our customers to meet their financial commitments due to strain on the healthcare system, as well as temporary closures of our facilities or the facilities of our suppliers and their contract manufacturers, and a reduction in the business hours of hospitals and ambulatory surgery centers. Any disruption of our suppliers and their contract manufacturers or our customers would likely impact our sales and operating results. In addition, a significant outbreak of an infectious disease in the human population could result in a widespread health crisis that could adversely affect the economies and financial markets of many countries, resulting in an economic downturn that could affect demand for our products. Any of these events could negatively impact the number of procedures using our iFuse implants that are performed and have a material adverse effect on our business, financial condition, results of operations, or cash flows.</w:t>
      </w:r>
    </w:p>
    <w:p>
      <w:pPr>
        <w:spacing w:after="0" w:line="17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6"/>
          <w:szCs w:val="16"/>
          <w:color w:val="auto"/>
        </w:rPr>
        <w:t>To date, COVID-19 has had, and we expect will continue to have, an adverse impact on our operations as a result of preventive and precautionary measures that we, other businesses, health systems and governments are taking. Due to these impacts and measures, we have experienced and expect to continue to experience significant and unpredictable reductions in the demand for our products, negatively impacted hospital admission rates and the decision by patients to undergo elective surgery, each of which has decreased and may continue to impact the demand for procedures using our iFuse implants. These developments and effects are expected to continue and may also significantly affect our business across the U.S. and other countries where COVID-19 has spread and may continue to spread. There are numerous uncertainties associated with this COVID-19 outbreak, including the number of individuals who will become infected, whether vaccines or one or more therapies that mitigate the effect of the virus will be developed, and, if so, when such vaccines and/or therapies will be ready to be used, the extent of the protective and preventative measures that have been put in place by both governmental entities and other businesses and those that may be put in place in the future, whether the virus's impact will be seasonal, the effect that testing for COVID-19 and antibodies will enable relaxation of protective measures for a subset of the population, and numerous other uncertainties. We intend to continue to execute on our strategic plans and operational initiatives during the COVID-19 outbreak. However, the aforementioned uncertainties may result in delays or modifications to these plans and initiatives.</w:t>
      </w:r>
    </w:p>
    <w:p>
      <w:pPr>
        <w:spacing w:after="0" w:line="171"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Existing travel restrictions, and the risk that countries may continue to close borders, impose prolonged quarantines, and further restrict travel, limit our ability to reach surgeons with our goal of increasing surgeon activity by educating them to include the sacroiliac joint in their differential diagnosis of lower back pain and to regularly perform the iFuse procedure for patients for whom the procedure is indicated.</w:t>
      </w:r>
    </w:p>
    <w:p>
      <w:pPr>
        <w:spacing w:after="0" w:line="182"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In addition, the COVID-19 pandemic has adversely affected, and may continue to adversely affect, the economies and financial markets of many countries, which may result in a period of regional, national, and global economic slowdown or regional, national, or global recessions that could curtail or delay spending by hospitals and affect demand for our products as well as increased risk of customer defaults or delays in payments. These market disruptions could impair our ability to raise capital, should our business experience a prolonged period of reduced revenue requiring additional capital to sustain the business. COVID-19 and the current financial, economic, and capital markets environment, and future developments in these and other areas present material uncertainty and risk with respect to our performance, financial condition, results of operations, and cash flows. Due to the uncertain scope and duration of the pandemic and uncertain timing of global recovery and economic normalization, we are unable to estimate the long-term impacts on our operations and financial results.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existence and further duration of the COVID-19 pandemic may also further exacerbate certain of the risks described below.</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0" w:name="page41"/>
    <w:bookmarkEnd w:id="40"/>
    <w:p>
      <w:pPr>
        <w:jc w:val="both"/>
        <w:spacing w:after="0" w:line="324" w:lineRule="auto"/>
        <w:rPr>
          <w:sz w:val="20"/>
          <w:szCs w:val="20"/>
          <w:color w:val="auto"/>
        </w:rPr>
      </w:pPr>
      <w:r>
        <w:rPr>
          <w:rFonts w:ascii="Arial" w:cs="Arial" w:eastAsia="Arial" w:hAnsi="Arial"/>
          <w:sz w:val="16"/>
          <w:szCs w:val="16"/>
          <w:b w:val="1"/>
          <w:bCs w:val="1"/>
          <w:i w:val="1"/>
          <w:iCs w:val="1"/>
          <w:color w:val="auto"/>
        </w:rPr>
        <w:t>If hospitals, surgeons, and other healthcare providers are unable to obtain coverage and reimbursement from third-party payors for procedures performed using our products, adoption of our products may be delayed, and it is unlikely that they will gain further acceptance.</w:t>
      </w:r>
    </w:p>
    <w:p>
      <w:pPr>
        <w:spacing w:after="0" w:line="124"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w:t>
      </w:r>
    </w:p>
    <w:p>
      <w:pPr>
        <w:spacing w:after="0" w:line="188" w:lineRule="exact"/>
        <w:rPr>
          <w:sz w:val="20"/>
          <w:szCs w:val="20"/>
          <w:color w:val="auto"/>
        </w:rPr>
      </w:pPr>
    </w:p>
    <w:p>
      <w:pPr>
        <w:jc w:val="both"/>
        <w:ind w:firstLine="405"/>
        <w:spacing w:after="0" w:line="239" w:lineRule="auto"/>
        <w:rPr>
          <w:sz w:val="20"/>
          <w:szCs w:val="20"/>
          <w:color w:val="auto"/>
        </w:rPr>
      </w:pPr>
      <w:r>
        <w:rPr>
          <w:rFonts w:ascii="Arial" w:cs="Arial" w:eastAsia="Arial" w:hAnsi="Arial"/>
          <w:sz w:val="18"/>
          <w:szCs w:val="18"/>
          <w:color w:val="auto"/>
        </w:rPr>
        <w:t>Adequate coverage and reimbursement for procedures performed with our products is central to the acceptance of our current and future products. We may be unable to sell our products on a profitable basis if third-party payors deny coverage or reduce their current levels of payment, or if reimbursement levels are insufficient to support use of our products or compensate surgeons for their time spent diagnosing patients and performing procedures using our products. For example, our sales decreased significantly after minimally invasive sacroiliac joint fusion was assigned to a Category III Current Procedural Terminology (“CPT”) code effective July 1, 2013. After implementation of this Category III CPT Code, surgeons were no longer able to consistently obtain reimbursement for procedures performed using our products. However, effective January 1, 2015, minimally invasive sacroiliac joint fusion was assigned to a Category I CPT Code.</w:t>
      </w:r>
    </w:p>
    <w:p>
      <w:pPr>
        <w:spacing w:after="0" w:line="19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Many private payors refer to coverage decisions and payment amounts determined by the Centers for Medicare and Medicaid Services (“CMS”), which administers the Medicare program, as guidelines for setting their coverage and reimbursement policies. By December 31, 2016, all Medicare Administrative Contractors were regularly reimbursing for minimally invasive sacroiliac joint fusion. Private payors that do not follow the Medicare guidelines may adopt different coverage and reimbursement policies for procedures performed with our products. Private commercial payors have been slower to adopt positive coverage policies for minimally invasive sacroiliac joint fusion, and many private payors still have policies that treat the procedure as experimental or investigational and do not regularly reimburse for the procedure. Future action by CMS or third-party payors may further reduce the availability of payments to physicians, outpatient surgery centers, and/or hospitals for procedures using our products.</w:t>
      </w:r>
    </w:p>
    <w:p>
      <w:pPr>
        <w:spacing w:after="0" w:line="18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7"/>
          <w:szCs w:val="17"/>
          <w:color w:val="auto"/>
        </w:rPr>
        <w:t>The healthcare industry in the U.S.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chose to cover. For example, several Blue Cross Blue Shield payors have adopted policies that treat 3D-printed orthopedic implants that come in standard sizes, rather than customized to the patient’s anatomy, such as our iFuse-3D implant, as experimental and investigational and therefore not eligible for reimbursement. There can be no guarantee that we will be able to provide the scientific and clinical data necessary to overcome these policies. Such policies may contribute to a decrease in sales of our iFuse-3D implants.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spacing w:after="0" w:line="184"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 timely manner, if at all. Our failure to receive such approvals would negatively impact market acceptance of our products in the international markets in which those approvals are sought.</w:t>
      </w:r>
    </w:p>
    <w:p>
      <w:pPr>
        <w:spacing w:after="0" w:line="189" w:lineRule="exact"/>
        <w:rPr>
          <w:sz w:val="20"/>
          <w:szCs w:val="20"/>
          <w:color w:val="auto"/>
        </w:rPr>
      </w:pPr>
    </w:p>
    <w:p>
      <w:pPr>
        <w:ind w:right="660"/>
        <w:spacing w:after="0" w:line="291" w:lineRule="auto"/>
        <w:rPr>
          <w:sz w:val="20"/>
          <w:szCs w:val="20"/>
          <w:color w:val="auto"/>
        </w:rPr>
      </w:pPr>
      <w:r>
        <w:rPr>
          <w:rFonts w:ascii="Arial" w:cs="Arial" w:eastAsia="Arial" w:hAnsi="Arial"/>
          <w:sz w:val="17"/>
          <w:szCs w:val="17"/>
          <w:b w:val="1"/>
          <w:bCs w:val="1"/>
          <w:i w:val="1"/>
          <w:iCs w:val="1"/>
          <w:color w:val="auto"/>
        </w:rPr>
        <w:t>If the reimbursement provided by third-party payors to hospitals, surgeons, and other healthcare providers for procedures performed using our products is insufficient, adoption and use of our products and the prices paid for our implants may decline.</w:t>
      </w:r>
    </w:p>
    <w:p>
      <w:pPr>
        <w:spacing w:after="0" w:line="147"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When an iFuse procedure is performed, both the surgeon and the healthcare facility, either a hospital or ambulatory surgical center, submit claims for reimbursement to the healthcare payor. Generally, the facility obtains a lump sum payment, or facility fee, for minimally invasive sacroiliac joint fusions. Our products are purchased by the facility, along with other supplies used in the procedure. The facility must also pay for its own fixed costs of operation, including certain operating room personnel involved in the procedure. If these costs exceed the facility fee reimbursement, the facility’s managers may discourage or restrict surgeons from performing the procedure in the facility or using certain technologies, such as our iFuse implants, to perform the procedure.</w:t>
      </w:r>
    </w:p>
    <w:p>
      <w:pPr>
        <w:spacing w:after="0" w:line="189"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Effective January 1, 2020, the national average Medicare payment to hospital outpatient departments is $15,944 and the Medicare payment to an ambulatory surgery center for a sacroiliac joint fusion is $12,981. We believe that payments to facilities are generally adequate for these facilities to offer the iFuse procedure. However, there can be no guarantee that these facility fee payments will not decline in the future. The number of iFuse procedures performed and the prices paid for our implants may in the future decline if payments to facilities for minimally invasive sacroiliac joint fusions decline.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1" w:name="page42"/>
    <w:bookmarkEnd w:id="41"/>
    <w:p>
      <w:pPr>
        <w:jc w:val="both"/>
        <w:ind w:firstLine="405"/>
        <w:spacing w:after="0" w:line="274" w:lineRule="auto"/>
        <w:rPr>
          <w:sz w:val="20"/>
          <w:szCs w:val="20"/>
          <w:color w:val="auto"/>
        </w:rPr>
      </w:pPr>
      <w:r>
        <w:rPr>
          <w:rFonts w:ascii="Arial" w:cs="Arial" w:eastAsia="Arial" w:hAnsi="Arial"/>
          <w:sz w:val="16"/>
          <w:szCs w:val="16"/>
          <w:color w:val="auto"/>
        </w:rPr>
        <w:t>Surgeons are reimbursed separately for their professional time and effort to perform a surgical procedure. Prior to reassignment of minimally invasive sacroiliac joint fusion to a Category III CPT Code, the national average Medicare physician fee schedule payment to surgeons for CPT codes commonly used to submit claims for reimbursement for the iFuse procedure was approximately $1,000 and the procedure was commonly covered by both government and private commercial payors in the U.S. Effective January 1, 2020, the average Medicare payment for the Category I CPT code for minimally invasive SI joint fusion is $915. Many private payors set their payment amounts with reference to the Medicare payment, often approximately 10% to 33% higher than the Medicare payment for a procedure. For some governmental programs, such as Medicaid, coverage and reimbursement differ from state to state, and some state Medicaid programs may not pay an adequate amount for the procedures performed with our products, if any payment is made at all.</w:t>
      </w:r>
    </w:p>
    <w:p>
      <w:pPr>
        <w:spacing w:after="0" w:line="163"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6"/>
          <w:szCs w:val="16"/>
          <w:color w:val="auto"/>
        </w:rPr>
        <w:t>We believe that some surgeons may continue to view the Medicare and commercial reimbursement amounts as insufficient for the procedure, given the work effort involved with the procedure, including the time to diagnose the patient and obtain prior authorization from the patient’s health insurer if necessary. Many private payors require extensive documentation of a multi-step diagnosis before authorizing minimally invasive sacroiliac joint fusion for a patient. We believe that some private payors apply their own coverage policies and criteria inconsistently, and surgeons may not be able to consistently have minimally invasive sacroiliac fusions approved and covered. The perception by physicians that the reimbursement for minimally invasive sacroiliac joint fusion is insufficient to compensate them for the work required, including diagnosis, documentation, obtaining payor approval for the procedure, and burden on their office staff, may negatively affect the number of procedures performed and may therefore adversely affect our revenues.</w:t>
      </w:r>
    </w:p>
    <w:p>
      <w:pPr>
        <w:spacing w:after="0" w:line="163"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124"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As of September 30, 2020, 35 of the largest 65 U.S. payors that we track and target have issued positive coverage policies covering the patented triangular design of our iFuse implants and excluding coverage of other products that are intended to fuse the sacroiliac joint because of the clinical evidence supporting the use of iFuse and the lack of clinical evidence supporting the use of other products. Additionally, the public hospital system in France initiated coverage for iFuse exclusively beginning September 6, 2018. We believe that payors have adopted these exclusive coverage decisions due to the strength of our clinical evidence and in part due to recommendations of specialty benefit managers and healthcare technology assessment organizations. In 2018, AIM Specialty Health, Blue Cross Blue Shield Association Evidence Street, and eviCore Healthcare published positive coverage recommendations to their constituents and payor customers, recommending that iFuse be covered exclusively. Clinical trials of the type and size necessary to offer evidence of the safety and efficacy of competing products could be performed and could show that other products for sacroiliac joint fusion are as effective as, or more effective than, iFuse. Payors could also abandon their decisions to cover iFuse exclusively for other reasons. If healthcare payors covering a significant number of covered lives reverse their policies of covering minimally invasive sacroiliac joint fusion exclusively when performed with the iFuse system, sales of our iFuse implants could decline or fail to grow, which could adversely affect our business, results of operations and financial condition.</w:t>
      </w:r>
    </w:p>
    <w:p>
      <w:pPr>
        <w:spacing w:after="0" w:line="18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171"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7"/>
          <w:szCs w:val="17"/>
          <w:color w:val="auto"/>
        </w:rPr>
        <w:t>Surgeons, in consultation with their patients, play the primary role in determining the course of treatment and, ultimately, any product that will be used in treatment. In order for us to sell our iFuse system successfully, we must convince surgeons through education and training that treatment with iFuse is beneficial, safe, and cost-effective for patients as compared to our competitors’ products. If we are not successful in convincing surgeons of the merits of iFuse, their use of our products may decline, adversely affecting our revenues and profitability.</w:t>
      </w:r>
    </w:p>
    <w:p>
      <w:pPr>
        <w:spacing w:after="0" w:line="172"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Historically, most spine surgeons did not include an evaluation of the sacroiliac joint in their diagnostic work-up because they did not have an adequate surgical procedure to perform for patients diagnosed with sacroiliac joint dysfunction. As a result, some patients with lower back pain resulting from sacroiliac joint dysfunction have been misdiagnosed. We believe that educating surgeons and other healthcare professionals about the clinical merits and patient benefits of iFuse is an important element of building our business. If we fail to effectively educate surgeons and other medical professionals, they may not include a sacroiliac joint evaluation as part of their diagnosis and, as a result, those patients may continue to receive unnecessary surgical procedures or only non-surgical treatment.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Surgeons may also hesitate to change their medical treatment practices for other reasons, including the following:</w:t>
      </w:r>
    </w:p>
    <w:p>
      <w:pPr>
        <w:spacing w:after="0" w:line="212" w:lineRule="exact"/>
        <w:rPr>
          <w:sz w:val="20"/>
          <w:szCs w:val="20"/>
          <w:color w:val="auto"/>
        </w:rPr>
      </w:pPr>
    </w:p>
    <w:p>
      <w:pPr>
        <w:ind w:left="740" w:hanging="24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experience with minimally invasive procedures;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perceived liability risks generally associated with the use of new products and procedures;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the purchase of new products; and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2" w:name="page43"/>
    <w:bookmarkEnd w:id="42"/>
    <w:p>
      <w:pPr>
        <w:ind w:left="740" w:hanging="246"/>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 commitment that may be required for training.</w:t>
      </w:r>
    </w:p>
    <w:p>
      <w:pPr>
        <w:spacing w:after="0" w:line="212"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7"/>
          <w:szCs w:val="17"/>
          <w:color w:val="auto"/>
        </w:rPr>
        <w:t>Furthermore, we believe surgeons will not widely use iFuse unless they determine, based on experience, clinical data, and published peer-reviewed publications, that surgical intervention provides benefits or is an attractive alternative to non-surgical treatments of sacroiliac joint dysfunction. In addition, we believe support of our products relies heavily on long-term data showing their benefits. If we are unable to provide that data, surgeons may not use our products. In such circumstances, we may not achieve expected sales and may be unable to achieve profitability.</w:t>
      </w:r>
    </w:p>
    <w:p>
      <w:pPr>
        <w:spacing w:after="0" w:line="172"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Many patients with sacroiliac joint dysfunction are cared for by pain physicians, who are generally trained as anesthesiologists or physical medicine and rehabilitation specialists. Pain physicians often offer a variety of non-surgical and surgical interventions to sacroiliac joint dysfunction patients, including, but not limited to, steroid injections, radiofrequency ablation of the nerves serving the sacroiliac joint and implantation of neurostimulation devices and other products intended to treat the sacroiliac joint or the pain it can cause. Our professional education program seeks to teach pain physicians, and other health care providers, about the benefits of iFuse, in order to prompt these providers to refer their patients with sacroiliac joint dysfunction to surgeons who have been trained to perform the iFuse procedure. These providers may, however, prefer to continue to treat these patients with the interventions they offer. If we are unable to convince potential referring health care providers of the comparative benefits of iFuse, and we are therefore unable to prompt sufficient numbers of these providers to refer their patients with sacroiliac joint dysfunction for treatment by surgeons trained to perform the iFuse procedure, sales of our iFuse implants could decline or fail to grow, which could adversely affect our business, results of operations and financial condition.</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Surgeons and payors may not find our clinical evidence to be compelling, which could limit our sales and revenue, and on-going and future research may prove our products to be less safe and effective than currently thought.</w:t>
      </w:r>
    </w:p>
    <w:p>
      <w:pPr>
        <w:spacing w:after="0" w:line="171" w:lineRule="exact"/>
        <w:rPr>
          <w:sz w:val="20"/>
          <w:szCs w:val="20"/>
          <w:color w:val="auto"/>
        </w:rPr>
      </w:pPr>
    </w:p>
    <w:p>
      <w:pPr>
        <w:jc w:val="both"/>
        <w:ind w:firstLine="445"/>
        <w:spacing w:after="0" w:line="251" w:lineRule="auto"/>
        <w:rPr>
          <w:sz w:val="20"/>
          <w:szCs w:val="20"/>
          <w:color w:val="auto"/>
        </w:rPr>
      </w:pPr>
      <w:r>
        <w:rPr>
          <w:rFonts w:ascii="Arial" w:cs="Arial" w:eastAsia="Arial" w:hAnsi="Arial"/>
          <w:sz w:val="17"/>
          <w:szCs w:val="17"/>
          <w:color w:val="auto"/>
        </w:rPr>
        <w:t>The products we currently market in the U.S. have either received premarket clearance under Section 510(k) of the U.S. Federal Food, Drug, and Cosmetic Act (“FDCA”), or are exempt from premarket review. Those marketed in the European Union (“EU”), have been the subject of a CE Certificate of Conformity. The 510(k) clearance process of the U.S. Food and Drug Administration (“FDA”) requires us to document that our product is “substantially equivalent” to another 510(k)-cleared product. The 510(k) process is shorter and typically requires the submission of less supporting documentation than other FDA approval processes, such as a premarket approval, (“PMA”), and does not usually require pre-clinical or clinical studies. Additionally, to date, we have not been required to complete clinical studies in connection with the sale of our products outside the U.S. As a result, while there are a number of published studies relating to iFuse and minimally invasive sacroiliac joint surgery that support the safety and effectiveness of our products and the benefits they offer, our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 Moreover, if future results and experience indicate that our products cause unexpected or serious complications or other unforeseen negative effects, we could be subject to mandatory product recalls, suspension, or withdrawal of FDA clearance, and suspension, variation, or withdrawal of our CE Certificates of Conformity, significant legal liability or harm to our business reputation, which could have a material adverse effect on our results or operations and financial condition. Similar risks apply to product approvals and registrations in other countries outside the U.S. and the EU as well.</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Pricing pressure from our competitors, changes in third-party coverage and reimbursement, healthcare provider consolidation, payor consolidation and the proliferation of “physician-owned distributorships” may impact our ability to sell our product at prices necessary to support our current business strategies.</w:t>
      </w:r>
    </w:p>
    <w:p>
      <w:pPr>
        <w:spacing w:after="0" w:line="182"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If competitive forces drive down the prices we are able to charge for our product, our profit margins will shrink, which will adversely affect our ability to invest in and maintain and grow our market share. The sacroiliac joint fusion market has attracted numerous new companies and technologies. As a result of this increased competition, we believe there will be continuing increased pricing pressure, resulting in lower gross margins, with respect to our products.</w:t>
      </w:r>
    </w:p>
    <w:p>
      <w:pPr>
        <w:spacing w:after="0" w:line="188"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down and harm our ability to market and sell our products.</w:t>
      </w:r>
    </w:p>
    <w:p>
      <w:pPr>
        <w:spacing w:after="0" w:line="182"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6"/>
          <w:szCs w:val="16"/>
          <w:color w:val="auto"/>
        </w:rPr>
        <w:t>We are unable to predict what changes will be made to the reimbursement methodologies used by third-party payors. We cannot be certain that under current and future payment systems, in which healthcare providers may be reimbursed a set amount based on the type of procedure performed, such as those utilized by Medicare and in many privately managed care systems, the cost of our products will be justified and incorporated into the overall cost of the procedure. In addition, to the extent there is a shift from inpatient setting to outpatient settings, we may experience increased pricing pressure.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3" w:name="page44"/>
    <w:bookmarkEnd w:id="43"/>
    <w:p>
      <w:pPr>
        <w:jc w:val="both"/>
        <w:ind w:firstLine="445"/>
        <w:spacing w:after="0" w:line="252" w:lineRule="auto"/>
        <w:rPr>
          <w:sz w:val="20"/>
          <w:szCs w:val="20"/>
          <w:color w:val="auto"/>
        </w:rPr>
      </w:pPr>
      <w:r>
        <w:rPr>
          <w:rFonts w:ascii="Arial" w:cs="Arial" w:eastAsia="Arial" w:hAnsi="Arial"/>
          <w:sz w:val="17"/>
          <w:szCs w:val="17"/>
          <w:color w:val="auto"/>
        </w:rPr>
        <w:t>Consolidation in the healthcare industry, including both third-party payors and healthcare providers, could lead to demands for price concessions or to the exclusion of some suppliers from certain of our markets, which 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w:t>
      </w:r>
    </w:p>
    <w:p>
      <w:pPr>
        <w:spacing w:after="0" w:line="183"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7"/>
          <w:szCs w:val="17"/>
          <w:color w:val="auto"/>
        </w:rPr>
        <w:t>Physician-owned distributorships (“POD”), are medical device distributors that are owned, directly or indirectly, by physicians. These physicians profit from selling or arranging the sale of medical devices for use in procedures they perform on their own patients at hospitals that purchase the devices from the POD. We do not engage with PODs. The proliferation of PODs could result in increased pricing pressure on our products or harm our ability to sell our products to physicians who own or are affiliated with those distributorships and therefore choose to use competing products.</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COVID-19 pandemic will likely cause procedures to be shifted from the hospital environment to ambulatory surgical centers, or ASCs, where pressure on the prices of our products is generally more acute.</w:t>
      </w:r>
    </w:p>
    <w:p>
      <w:pPr>
        <w:spacing w:after="0" w:line="17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To protect health care professionals involved in surgical care and their patients, we anticipate that more outpatient eligible procedures will be performed in ASCs during the COVID-19 pandemic, and as its acuity declines and the healthcare system returns to a more normalized state. Since patients do not stay overnight in ASCs and COVID-19 patients would not otherwise be treated in ASCs, it is likely that the ASC will be viewed as a safer site of service for patients and health care providers, where the risk of transmission of the novel coronavirus can be more effectively controlled. Because ASC facility fee reimbursement is typically less than facility fee reimbursement for hospitals, we typically experience more pressure on the pricing of our products by ASCs than by hospitals, and the average price for which we sell our products to ASCs is less than the average prices we charge to hospitals. An accelerated shift of procedures using our products to ASCs as a result of the COVID-19 pandemic could adversely impact the average selling prices of our products and our revenues could suffer as a result.</w:t>
      </w:r>
    </w:p>
    <w:p>
      <w:pPr>
        <w:spacing w:after="0" w:line="18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operate in a very competitive business environment and if we are unable to compete successfully against our existing or potential competitors, our sales and operating results may be adversely affected.</w:t>
      </w:r>
    </w:p>
    <w:p>
      <w:pPr>
        <w:spacing w:after="0" w:line="171"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Our currently marketed products are, and any future products we commercialize will likely be, subject to intense competition. Our field is subject to rapid change and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safer, less invasive, and more effective than alternatives available for similar purposes as demonstrated in peer-reviewed clinical publications. Because of the size of the potential market, we anticipate that other companies will dedicate significant resources to developing competing products.</w:t>
      </w:r>
    </w:p>
    <w:p>
      <w:pPr>
        <w:spacing w:after="0" w:line="189"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7"/>
          <w:szCs w:val="17"/>
          <w:color w:val="auto"/>
        </w:rPr>
        <w:t>The number of competitors that we are aware of marketing sacroiliac joint fusion products in the U.S. has grown from zero to more than 20 since 2008. Some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Some of these companies sell a broad suite of products that can be used together in the operating room in order to facilitate surgery, such as surgical imaging, navigation and robotic systems, or a large number of implants intended to treat different conditions affecting the spine and pelvis. The ability of these competitors to sell these products together or as part of larger purchasing arrangements may put us at a disadvantage.</w:t>
      </w:r>
    </w:p>
    <w:p>
      <w:pPr>
        <w:spacing w:after="0" w:line="180" w:lineRule="exact"/>
        <w:rPr>
          <w:sz w:val="20"/>
          <w:szCs w:val="20"/>
          <w:color w:val="auto"/>
        </w:rPr>
      </w:pPr>
    </w:p>
    <w:p>
      <w:pPr>
        <w:jc w:val="both"/>
        <w:ind w:firstLine="445"/>
        <w:spacing w:after="0" w:line="239" w:lineRule="auto"/>
        <w:rPr>
          <w:sz w:val="20"/>
          <w:szCs w:val="20"/>
          <w:color w:val="auto"/>
        </w:rPr>
      </w:pPr>
      <w:r>
        <w:rPr>
          <w:rFonts w:ascii="Arial" w:cs="Arial" w:eastAsia="Arial" w:hAnsi="Arial"/>
          <w:sz w:val="18"/>
          <w:szCs w:val="18"/>
          <w:color w:val="auto"/>
        </w:rPr>
        <w:t>In the U.S., we believe that our primary competitors currently are Medtronic plc and Globus Medical, Inc. Our primary competitors in Europe are Globus Medical, Inc. and SIGNUS Medizintechnik GmbH. At any time, these or other industry participants may develop alternative treatments, products or procedures for the treatment of the sacroiliac joint that compete directly or indirectly with our products. The may also develop and patent processes or products earlier than we can, or obtain domestic and international regulatory clearances or approvals and CE Certificates of Conformity for competing products in the European Economic Area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4" w:name="page45"/>
    <w:bookmarkEnd w:id="44"/>
    <w:p>
      <w:pPr>
        <w:ind w:firstLine="445"/>
        <w:spacing w:after="0" w:line="261" w:lineRule="auto"/>
        <w:rPr>
          <w:sz w:val="20"/>
          <w:szCs w:val="20"/>
          <w:color w:val="auto"/>
        </w:rPr>
      </w:pPr>
      <w:r>
        <w:rPr>
          <w:rFonts w:ascii="Arial" w:cs="Arial" w:eastAsia="Arial" w:hAnsi="Arial"/>
          <w:sz w:val="18"/>
          <w:szCs w:val="18"/>
          <w:color w:val="auto"/>
        </w:rPr>
        <w:t>Some of our competitors are considerably larger than us, or are subsidiaries of larger companies. These competitors may enjoy several competitive advantages over us, including:</w:t>
      </w:r>
    </w:p>
    <w:p>
      <w:pPr>
        <w:spacing w:after="0" w:line="171" w:lineRule="exact"/>
        <w:rPr>
          <w:sz w:val="20"/>
          <w:szCs w:val="20"/>
          <w:color w:val="auto"/>
        </w:rPr>
      </w:pPr>
    </w:p>
    <w:p>
      <w:pPr>
        <w:ind w:left="740" w:hanging="246"/>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financial, human, and other resources for product research and development, sales and marketing, and legal matters;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established relationships with surgeons, hospitals, and other healthcare providers;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large and established sales and marketing and distribution networks;</w:t>
      </w:r>
    </w:p>
    <w:p>
      <w:pPr>
        <w:spacing w:after="0" w:line="211" w:lineRule="exact"/>
        <w:rPr>
          <w:rFonts w:ascii="Arial" w:cs="Arial" w:eastAsia="Arial" w:hAnsi="Arial"/>
          <w:sz w:val="18"/>
          <w:szCs w:val="18"/>
          <w:color w:val="auto"/>
        </w:rPr>
      </w:pPr>
    </w:p>
    <w:p>
      <w:pPr>
        <w:ind w:left="900" w:right="20" w:hanging="406"/>
        <w:spacing w:after="0" w:line="261" w:lineRule="auto"/>
        <w:tabs>
          <w:tab w:leader="none" w:pos="758"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experience in obtaining and maintaining domestic and international regulatory clearances or approvals, or CE Certificates of Conformity for products and product enhancements;</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more expansive portfolios of intellectual property rights;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ability to cross-sell their products or to incentivize hospitals or surgeons to use their products.</w:t>
      </w:r>
    </w:p>
    <w:p>
      <w:pPr>
        <w:spacing w:after="0" w:line="212"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current or planned future 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spacing w:after="0" w:line="189"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market share or product margins could decrease, thereby harming our business.</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currently manufacture and sell a single family of products focused on procedures, the goal of which is to stabilize and fuse the sacroiliac joint, which could negatively affect our operations and financial condition.</w:t>
      </w:r>
    </w:p>
    <w:p>
      <w:pPr>
        <w:spacing w:after="0" w:line="171"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We do not currently sell any product other than iFuse and related tools and instruments. Therefore, we are solely dependent on widespread market adoption of iFuse and we will continue to be dependent on the success of this single product family for some time. There can be no assurance that iFuse will maintain a substantial degree of market acceptance among surgeons, patients or healthcare providers. Our failure to successfully grow the market for iFuse and increase our share within that market or any other event impeding our ability to sell iFuse, could adversely affect our results of operations, financial condition and continuing operations.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If clinical experience with our iFuse Bedrock technique does not result in positive outcomes for patients, or if clinical trials involving the use of iFuse Bedrock fail to show meaningful patient benefit, sales of our iFuse implants could be adversely impacted.</w:t>
      </w:r>
    </w:p>
    <w:p>
      <w:pPr>
        <w:spacing w:after="0" w:line="147"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In November 2018, we introduced our iFuse Bedrock technique, in which spine surgeons place iFuse implants across the sacroiliac joint using a different surgical approach to treat sacroiliac joint dysfunction at the same time they are fusing multiple levels of the spine above and affixing those spinal fusion devices to the pelvis. In April 2019, the FDA cleared promotion of iFuse Bedrock for a broader and more general purpose, to provide additional stability and immobilization of the sacroiliac joint in connection with a thoracolumbar fusion procedure. To date, clinical experience with the iFuse Bedrock technique is limited and we have yet to complete a clinical trial to evaluate the iFuse Bedrock technique. Surgeons do not know if the addition of iFuse implants to the implants used to fuse multiple levels of the lumbar spine will result in patient benefit. If surgeons' clinical experience with iFuse Bedrock is not positive, or if our clinical trials do not show meaningful benefits to the patients undergoing this procedure, sale of our iFuse implants for this indication could be adversely impacted, which could negatively affect our operations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maintain our network of direct sales representatives and third-party distributors, we may not be able to generate anticipated sales.</w:t>
      </w:r>
    </w:p>
    <w:p>
      <w:pPr>
        <w:spacing w:after="0" w:line="246"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As of September 30, 2020, our U.S. sales force consisted of 59 territory sales managers and 57 clinical support specialists directly employed by us, and 39 third-party distributors. As of September 30, 2020, our international sales force consisted of 20 sales representatives directly employed by us and 31 third-party distributors, which together have had sales in 35 countries through September 30, 2020. Our operating results are directly dependent upon the sales and marketing efforts of both our direct sales force and of our third-party distributors.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5" w:name="page46"/>
    <w:bookmarkEnd w:id="45"/>
    <w:p>
      <w:pPr>
        <w:jc w:val="both"/>
        <w:ind w:firstLine="445"/>
        <w:spacing w:after="0" w:line="274" w:lineRule="auto"/>
        <w:rPr>
          <w:sz w:val="20"/>
          <w:szCs w:val="20"/>
          <w:color w:val="auto"/>
        </w:rPr>
      </w:pPr>
      <w:r>
        <w:rPr>
          <w:rFonts w:ascii="Arial" w:cs="Arial" w:eastAsia="Arial" w:hAnsi="Arial"/>
          <w:sz w:val="16"/>
          <w:szCs w:val="16"/>
          <w:color w:val="auto"/>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distributors with significant technical knowledge in various areas, such as spine health and treatment.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Our intention is for our direct sales representatives and third-party distributors to develop long-lasting relationships with the surgeons they serve. If our direct sales representatives or third-party distributors fail to adequately promote, market and sell our products or decide to leave or cease to do business with us, our sales could significantly decrease.</w:t>
      </w:r>
    </w:p>
    <w:p>
      <w:pPr>
        <w:spacing w:after="0" w:line="163"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6"/>
          <w:szCs w:val="16"/>
          <w:color w:val="auto"/>
        </w:rPr>
        <w:t>We face significant challenges and risks in managing our geographically dispersed distribution network and retaining the individuals who make up that network. Some of our international third-party distributors account for a significant portion of our international sales volume, and if any such third-party distributor were to cease to distribute our products, our sales could be adversely affected. In such a situation, we may need to seek alternative third-party distributors or increase our reliance on our direct sales representatives, which may not prevent our sales from being adversely affected. If a direct sales representative or third-party distributor were to depart and be retained by one of our competitors, we may be unable to prevent them from helping competitors solicit business from our existing customers, which could further adversely affect our sales. Because of the intense competition for their services, we may be unable to recruit or retain additional qualified third-party distributors or to hire additional direct sales representatives to work with us. Furthermore, we may not be able to enter into agreements with them on favorable or commercially reasonable terms, if at all. Failure to hire or retain qualified direct sales representatives or third-party distributors would prevent us from expanding our business and generating sales.</w:t>
      </w:r>
    </w:p>
    <w:p>
      <w:pPr>
        <w:spacing w:after="0" w:line="169" w:lineRule="exact"/>
        <w:rPr>
          <w:sz w:val="20"/>
          <w:szCs w:val="20"/>
          <w:color w:val="auto"/>
        </w:rPr>
      </w:pPr>
    </w:p>
    <w:p>
      <w:pPr>
        <w:jc w:val="both"/>
        <w:ind w:right="20" w:firstLine="445"/>
        <w:spacing w:after="0" w:line="261" w:lineRule="auto"/>
        <w:rPr>
          <w:sz w:val="20"/>
          <w:szCs w:val="20"/>
          <w:color w:val="auto"/>
        </w:rPr>
      </w:pPr>
      <w:r>
        <w:rPr>
          <w:rFonts w:ascii="Arial" w:cs="Arial" w:eastAsia="Arial" w:hAnsi="Arial"/>
          <w:sz w:val="18"/>
          <w:szCs w:val="18"/>
          <w:color w:val="auto"/>
        </w:rPr>
        <w:t>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we lose the services of key members of our senior management, key advisors or personnel.</w:t>
      </w:r>
    </w:p>
    <w:p>
      <w:pPr>
        <w:spacing w:after="0" w:line="212" w:lineRule="exact"/>
        <w:rPr>
          <w:sz w:val="20"/>
          <w:szCs w:val="20"/>
          <w:color w:val="auto"/>
        </w:rPr>
      </w:pPr>
    </w:p>
    <w:p>
      <w:pPr>
        <w:jc w:val="both"/>
        <w:ind w:firstLine="445"/>
        <w:spacing w:after="0" w:line="239" w:lineRule="auto"/>
        <w:rPr>
          <w:sz w:val="20"/>
          <w:szCs w:val="20"/>
          <w:color w:val="auto"/>
        </w:rPr>
      </w:pPr>
      <w:r>
        <w:rPr>
          <w:rFonts w:ascii="Arial" w:cs="Arial" w:eastAsia="Arial" w:hAnsi="Arial"/>
          <w:sz w:val="18"/>
          <w:szCs w:val="18"/>
          <w:color w:val="auto"/>
        </w:rPr>
        <w:t>We are dependent upon the continued services of key members of our senior management and a limited number of key advisors and personnel. In particular, we are highly dependent on the skills and leadership of our President, Chief Executive Officer, and Chairman, Jeffrey W. Dunn.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products may have undesirable side effects which may require them to be taken off the market, require them to include safety warnings or otherwise limit their sales.</w:t>
      </w:r>
    </w:p>
    <w:p>
      <w:pPr>
        <w:spacing w:after="0" w:line="171"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Unforeseen adverse events related to our products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after the product has been marketed.</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or others later identify adverse events caused by our products:</w:t>
      </w:r>
    </w:p>
    <w:p>
      <w:pPr>
        <w:spacing w:after="0" w:line="212" w:lineRule="exact"/>
        <w:rPr>
          <w:sz w:val="20"/>
          <w:szCs w:val="20"/>
          <w:color w:val="auto"/>
        </w:rPr>
      </w:pPr>
    </w:p>
    <w:p>
      <w:pPr>
        <w:ind w:left="740" w:hanging="246"/>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the product may decrease significantly, and we may not achieve the anticipated market share;</w:t>
      </w:r>
    </w:p>
    <w:p>
      <w:pPr>
        <w:spacing w:after="0" w:line="211" w:lineRule="exact"/>
        <w:rPr>
          <w:rFonts w:ascii="Arial" w:cs="Arial" w:eastAsia="Arial" w:hAnsi="Arial"/>
          <w:sz w:val="18"/>
          <w:szCs w:val="18"/>
          <w:color w:val="auto"/>
        </w:rPr>
      </w:pPr>
    </w:p>
    <w:p>
      <w:pPr>
        <w:ind w:left="900" w:right="20" w:hanging="406"/>
        <w:spacing w:after="0" w:line="261" w:lineRule="auto"/>
        <w:tabs>
          <w:tab w:leader="none" w:pos="842"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or our Notified Body may require changes to the labeling of our product. This may include the addition of labeling statements, specific warnings, and contraindications and issuing field alerts to physicians and patients;</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implanted or conduct additional clinical trials;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211" w:lineRule="exact"/>
        <w:rPr>
          <w:rFonts w:ascii="Arial" w:cs="Arial" w:eastAsia="Arial" w:hAnsi="Arial"/>
          <w:sz w:val="18"/>
          <w:szCs w:val="18"/>
          <w:color w:val="auto"/>
        </w:rPr>
      </w:pPr>
    </w:p>
    <w:p>
      <w:pPr>
        <w:ind w:left="900" w:hanging="406"/>
        <w:spacing w:after="0" w:line="261" w:lineRule="auto"/>
        <w:tabs>
          <w:tab w:leader="none" w:pos="79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require us to temporarily or permanently take our approved product off the market or to conduct other field safety corrective actions;</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modify our product;</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subject to litigation fines or product liability claims; and</w:t>
      </w:r>
    </w:p>
    <w:p>
      <w:pPr>
        <w:sectPr>
          <w:pgSz w:w="11900" w:h="16838" w:orient="portrait"/>
          <w:cols w:equalWidth="0" w:num="1">
            <w:col w:w="11240"/>
          </w:cols>
          <w:pgMar w:left="320" w:top="12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46" w:name="page47"/>
    <w:bookmarkEnd w:id="46"/>
    <w:p>
      <w:pPr>
        <w:ind w:left="740" w:hanging="2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Various factors outside our direct control may adversely affect manufacturing, sterilization, and distribution of our products.</w:t>
      </w:r>
    </w:p>
    <w:p>
      <w:pPr>
        <w:spacing w:after="0" w:line="21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spacing w:after="0" w:line="182" w:lineRule="exact"/>
        <w:rPr>
          <w:sz w:val="20"/>
          <w:szCs w:val="20"/>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complete sterilization on time or in compliance with the required regulatory standards;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transportation and import and export risk;</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analytical results or failure of analytical techniques that we will depend on for quality control and release of products;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large-scale epidemics of communicable diseases such as COVID-19;</w:t>
      </w:r>
    </w:p>
    <w:p>
      <w:pPr>
        <w:spacing w:after="0" w:line="211" w:lineRule="exact"/>
        <w:rPr>
          <w:rFonts w:ascii="Arial" w:cs="Arial" w:eastAsia="Arial" w:hAnsi="Arial"/>
          <w:sz w:val="18"/>
          <w:szCs w:val="18"/>
          <w:color w:val="auto"/>
        </w:rPr>
      </w:pPr>
    </w:p>
    <w:p>
      <w:pPr>
        <w:ind w:left="900" w:hanging="406"/>
        <w:spacing w:after="0" w:line="261" w:lineRule="auto"/>
        <w:tabs>
          <w:tab w:leader="none" w:pos="766"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disasters, labor disputes, financial distress, raw material availability, issues with facilities and equipment, or other forms of disruption to business operations affecting our manufacturers or suppliers; and</w:t>
      </w:r>
    </w:p>
    <w:p>
      <w:pPr>
        <w:spacing w:after="0" w:line="170" w:lineRule="exact"/>
        <w:rPr>
          <w:rFonts w:ascii="Arial" w:cs="Arial" w:eastAsia="Arial" w:hAnsi="Arial"/>
          <w:sz w:val="18"/>
          <w:szCs w:val="18"/>
          <w:color w:val="auto"/>
        </w:rPr>
      </w:pPr>
    </w:p>
    <w:p>
      <w:pPr>
        <w:ind w:left="900" w:right="340" w:hanging="406"/>
        <w:spacing w:after="0" w:line="261" w:lineRule="auto"/>
        <w:tabs>
          <w:tab w:leader="none" w:pos="738"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latent defects that may become apparent after products have been released and that may result in a recall or field safety corrective action with respect to such products.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risks were to materialize, our ability to provide our products to customers on a timely basis could be adversely impacted.</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182"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We rely on third-party suppliers to manufacture and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from a single supplier. Therefore, we cannot assure investors that we will be able to obtain sufficient quantities of product in the future.</w:t>
      </w:r>
    </w:p>
    <w:p>
      <w:pPr>
        <w:spacing w:after="0" w:line="189"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In addition, future growth could strain the ability of our suppliers to deliver an increasingly large supply of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generally use a small number of suppliers for our instruments and currently rely on RMS for iFuse 3D implants and Orchid for iFuse implants.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Our dependence on such a limited number of suppliers exposes us to risks, including, among other things:</w:t>
      </w:r>
    </w:p>
    <w:p>
      <w:pPr>
        <w:spacing w:after="0" w:line="196" w:lineRule="exact"/>
        <w:rPr>
          <w:sz w:val="20"/>
          <w:szCs w:val="20"/>
          <w:color w:val="auto"/>
        </w:rPr>
      </w:pPr>
    </w:p>
    <w:p>
      <w:pPr>
        <w:ind w:left="900" w:right="20" w:hanging="406"/>
        <w:spacing w:after="0" w:line="261" w:lineRule="auto"/>
        <w:tabs>
          <w:tab w:leader="none" w:pos="8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contract manufacturers or suppliers may fail to comply with regulatory requirements or make errors in manufacturing that could negatively affect the safety or effectiveness of our products or cause delays in shipments of our products;</w:t>
      </w:r>
    </w:p>
    <w:p>
      <w:pPr>
        <w:spacing w:after="0" w:line="170" w:lineRule="exact"/>
        <w:rPr>
          <w:rFonts w:ascii="Arial" w:cs="Arial" w:eastAsia="Arial" w:hAnsi="Arial"/>
          <w:sz w:val="18"/>
          <w:szCs w:val="18"/>
          <w:color w:val="auto"/>
        </w:rPr>
      </w:pPr>
    </w:p>
    <w:p>
      <w:pPr>
        <w:ind w:left="900" w:hanging="406"/>
        <w:spacing w:after="0" w:line="291" w:lineRule="auto"/>
        <w:tabs>
          <w:tab w:leader="none" w:pos="861"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third-party contract manufacturers or suppliers may fail to maintain good manufacturing practices, leading to quality control problems or regulatory findings that could cause disruptions in their manufacturing processes and lead to delays in shipments of our products;</w:t>
      </w:r>
    </w:p>
    <w:p>
      <w:pPr>
        <w:spacing w:after="0" w:line="146" w:lineRule="exact"/>
        <w:rPr>
          <w:rFonts w:ascii="Arial" w:cs="Arial" w:eastAsia="Arial" w:hAnsi="Arial"/>
          <w:sz w:val="17"/>
          <w:szCs w:val="17"/>
          <w:color w:val="auto"/>
        </w:rPr>
      </w:pPr>
    </w:p>
    <w:p>
      <w:pPr>
        <w:ind w:left="900" w:hanging="406"/>
        <w:spacing w:after="0" w:line="261" w:lineRule="auto"/>
        <w:tabs>
          <w:tab w:leader="none" w:pos="7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not be able to respond to unanticipated changes in customer orders, and if orders do not match forecasts, we or our suppliers may have excess or inadequate inventory of materials and components;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7" w:name="page48"/>
    <w:bookmarkEnd w:id="47"/>
    <w:p>
      <w:pPr>
        <w:ind w:left="740" w:hanging="246"/>
        <w:spacing w:after="0"/>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or our key component suppliers may not currently be or may not continue to be in compliance with all applicable regulatory requirements;</w:t>
      </w:r>
    </w:p>
    <w:p>
      <w:pPr>
        <w:spacing w:after="0" w:line="234" w:lineRule="exact"/>
        <w:rPr>
          <w:rFonts w:ascii="Arial" w:cs="Arial" w:eastAsia="Arial" w:hAnsi="Arial"/>
          <w:sz w:val="16"/>
          <w:szCs w:val="16"/>
          <w:color w:val="auto"/>
        </w:rPr>
      </w:pPr>
    </w:p>
    <w:p>
      <w:pPr>
        <w:ind w:left="900" w:hanging="406"/>
        <w:spacing w:after="0" w:line="261" w:lineRule="auto"/>
        <w:tabs>
          <w:tab w:leader="none" w:pos="786"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be subject to price fluctuations due to a lack of long-term supply arrangements for key components;</w:t>
      </w:r>
    </w:p>
    <w:p>
      <w:pPr>
        <w:spacing w:after="0" w:line="170" w:lineRule="exact"/>
        <w:rPr>
          <w:rFonts w:ascii="Arial" w:cs="Arial" w:eastAsia="Arial" w:hAnsi="Arial"/>
          <w:sz w:val="18"/>
          <w:szCs w:val="18"/>
          <w:color w:val="auto"/>
        </w:rPr>
      </w:pPr>
    </w:p>
    <w:p>
      <w:pPr>
        <w:ind w:left="900" w:hanging="406"/>
        <w:spacing w:after="0" w:line="261" w:lineRule="auto"/>
        <w:tabs>
          <w:tab w:leader="none" w:pos="8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lose access to critical services and components, resulting in an interruption in the manufacture, assembly and shipment of our systems;</w:t>
      </w:r>
    </w:p>
    <w:p>
      <w:pPr>
        <w:spacing w:after="0" w:line="170" w:lineRule="exact"/>
        <w:rPr>
          <w:rFonts w:ascii="Arial" w:cs="Arial" w:eastAsia="Arial" w:hAnsi="Arial"/>
          <w:sz w:val="18"/>
          <w:szCs w:val="18"/>
          <w:color w:val="auto"/>
        </w:rPr>
      </w:pPr>
    </w:p>
    <w:p>
      <w:pPr>
        <w:ind w:left="900" w:hanging="406"/>
        <w:spacing w:after="0" w:line="291" w:lineRule="auto"/>
        <w:tabs>
          <w:tab w:leader="none" w:pos="792"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or our third-party manufacturers could experience plant closures due to local epidemics of communicable diseases, such as COVID-19, or local outbreaks of such diseases among their workforce, thereby shuttering a plant in which our products are manufactured;</w:t>
      </w:r>
    </w:p>
    <w:p>
      <w:pPr>
        <w:spacing w:after="0" w:line="146" w:lineRule="exact"/>
        <w:rPr>
          <w:rFonts w:ascii="Arial" w:cs="Arial" w:eastAsia="Arial" w:hAnsi="Arial"/>
          <w:sz w:val="17"/>
          <w:szCs w:val="17"/>
          <w:color w:val="auto"/>
        </w:rPr>
      </w:pPr>
    </w:p>
    <w:p>
      <w:pPr>
        <w:ind w:left="740" w:hanging="246"/>
        <w:spacing w:after="0"/>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experience delays in delivery by our third-party manufacturers and suppliers due to changes in demand from us or their other customers;</w:t>
      </w:r>
    </w:p>
    <w:p>
      <w:pPr>
        <w:spacing w:after="0" w:line="234" w:lineRule="exact"/>
        <w:rPr>
          <w:rFonts w:ascii="Arial" w:cs="Arial" w:eastAsia="Arial" w:hAnsi="Arial"/>
          <w:sz w:val="16"/>
          <w:szCs w:val="16"/>
          <w:color w:val="auto"/>
        </w:rPr>
      </w:pPr>
    </w:p>
    <w:p>
      <w:pPr>
        <w:ind w:left="900" w:hanging="406"/>
        <w:spacing w:after="0" w:line="261"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demand for products that our third-party manufacturers and suppliers manufacture for others may affect their ability or willingness to deliver components to us in a timely manner;</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third-party manufacturers and suppliers may wish to discontinue supplying components or services to us for risk management reasons;</w:t>
      </w:r>
    </w:p>
    <w:p>
      <w:pPr>
        <w:spacing w:after="0" w:line="223" w:lineRule="exact"/>
        <w:rPr>
          <w:rFonts w:ascii="Arial" w:cs="Arial" w:eastAsia="Arial" w:hAnsi="Arial"/>
          <w:sz w:val="17"/>
          <w:szCs w:val="17"/>
          <w:color w:val="auto"/>
        </w:rPr>
      </w:pPr>
    </w:p>
    <w:p>
      <w:pPr>
        <w:ind w:left="900" w:hanging="406"/>
        <w:spacing w:after="0" w:line="261" w:lineRule="auto"/>
        <w:tabs>
          <w:tab w:leader="none" w:pos="8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find new or alternative components or reconfigure our system and manufacturing processes in a timely manner if the necessary components become unavailable; and</w:t>
      </w:r>
    </w:p>
    <w:p>
      <w:pPr>
        <w:spacing w:after="0" w:line="170" w:lineRule="exact"/>
        <w:rPr>
          <w:rFonts w:ascii="Arial" w:cs="Arial" w:eastAsia="Arial" w:hAnsi="Arial"/>
          <w:sz w:val="18"/>
          <w:szCs w:val="18"/>
          <w:color w:val="auto"/>
        </w:rPr>
      </w:pPr>
    </w:p>
    <w:p>
      <w:pPr>
        <w:ind w:left="900" w:hanging="406"/>
        <w:spacing w:after="0" w:line="261" w:lineRule="auto"/>
        <w:tabs>
          <w:tab w:leader="none" w:pos="7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third-party manufacturers and suppliers may encounter financial hardships unrelated to our demand, which could inhibit their ability to fulfill our orders and meet our requirements.</w:t>
      </w:r>
    </w:p>
    <w:p>
      <w:pPr>
        <w:spacing w:after="0" w:line="171"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If any one or more of these risks materialize, it could significantly increase our costs and impact our ability to meet demand for our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p>
    <w:p>
      <w:pPr>
        <w:spacing w:after="0" w:line="188"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6"/>
          <w:szCs w:val="16"/>
          <w:color w:val="auto"/>
        </w:rPr>
        <w:t>In addition, most of our supply and manufacturing agreements do not have minimum manufacturing or purchase obligations. As such, with many of our suppliers, we have no obligation to buy any given quantity of products, and the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in some instances. Our suppliers may also encounter problems that limit their ability to supply components or manufacture products for us, including financial difficulties, damage to their manufacturing equipment or facilities, product discontinuations or adverse findings in quality audits.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system that are subject to domestic and international regulatory clearances or approvals and the review of our Notified Body.</w:t>
      </w:r>
    </w:p>
    <w:p>
      <w:pPr>
        <w:spacing w:after="0" w:line="16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7"/>
          <w:szCs w:val="17"/>
          <w:color w:val="auto"/>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spacing w:after="0" w:line="175"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6"/>
          <w:szCs w:val="16"/>
          <w:color w:val="auto"/>
        </w:rPr>
        <w:t>We may also have difficulty obtaining similar components from other suppliers that are acceptable to the FDA our Notified Body the competent authorities in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8" w:name="page49"/>
    <w:bookmarkEnd w:id="48"/>
    <w:p>
      <w:pPr>
        <w:jc w:val="both"/>
        <w:ind w:firstLine="445"/>
        <w:spacing w:after="0" w:line="239" w:lineRule="auto"/>
        <w:rPr>
          <w:sz w:val="20"/>
          <w:szCs w:val="20"/>
          <w:color w:val="auto"/>
        </w:rPr>
      </w:pPr>
      <w:r>
        <w:rPr>
          <w:rFonts w:ascii="Arial" w:cs="Arial" w:eastAsia="Arial" w:hAnsi="Arial"/>
          <w:sz w:val="18"/>
          <w:szCs w:val="18"/>
          <w:color w:val="auto"/>
        </w:rPr>
        <w:t>In addition, each of our third-party suppliers operates at a facility in a single location and substantially all of our inventory of component supplies and finished goods is held at these locations. We, and our suppliers, take precautions to safeguard facilities, including acquiring insurance, employing back-up generators, adopting health and safety protocols, and utilizing off-site storage of computer data. However,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spacing w:after="0" w:line="19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may encounter problems or delays in the assembly of our products or fail to meet certain regulatory requirements which could result in an adverse effect on our business and financial results.</w:t>
      </w:r>
    </w:p>
    <w:p>
      <w:pPr>
        <w:spacing w:after="0" w:line="171"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After the impacts of the COVID-19 pandemic subside, 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spacing w:after="0" w:line="182" w:lineRule="exact"/>
        <w:rPr>
          <w:sz w:val="20"/>
          <w:szCs w:val="20"/>
          <w:color w:val="auto"/>
        </w:rPr>
      </w:pPr>
    </w:p>
    <w:p>
      <w:pPr>
        <w:ind w:left="740" w:hanging="246"/>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managing production yields;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quality control and assurance;</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providing component and service availability;</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adequate control policies and procedures;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hiring and retaining qualified personnel;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complying with state, federal, and foreign regulations.</w:t>
      </w:r>
    </w:p>
    <w:p>
      <w:pPr>
        <w:spacing w:after="0" w:line="212" w:lineRule="exact"/>
        <w:rPr>
          <w:sz w:val="20"/>
          <w:szCs w:val="20"/>
          <w:color w:val="auto"/>
        </w:rPr>
      </w:pPr>
    </w:p>
    <w:p>
      <w:pPr>
        <w:jc w:val="both"/>
        <w:ind w:firstLine="445"/>
        <w:spacing w:after="0" w:line="324" w:lineRule="auto"/>
        <w:rPr>
          <w:sz w:val="20"/>
          <w:szCs w:val="20"/>
          <w:color w:val="auto"/>
        </w:rPr>
      </w:pPr>
      <w:r>
        <w:rPr>
          <w:rFonts w:ascii="Arial" w:cs="Arial" w:eastAsia="Arial" w:hAnsi="Arial"/>
          <w:sz w:val="16"/>
          <w:szCs w:val="16"/>
          <w:color w:val="auto"/>
        </w:rPr>
        <w:t>If we are unable to satisfy commercial demand for our iFuse system due to our inability to assemble and test, our ability to generate revenue would be impaired, market acceptance of our products could be adversely affected and customers may instead purchase or use our competitors’ products.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enhance and broaden our product offerings through our research and development efforts, we may be unable to compete effectively.</w:t>
      </w:r>
    </w:p>
    <w:p>
      <w:pPr>
        <w:spacing w:after="0" w:line="23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7"/>
          <w:szCs w:val="17"/>
          <w:color w:val="auto"/>
        </w:rPr>
        <w:t>In order to increase our market share in the sacroiliac joint fusion and related markets, we must enhance and broaden our product offerings in response to changing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spacing w:after="0" w:line="174" w:lineRule="exact"/>
        <w:rPr>
          <w:sz w:val="20"/>
          <w:szCs w:val="20"/>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properly identify and anticipate surgeon and patient needs;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demonstrate the safety and effectiveness of new products; and</w:t>
      </w:r>
    </w:p>
    <w:p>
      <w:pPr>
        <w:spacing w:after="0" w:line="211" w:lineRule="exact"/>
        <w:rPr>
          <w:rFonts w:ascii="Arial" w:cs="Arial" w:eastAsia="Arial" w:hAnsi="Arial"/>
          <w:sz w:val="18"/>
          <w:szCs w:val="18"/>
          <w:color w:val="auto"/>
        </w:rPr>
      </w:pPr>
    </w:p>
    <w:p>
      <w:pPr>
        <w:ind w:left="900" w:hanging="406"/>
        <w:spacing w:after="0" w:line="261" w:lineRule="auto"/>
        <w:tabs>
          <w:tab w:leader="none" w:pos="8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the necessary domestic and international regulatory clearances or approvals and CE Certificates of Conformity for new products or product enhancements.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9" w:name="page50"/>
    <w:bookmarkEnd w:id="49"/>
    <w:p>
      <w:pPr>
        <w:jc w:val="both"/>
        <w:ind w:firstLine="445"/>
        <w:spacing w:after="0" w:line="253" w:lineRule="auto"/>
        <w:rPr>
          <w:sz w:val="20"/>
          <w:szCs w:val="20"/>
          <w:color w:val="auto"/>
        </w:rPr>
      </w:pPr>
      <w:r>
        <w:rPr>
          <w:rFonts w:ascii="Arial" w:cs="Arial" w:eastAsia="Arial" w:hAnsi="Arial"/>
          <w:sz w:val="17"/>
          <w:szCs w:val="17"/>
          <w:color w:val="auto"/>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business could be adversely affected. Our research and development efforts may require a substantial investment of time and resources before we are adequately able to determine the commercial viability of a new product, technology, material, or other innovation. In some cases, following a successful product development effort, we may need to invest substantial resources in surgical instrumentation and implant inventory, prior to launch of the product, and before we understand the demand for such product. If we overestimate the demand for such products and invest too heavily in inventory to support the product line, the additional revenue and product margins may not produce a positive return on such investments, which could cause our financial results to suffer.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required to maintain adequate levels of inventory, the failure of which could consume our resources and reduce our cash flows.</w:t>
      </w:r>
    </w:p>
    <w:p>
      <w:pPr>
        <w:spacing w:after="0" w:line="223"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6"/>
          <w:szCs w:val="16"/>
          <w:color w:val="auto"/>
        </w:rPr>
        <w:t>As a result of the need to maintain adequate levels of inventory, we are subject to the risk of inventory obsolescence. Many of our products come in sets, which feature components in a variety of sizes so that the implant or device may be chosen for size based on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addition, as we introduce new implants and instruments with the same intended uses as existing products, the older products may fall out of favor with our customers, causing them to become obsolete.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spacing w:after="0" w:line="163" w:lineRule="exact"/>
        <w:rPr>
          <w:sz w:val="20"/>
          <w:szCs w:val="20"/>
          <w:color w:val="auto"/>
        </w:rPr>
      </w:pPr>
    </w:p>
    <w:p>
      <w:pPr>
        <w:jc w:val="both"/>
        <w:ind w:firstLine="445"/>
        <w:spacing w:after="0" w:line="322" w:lineRule="auto"/>
        <w:rPr>
          <w:sz w:val="20"/>
          <w:szCs w:val="20"/>
          <w:color w:val="auto"/>
        </w:rPr>
      </w:pPr>
      <w:r>
        <w:rPr>
          <w:rFonts w:ascii="Arial" w:cs="Arial" w:eastAsia="Arial" w:hAnsi="Arial"/>
          <w:sz w:val="15"/>
          <w:szCs w:val="15"/>
          <w:b w:val="1"/>
          <w:bCs w:val="1"/>
          <w:i w:val="1"/>
          <w:iCs w:val="1"/>
          <w:color w:val="auto"/>
        </w:rPr>
        <w:t>The size and future growth in the market for iFuse has not been established with precision and may be smaller than we estimate, possibly materially. In addition, we estimate cost savings to the economy and healthcare system as a result of the iFuse procedure based on our market research. If our estimates and projections overestimate the size of this market or these benefits and cost savings, our sales growth may be adversely affected.</w:t>
      </w:r>
    </w:p>
    <w:p>
      <w:pPr>
        <w:spacing w:after="0" w:line="129"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We are not aware of an independent third-party study that reliably reports the potential market size for iFuse or cost savings as a result of the iFuse procedure. Therefore, our estimates of the size and potential for future growth in the market for our iFuse products, cost savings to patients, the healthcare system and the economy overall from its use,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For example, the surveys we have conducted are based on a small number of respondents and are not statistically significant and may have other limitations.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we expect. If the actual number of people with lower back pain who would benefit from our iFuse products and the size and future growth in the market for iFuse products and related costs savings to the healthcare system is smaller than we have estimated, it may impair our projected sales growth and have an adverse impact on our business.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results of operations could suffer if we are unable to manage our international business effectively.</w:t>
      </w:r>
    </w:p>
    <w:p>
      <w:pPr>
        <w:spacing w:after="0" w:line="212"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(“FCPA”), and the United Kingdom Bribery Act (“UKBA”), anti-boycott laws, anti-money laundering laws, and regulations relating to economic sanctions imposed by the U.S., including the Office of Foreign Asset Control of the U.S. Treasury. Any failure to comply with applicable legal and regulatory obligations in the U.S.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0" w:name="page51"/>
    <w:bookmarkEnd w:id="50"/>
    <w:p>
      <w:pPr>
        <w:ind w:left="460"/>
        <w:spacing w:after="0"/>
        <w:rPr>
          <w:sz w:val="20"/>
          <w:szCs w:val="20"/>
          <w:color w:val="auto"/>
        </w:rPr>
      </w:pPr>
      <w:r>
        <w:rPr>
          <w:rFonts w:ascii="Arial" w:cs="Arial" w:eastAsia="Arial" w:hAnsi="Arial"/>
          <w:sz w:val="18"/>
          <w:szCs w:val="18"/>
          <w:color w:val="auto"/>
        </w:rPr>
        <w:t>In addition, some of the countries in which we sell or plan to sell our products are, to some degree, subject to various risks, including:</w:t>
      </w:r>
    </w:p>
    <w:p>
      <w:pPr>
        <w:spacing w:after="0" w:line="212" w:lineRule="exact"/>
        <w:rPr>
          <w:sz w:val="20"/>
          <w:szCs w:val="20"/>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exposure to different legal and regulatory standards;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stringent protection of intellectual property;</w:t>
      </w:r>
    </w:p>
    <w:p>
      <w:pPr>
        <w:spacing w:after="0" w:line="211" w:lineRule="exact"/>
        <w:rPr>
          <w:rFonts w:ascii="Arial" w:cs="Arial" w:eastAsia="Arial" w:hAnsi="Arial"/>
          <w:sz w:val="18"/>
          <w:szCs w:val="18"/>
          <w:color w:val="auto"/>
        </w:rPr>
      </w:pPr>
    </w:p>
    <w:p>
      <w:pPr>
        <w:ind w:left="900" w:hanging="406"/>
        <w:spacing w:after="0" w:line="261" w:lineRule="auto"/>
        <w:tabs>
          <w:tab w:leader="none" w:pos="7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obstacles to obtaining domestic and foreign export, import, and other governmental approvals, permits, and licenses and compliance with foreign laws;</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potentially adverse tax consequences and the complexities of foreign value-added tax systems;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changes in tariffs and trade restrictions;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on the repatriation of earnings;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transportation delays and difficulties of managing international distribution channels;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longer collection periods and difficulties in collecting receivables from foreign entities;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financing costs;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currency risks;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social, and economic instability and increased security concerns.</w:t>
      </w:r>
    </w:p>
    <w:p>
      <w:pPr>
        <w:spacing w:after="0" w:line="212" w:lineRule="exact"/>
        <w:rPr>
          <w:sz w:val="20"/>
          <w:szCs w:val="20"/>
          <w:color w:val="auto"/>
        </w:rPr>
      </w:pPr>
    </w:p>
    <w:p>
      <w:pPr>
        <w:jc w:val="both"/>
        <w:ind w:right="20" w:firstLine="445"/>
        <w:spacing w:after="0" w:line="261" w:lineRule="auto"/>
        <w:rPr>
          <w:sz w:val="20"/>
          <w:szCs w:val="20"/>
          <w:color w:val="auto"/>
        </w:rPr>
      </w:pPr>
      <w:r>
        <w:rPr>
          <w:rFonts w:ascii="Arial" w:cs="Arial" w:eastAsia="Arial" w:hAnsi="Arial"/>
          <w:sz w:val="18"/>
          <w:szCs w:val="18"/>
          <w:color w:val="auto"/>
        </w:rPr>
        <w:t>These risks may limit or disrupt our expansion, restrict the movement of funds or result in the deprivation of contractual rights or the taking of property by nationalization or expropriation without fair compensation.</w:t>
      </w:r>
    </w:p>
    <w:p>
      <w:pPr>
        <w:spacing w:after="0" w:line="171"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Our successful conduct of our international business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the future our products may become obsolete, which would negatively affect operations and financial condition.</w:t>
      </w:r>
    </w:p>
    <w:p>
      <w:pPr>
        <w:spacing w:after="0" w:line="212"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changes in technology and the practice of medicine through the development and introduction of new products. Product development involves a high degree of risk and there can be no assurance that our new product development efforts will result in any commercially successful products.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results of operations, and financial condition could be adversely affected.</w:t>
      </w:r>
    </w:p>
    <w:p>
      <w:pPr>
        <w:spacing w:after="0" w:line="171"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The efficient operation of our business depends on our information technology systems. We rely on our information technology systems to effectively manage:</w:t>
      </w:r>
    </w:p>
    <w:p>
      <w:pPr>
        <w:spacing w:after="0" w:line="171" w:lineRule="exact"/>
        <w:rPr>
          <w:sz w:val="20"/>
          <w:szCs w:val="20"/>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and marketing, accounting, and financial functions;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engineering and product development tasks;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research and development data.</w:t>
      </w:r>
    </w:p>
    <w:p>
      <w:pPr>
        <w:sectPr>
          <w:pgSz w:w="11900" w:h="16838" w:orient="portrait"/>
          <w:cols w:equalWidth="0" w:num="1">
            <w:col w:w="11240"/>
          </w:cols>
          <w:pgMar w:left="320" w:top="12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51" w:name="page52"/>
    <w:bookmarkEnd w:id="51"/>
    <w:p>
      <w:pPr>
        <w:ind w:left="460"/>
        <w:spacing w:after="0"/>
        <w:rPr>
          <w:sz w:val="20"/>
          <w:szCs w:val="20"/>
          <w:color w:val="auto"/>
        </w:rPr>
      </w:pPr>
      <w:r>
        <w:rPr>
          <w:rFonts w:ascii="Arial" w:cs="Arial" w:eastAsia="Arial" w:hAnsi="Arial"/>
          <w:sz w:val="18"/>
          <w:szCs w:val="18"/>
          <w:color w:val="auto"/>
        </w:rPr>
        <w:t>Our information technology systems are vulnerable to damage or interruption from:</w:t>
      </w:r>
    </w:p>
    <w:p>
      <w:pPr>
        <w:spacing w:after="0" w:line="212" w:lineRule="exact"/>
        <w:rPr>
          <w:sz w:val="20"/>
          <w:szCs w:val="20"/>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earthquakes, fires, floods, and other natural disasters;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terrorist attacks and attacks by computer viruses or hackers or breach of our cybersecurity;</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power losses;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computer systems, or Internet, telecommunications, or data network failures.</w:t>
      </w:r>
    </w:p>
    <w:p>
      <w:pPr>
        <w:spacing w:after="0" w:line="212"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spacing w:after="0" w:line="16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In addition, we accept payments for many of our sales through credit card transactions, which are handled through a third-party payment processor.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 is breached. We and our third-party credit card payment processor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 fail to comply with these rules or requirements, we may be subject to fines and higher transaction fees and lose our ability to accept credit card payments from our customers, and there may be an adverse impact on our business.</w:t>
      </w:r>
    </w:p>
    <w:p>
      <w:pPr>
        <w:spacing w:after="0" w:line="180" w:lineRule="exact"/>
        <w:rPr>
          <w:sz w:val="20"/>
          <w:szCs w:val="20"/>
          <w:color w:val="auto"/>
        </w:rPr>
      </w:pPr>
    </w:p>
    <w:p>
      <w:pPr>
        <w:jc w:val="both"/>
        <w:spacing w:after="0" w:line="362" w:lineRule="auto"/>
        <w:rPr>
          <w:sz w:val="20"/>
          <w:szCs w:val="20"/>
          <w:color w:val="auto"/>
        </w:rPr>
      </w:pPr>
      <w:r>
        <w:rPr>
          <w:rFonts w:ascii="Arial" w:cs="Arial" w:eastAsia="Arial" w:hAnsi="Arial"/>
          <w:sz w:val="15"/>
          <w:szCs w:val="15"/>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101"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182" w:lineRule="exact"/>
        <w:rPr>
          <w:sz w:val="20"/>
          <w:szCs w:val="20"/>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problems assimilating the purchased technologies, products, or business operations;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unanticipated costs and liabilities associated with acquisitions;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1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7"/>
          <w:szCs w:val="17"/>
          <w:color w:val="auto"/>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2" w:name="page53"/>
    <w:bookmarkEnd w:id="52"/>
    <w:p>
      <w:pPr>
        <w:jc w:val="both"/>
        <w:spacing w:after="0" w:line="261"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w:t>
      </w:r>
    </w:p>
    <w:p>
      <w:pPr>
        <w:spacing w:after="0" w:line="17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18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7"/>
          <w:szCs w:val="17"/>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 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180"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our suppliers, and our third-party manufacturers are subject to extensive governmental regulation both in the U.S. and abroad, and failure to comply with applicable requirements could cause our business to suffer.</w:t>
      </w:r>
    </w:p>
    <w:p>
      <w:pPr>
        <w:spacing w:after="0" w:line="171"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7"/>
          <w:szCs w:val="17"/>
          <w:color w:val="auto"/>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spacing w:after="0" w:line="147" w:lineRule="exact"/>
        <w:rPr>
          <w:sz w:val="20"/>
          <w:szCs w:val="20"/>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testing, labeling, content, and language of instructions for use and storage;</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premarket clearance and approval;</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conformity assessment procedures;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good manufacturing practices requirements;</w:t>
      </w:r>
    </w:p>
    <w:p>
      <w:pPr>
        <w:sectPr>
          <w:pgSz w:w="11900" w:h="16838" w:orient="portrait"/>
          <w:cols w:equalWidth="0" w:num="1">
            <w:col w:w="11240"/>
          </w:cols>
          <w:pgMar w:left="320" w:top="12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53" w:name="page54"/>
    <w:bookmarkEnd w:id="53"/>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211" w:lineRule="exact"/>
        <w:rPr>
          <w:rFonts w:ascii="Arial" w:cs="Arial" w:eastAsia="Arial" w:hAnsi="Arial"/>
          <w:sz w:val="18"/>
          <w:szCs w:val="18"/>
          <w:color w:val="auto"/>
        </w:rPr>
      </w:pPr>
    </w:p>
    <w:p>
      <w:pPr>
        <w:ind w:left="900" w:hanging="406"/>
        <w:spacing w:after="0" w:line="261" w:lineRule="auto"/>
        <w:tabs>
          <w:tab w:leader="none" w:pos="8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1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spacing w:after="0" w:line="182" w:lineRule="exact"/>
        <w:rPr>
          <w:sz w:val="20"/>
          <w:szCs w:val="20"/>
          <w:color w:val="auto"/>
        </w:rPr>
      </w:pPr>
    </w:p>
    <w:p>
      <w:pPr>
        <w:jc w:val="both"/>
        <w:ind w:firstLine="445"/>
        <w:spacing w:after="0" w:line="251" w:lineRule="auto"/>
        <w:rPr>
          <w:sz w:val="20"/>
          <w:szCs w:val="20"/>
          <w:color w:val="auto"/>
        </w:rPr>
      </w:pPr>
      <w:r>
        <w:rPr>
          <w:rFonts w:ascii="Arial" w:cs="Arial" w:eastAsia="Arial" w:hAnsi="Arial"/>
          <w:sz w:val="17"/>
          <w:szCs w:val="17"/>
          <w:color w:val="auto"/>
        </w:rPr>
        <w:t>Before we can market or sell a new regulated product or make a significant modification to an existing product in the U.S., with only limited exceptions, we must obtain either clearance under Section 510(k) of the FDCA for Class II devices or approval of a PMA application from the FDA for a Class III device.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 consuming, and we may not be able to obtain these clearances or approvals on a timely basis, if at all.</w:t>
      </w:r>
    </w:p>
    <w:p>
      <w:pPr>
        <w:spacing w:after="0" w:line="189"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In the U.S.,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had expected,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investors that we will be able to obtain the 510(k) clearances with respect to those products.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212" w:lineRule="exact"/>
        <w:rPr>
          <w:sz w:val="20"/>
          <w:szCs w:val="20"/>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be able to demonstrate to the FDA’s satisfaction that our products are safe and effective for their intended uses;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clearance or approval, where required;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w:t>
      </w:r>
    </w:p>
    <w:p>
      <w:pPr>
        <w:spacing w:after="0" w:line="21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spacing w:after="0" w:line="182"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w:t>
      </w:r>
    </w:p>
    <w:p>
      <w:pPr>
        <w:spacing w:after="0" w:line="171"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U.S.</w:t>
      </w:r>
    </w:p>
    <w:p>
      <w:pPr>
        <w:sectPr>
          <w:pgSz w:w="11900" w:h="16838" w:orient="portrait"/>
          <w:cols w:equalWidth="0" w:num="1">
            <w:col w:w="11240"/>
          </w:cols>
          <w:pgMar w:left="320" w:top="12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54" w:name="page55"/>
    <w:bookmarkEnd w:id="54"/>
    <w:p>
      <w:pPr>
        <w:jc w:val="both"/>
        <w:ind w:firstLine="445"/>
        <w:spacing w:after="0" w:line="271" w:lineRule="auto"/>
        <w:rPr>
          <w:sz w:val="20"/>
          <w:szCs w:val="20"/>
          <w:color w:val="auto"/>
        </w:rPr>
      </w:pPr>
      <w:r>
        <w:rPr>
          <w:rFonts w:ascii="Arial" w:cs="Arial" w:eastAsia="Arial" w:hAnsi="Arial"/>
          <w:sz w:val="16"/>
          <w:szCs w:val="16"/>
          <w:color w:val="auto"/>
        </w:rPr>
        <w:t>In the EEA, our medical devices must currently comply with the Essential Requirements set forth in Annex I to the EU Medical Devices Directive (Council Directive 93/42/EEC), or Essential Requirements. Compliance with these requirements is a prerequisite to be able to affix the CE mark to our medical devices, without which they cannot be marketed or sold in the EEA. To demonstrate compliance with the Essential Requirements we must undergo a conformity assessment procedure, which varies according to the type of medical device and its classification. Except for low risk medical devices (Class I), where the manufacturer can issue an EC Declaration of Conformity based on a self-assessment of the conformity of its products with the Essential Requirements, a conformity assessment procedure requires the intervention of a third-party organization designated by the competent authorities of a EEA country to conduct conformity assessments, known as a Notified Body. The Notified Body would typically audit and examine the medical device’s Technical File including the clinical evaluation, the quality system for the manufacture, design and conduct a final inspection of our medical devices before issuing a CE Certificate of Conformity demonstrating compliance with the Essential Requirements or the QSR of the Medical Devices Directive.</w:t>
      </w:r>
    </w:p>
    <w:p>
      <w:pPr>
        <w:spacing w:after="0" w:line="169"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As part of the conformity assessment process, medical device manufacturers must carry out a clinical evaluation of their medical devices to verify that they comply with the relevant Essential Requirements covering safety and performance. A clinical evaluation includes an assessment of whether a medical device’s performance is in accordance with its intended use and that the known and foreseeable risks linked to the use of the device under normal conditions are minimized and acceptable when weighed against the benefits of its intended purpose. The clinical evaluation conducted by the manufacturer must also address any clinical claims, the adequacy of the device labeling and information (particularly claims, contraindications, precautions/ warnings) and the suitability of related Instructions for Use. This assessment must be based on clinical data, which can be obtained from (i) clinical studies conducted on the devices being assessed; (ii) scientific literature from similar devices whose equivalence with the assessed device can be demonstrated; or (iii) both clinical studies and scientific literature. With respect to implantable devices, or devices classified as Class III in the EU, the manufacturer must conduct clinical studies to obtain the required clinical data, unless the relying on existing clinical data from similar devices can be justified. As part of the conformity assessment procedure, depending on the type of devices, the Notified Body will review the manufacturer’s clinical evaluation for the medical device. The conduct of clinical studies to obtain clinical data that might be required as part of the described clinical evaluation process can be expensive and time consuming.</w:t>
      </w:r>
    </w:p>
    <w:p>
      <w:pPr>
        <w:spacing w:after="0" w:line="183"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In May 2017, the EU Medical Device Regulation, (Regulation 2017/745) was adopted as described in “Item 1. Business - Regulation - International Regulation of Our Products” in our Annual Report on Form 10-K filed with the SEC on March 11, 2020. On April 24, 2020, the European Parliament adopted legislation deferring effectiveness of the EU Medical Device Regulation until May 2021.</w:t>
      </w:r>
    </w:p>
    <w:p>
      <w:pPr>
        <w:spacing w:after="0" w:line="18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The FDA and other regulatory authorities, including foreign authorities, have broad enforcement powers. Regulatory enforcement or inquiries, or other increased scrutiny on us, could dissuade some surgeons from using our products and adversely affect our reputation and the perceived safety and effectiveness of our products.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Failure to comply with applicable regulations could jeopardize our ability to sell our products and result in enforcement actions such as:</w:t>
      </w:r>
    </w:p>
    <w:p>
      <w:pPr>
        <w:spacing w:after="0" w:line="212" w:lineRule="exact"/>
        <w:rPr>
          <w:sz w:val="20"/>
          <w:szCs w:val="20"/>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civil penalties;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termination of distribution;</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recalls or seizures of products;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the introduction of products into the market;</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facility closures;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refusal of the FDA or our Notified Body or other regulator to grant future clearances or approvals or to issue CE Certificates of Conformity;</w:t>
      </w:r>
    </w:p>
    <w:p>
      <w:pPr>
        <w:spacing w:after="0" w:line="223" w:lineRule="exact"/>
        <w:rPr>
          <w:rFonts w:ascii="Arial" w:cs="Arial" w:eastAsia="Arial" w:hAnsi="Arial"/>
          <w:sz w:val="17"/>
          <w:szCs w:val="17"/>
          <w:color w:val="auto"/>
        </w:rPr>
      </w:pPr>
    </w:p>
    <w:p>
      <w:pPr>
        <w:ind w:left="900" w:hanging="406"/>
        <w:spacing w:after="0" w:line="261" w:lineRule="auto"/>
        <w:tabs>
          <w:tab w:leader="none" w:pos="757"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withdrawals, variation, or suspensions of current clearances or approvals and CE Certificates of Conformity, resulting in prohibitions on sales of our products;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5" w:name="page56"/>
    <w:bookmarkEnd w:id="55"/>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most serious cases, criminal penalties.</w:t>
      </w:r>
    </w:p>
    <w:p>
      <w:pPr>
        <w:spacing w:after="0" w:line="21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and our sales representatives must comply with U.S. federal and state fraud and abuse laws, including those relating to physician kickbacks and false claims for reimbursement, as well as equivalent foreign laws.</w:t>
      </w:r>
    </w:p>
    <w:p>
      <w:pPr>
        <w:spacing w:after="0" w:line="171"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6"/>
          <w:szCs w:val="16"/>
          <w:color w:val="auto"/>
        </w:rPr>
        <w:t>Healthcare providers, distributors, physicians,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distributors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other commercial or regulatory laws or requirements, and equivalent foreign rules. We have a compliance program, Code of Conduct, and associated policies and procedures, but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and government authorities may conclude that our business practices do not comply with applicable fraud and abuse or other healthcare laws and regulations or guidance despite our good faith efforts to comply.</w:t>
      </w:r>
    </w:p>
    <w:p>
      <w:pPr>
        <w:spacing w:after="0" w:line="16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7"/>
          <w:szCs w:val="17"/>
          <w:color w:val="auto"/>
        </w:rPr>
        <w:t>There are numerous U.S. federal and state laws pertaining to healthcare fraud and abuse, including anti-kickback and false claims laws. Our relationships and our distributors’ relationships with surgeons, other healthcare professionals, and hospitals are subject to scrutiny under these laws. For example, we are subject to the federal health care Anti-Kickback Statute, the federal civil False Claims Act, the Health Insurance Portability and Accountability Act (”HIPAA”) and the federal Physician Payment Sunshine Act, each of which is described in detail in “Item 1. Business - Healthcare Fraud and Abuse and Data Privacy and Security Laws” in our Annual Report on Form 10-K filed with the SEC on March 11, 2020.</w:t>
      </w:r>
    </w:p>
    <w:p>
      <w:pPr>
        <w:spacing w:after="0" w:line="17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Certain states also mandate implementation of corporate compliance programs, require compliance with the industry’s voluntary compliance guidelines, impose restrictions on device manufacturer marketing practices, and/or require tracking and reporting of gifts, compensation, and other remuneration to healthcare professionals and entities. analogous state and foreign law equivalents of each of the above federal laws, such as anti-kickback and false claims laws, which may apply to items or services reimbursed by any third-party payor, including commercial insurers and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and state laws that require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184"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If we or our employees are found to have violated any of the above laws we may be subject to administrative, civil and criminal penalties, including imprisonment, exclusion from participation in federal healthcare programs, such as Medicare, Medicaid, and equivalent foreign programs, significant fines, monetary penalties and damages, imposition of compliance obligations and monitoring, the curtailment or restructuring of our operations, and damage to our reputation.</w:t>
      </w:r>
    </w:p>
    <w:p>
      <w:pPr>
        <w:spacing w:after="0" w:line="188" w:lineRule="exact"/>
        <w:rPr>
          <w:sz w:val="20"/>
          <w:szCs w:val="20"/>
          <w:color w:val="auto"/>
        </w:rPr>
      </w:pPr>
    </w:p>
    <w:p>
      <w:pPr>
        <w:jc w:val="both"/>
        <w:ind w:firstLine="450"/>
        <w:spacing w:after="0" w:line="271" w:lineRule="auto"/>
        <w:rPr>
          <w:sz w:val="20"/>
          <w:szCs w:val="20"/>
          <w:color w:val="auto"/>
        </w:rPr>
      </w:pPr>
      <w:r>
        <w:rPr>
          <w:rFonts w:ascii="Arial" w:cs="Arial" w:eastAsia="Arial" w:hAnsi="Arial"/>
          <w:sz w:val="16"/>
          <w:szCs w:val="16"/>
          <w:color w:val="auto"/>
        </w:rPr>
        <w:t>We have entered into consulting agreements and royalty agreements with surgeons, including some who are customers. We also engage in co-marketing arrangements with certain surgeons who use our products. In addition, a small number of our current customer surgeons have previously acquired from us less than 1.0% of our current outstanding common stock, which they either purchased in an arm’s length transaction on terms identical to those offered to others or received from us as fair market value consideration for consulting services performed. While all of these transactions were structured with the intention of complying with all applicable laws, including the federal Anti-Kickback Statute, state anti-kickback laws and other applicable laws, it is possible that regulatory agencies may view these transactions as prohibited arrangements that must be restructured, or discontinued, or for which we could be subject to significant penalties and criminal, civil and administrative liability. We would be materially and adversely affected if regulatory agencies interpret our financial relationships with surgeons who order our products to be in violation of applicable laws and we were unable to comply with such laws, which could subject us to, among other things, monetary penalties for non-compliance, the cost of which could be substantial.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6" w:name="page57"/>
    <w:bookmarkEnd w:id="56"/>
    <w:p>
      <w:pPr>
        <w:jc w:val="both"/>
        <w:ind w:firstLine="450"/>
        <w:spacing w:after="0" w:line="272" w:lineRule="auto"/>
        <w:rPr>
          <w:sz w:val="20"/>
          <w:szCs w:val="20"/>
          <w:color w:val="auto"/>
        </w:rPr>
      </w:pPr>
      <w:r>
        <w:rPr>
          <w:rFonts w:ascii="Arial" w:cs="Arial" w:eastAsia="Arial" w:hAnsi="Arial"/>
          <w:sz w:val="16"/>
          <w:szCs w:val="16"/>
          <w:color w:val="auto"/>
        </w:rPr>
        <w:t>In certain cases, federal, state and foreign authorities pursue actions for false claims on the basis that manufacturers and distributors are promoting unapproved, or “off-label” uses of their products. Pursuant to FDA regulations, we can only market our products for cleared or approved uses. Although surgeons are permitted to use medical devices for indications other than those cleared or approved by the FDA, we are prohibited from promoting products for “off-label” uses. We market our products and provide promotional materials and training programs to surgeons regarding the use of our products. If it is determined that our marketing, promotional materials or training programs constitute promotion of unapproved uses, we could be subject to significant fines in addition to regulatory enforcement actions, including the issuance of a warning letter, injunction, seizure, criminal penalty, and damage to our reputation. Federal, state and foreign authorities also pursue actions for false claims based upon improper billing and coding advice or recommendations, as well as decisions related to the medical necessity of procedures, including the site-of-service where procedures are performed.</w:t>
      </w:r>
    </w:p>
    <w:p>
      <w:pPr>
        <w:spacing w:after="0" w:line="168" w:lineRule="exact"/>
        <w:rPr>
          <w:sz w:val="20"/>
          <w:szCs w:val="20"/>
          <w:color w:val="auto"/>
        </w:rPr>
      </w:pPr>
    </w:p>
    <w:p>
      <w:pPr>
        <w:jc w:val="both"/>
        <w:ind w:firstLine="450"/>
        <w:spacing w:after="0" w:line="282" w:lineRule="auto"/>
        <w:rPr>
          <w:sz w:val="20"/>
          <w:szCs w:val="20"/>
          <w:color w:val="auto"/>
        </w:rPr>
      </w:pPr>
      <w:r>
        <w:rPr>
          <w:rFonts w:ascii="Arial" w:cs="Arial" w:eastAsia="Arial" w:hAnsi="Arial"/>
          <w:sz w:val="16"/>
          <w:szCs w:val="16"/>
          <w:color w:val="auto"/>
        </w:rPr>
        <w:t>Various state and federal regulatory and enforcement agencies continue actively to investigate violations of health care laws and regulations, and the U.S. Congress continues to strengthen the arsenal of enforcement tools. The Bipartisan Budget Act of 2018 increased the criminal and civil penalties that</w:t>
      </w:r>
    </w:p>
    <w:p>
      <w:pPr>
        <w:jc w:val="both"/>
        <w:spacing w:after="0" w:line="255" w:lineRule="auto"/>
        <w:rPr>
          <w:sz w:val="20"/>
          <w:szCs w:val="20"/>
          <w:color w:val="auto"/>
        </w:rPr>
      </w:pPr>
      <w:r>
        <w:rPr>
          <w:rFonts w:ascii="Arial" w:cs="Arial" w:eastAsia="Arial" w:hAnsi="Arial"/>
          <w:sz w:val="17"/>
          <w:szCs w:val="17"/>
          <w:color w:val="auto"/>
        </w:rPr>
        <w:t>can be imposed for violating certain federal health care laws, including the federal Anti- Kickback Statute. To enforce compliance with the federal laws, the U.S. Department of Justice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deferred or non-prosecution agreement, or corporate integrity agreement. Any such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182" w:lineRule="exact"/>
        <w:rPr>
          <w:sz w:val="20"/>
          <w:szCs w:val="20"/>
          <w:color w:val="auto"/>
        </w:rPr>
      </w:pPr>
    </w:p>
    <w:p>
      <w:pPr>
        <w:jc w:val="both"/>
        <w:ind w:firstLine="450"/>
        <w:spacing w:after="0" w:line="284" w:lineRule="auto"/>
        <w:rPr>
          <w:sz w:val="20"/>
          <w:szCs w:val="20"/>
          <w:color w:val="auto"/>
        </w:rPr>
      </w:pPr>
      <w:r>
        <w:rPr>
          <w:rFonts w:ascii="Arial" w:cs="Arial" w:eastAsia="Arial" w:hAnsi="Arial"/>
          <w:sz w:val="16"/>
          <w:szCs w:val="16"/>
          <w:color w:val="auto"/>
        </w:rPr>
        <w:t>The scope and enforcement of these laws is uncertain and subject to rapid change. The shifting compliance environment and the need to build and maintain robust and expandable systems and processes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adequately protect personal information in compliance with evolving legal requirements could harm our business.</w:t>
      </w:r>
    </w:p>
    <w:p>
      <w:pPr>
        <w:spacing w:after="0" w:line="212" w:lineRule="exact"/>
        <w:rPr>
          <w:sz w:val="20"/>
          <w:szCs w:val="20"/>
          <w:color w:val="auto"/>
        </w:rPr>
      </w:pPr>
    </w:p>
    <w:p>
      <w:pPr>
        <w:jc w:val="both"/>
        <w:ind w:firstLine="445"/>
        <w:spacing w:after="0" w:line="239" w:lineRule="auto"/>
        <w:rPr>
          <w:sz w:val="20"/>
          <w:szCs w:val="20"/>
          <w:color w:val="auto"/>
        </w:rPr>
      </w:pPr>
      <w:r>
        <w:rPr>
          <w:rFonts w:ascii="Arial" w:cs="Arial" w:eastAsia="Arial" w:hAnsi="Arial"/>
          <w:sz w:val="18"/>
          <w:szCs w:val="18"/>
          <w:color w:val="auto"/>
        </w:rPr>
        <w:t>In the ordinary course of our business, we collect and store sensitive data, including legally protected personally identifiable information. We collect this kind of information during the course of clinical trials and for post-marketing safety vigilance in connection with marketing and selling our products, helping enable surgeons and their patients to pursue claims for reimbursement for procedures using iFuse and servicing potential warranty claims. In doing so, we are subject to various federal, state and foreign laws that protect the confidentiality of certain patient health information, including patient medical records, and restrict the use and disclosure of patient health information by healthcare providers, such as HIPAA, in the U.S. and regulations in the European Union (“EU”), which are described in detail in “Item 1 Business - Data Privacy and Security Laws” in our Annual Report on Form 10-K filed with the SEC on March 11, 2020.</w:t>
      </w:r>
    </w:p>
    <w:p>
      <w:pPr>
        <w:spacing w:after="0" w:line="191"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In June 2018, California enacted the California Consumer Privacy Act (“CCPA”). The CCPA, which became effective on January 1, 2020, requires a broad range of businesses to honor the requests of California residents to access and require deletion of their personal information, opt out of certain personal information sharing, and receive detailed information about how their personal information is used and shared. The CCPA provides for civil penalties of up to $7,500 for intentional violations, and a private right of action for data breaches that allows private plaintiffs to seek the greater of actual damages or statutory damages of up to $750 per consumer per data breach. These remedies are expected to increase data breach litigation. The California Attorney General, who is charged with interpreting and enforcing the law, has not yet promulgated final implementing regulations, and considerable uncertainty as to how the law will be implemented and enforced remains. Although the CCPA includes exemptions for certain clinical trials data, and protected health information governed by HIPAA, the law may increase our compliance costs and potential liability with respect to other personal information we collect about California residents. The CCPA has prompted a number of proposals for new federal and state privacy legislation that, if passed, could increase our potential liability, increase our compliance costs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7" w:name="page58"/>
    <w:bookmarkEnd w:id="57"/>
    <w:p>
      <w:pPr>
        <w:jc w:val="both"/>
        <w:ind w:firstLine="450"/>
        <w:spacing w:after="0" w:line="253" w:lineRule="auto"/>
        <w:rPr>
          <w:sz w:val="20"/>
          <w:szCs w:val="20"/>
          <w:color w:val="auto"/>
        </w:rPr>
      </w:pPr>
      <w:r>
        <w:rPr>
          <w:rFonts w:ascii="Arial" w:cs="Arial" w:eastAsia="Arial" w:hAnsi="Arial"/>
          <w:sz w:val="17"/>
          <w:szCs w:val="17"/>
          <w:color w:val="auto"/>
        </w:rPr>
        <w:t>Our failure to comply with applicable laws and regulations, or to protect such data, could result in enforcement actions against us, including fines, imprisonment of company officials and public censure, claims for damages by end-customers, and other affected individuals, and the imposition of integrity obligations and agency oversight, damage to our reputation, and loss of goodwill, any of which could harm our operations, financial performance, and business. Evolving and changing definitions of personal data and personal information, within the European Union, the U.S.,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our non-U.S. operations.</w:t>
      </w:r>
    </w:p>
    <w:p>
      <w:pPr>
        <w:spacing w:after="0" w:line="212"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186" w:lineRule="exact"/>
        <w:rPr>
          <w:sz w:val="20"/>
          <w:szCs w:val="20"/>
          <w:color w:val="auto"/>
        </w:rPr>
      </w:pPr>
    </w:p>
    <w:p>
      <w:pPr>
        <w:jc w:val="both"/>
        <w:ind w:firstLine="445"/>
        <w:spacing w:after="0" w:line="239" w:lineRule="auto"/>
        <w:rPr>
          <w:sz w:val="20"/>
          <w:szCs w:val="20"/>
          <w:color w:val="auto"/>
        </w:rPr>
      </w:pPr>
      <w:r>
        <w:rPr>
          <w:rFonts w:ascii="Arial" w:cs="Arial" w:eastAsia="Arial" w:hAnsi="Arial"/>
          <w:sz w:val="18"/>
          <w:szCs w:val="18"/>
          <w:color w:val="auto"/>
        </w:rPr>
        <w:t>Furthermore, we are subject to anti-boycott laws, anti-money laundering laws, and the export controls and economic embargo rules and regulations of the U.S.,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spacing w:after="0" w:line="182"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6"/>
          <w:szCs w:val="16"/>
          <w:color w:val="auto"/>
        </w:rPr>
        <w:t>Any product for which we obtain regulatory clearance or approval, or a CE Certificate of Conformity, and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(“QSR”), and International Standards Organization,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spacing w:after="0" w:line="161"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7"/>
          <w:szCs w:val="17"/>
          <w:color w:val="auto"/>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spacing w:after="0" w:line="147" w:lineRule="exact"/>
        <w:rPr>
          <w:sz w:val="20"/>
          <w:szCs w:val="20"/>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and civil penalties;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8" w:name="page59"/>
    <w:bookmarkEnd w:id="58"/>
    <w:p>
      <w:pPr>
        <w:ind w:left="740" w:hanging="246"/>
        <w:spacing w:after="0"/>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refusing or delaying our requests for 510(k) clearance or premarket approval and conformity assessments of new products or modified products;</w:t>
      </w:r>
    </w:p>
    <w:p>
      <w:pPr>
        <w:spacing w:after="0" w:line="234" w:lineRule="exact"/>
        <w:rPr>
          <w:rFonts w:ascii="Arial" w:cs="Arial" w:eastAsia="Arial" w:hAnsi="Arial"/>
          <w:sz w:val="16"/>
          <w:szCs w:val="16"/>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on the intended uses for which the product may be marketed;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variation or withdrawal of CE Certificates of Conformity;</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12"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spacing w:after="0" w:line="194"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or fraudulent claims for payment of government funds. Any of these actions would harm our reputation and cause our product sales and profitability to suffer and may prevent us from generating revenue.</w:t>
      </w:r>
    </w:p>
    <w:p>
      <w:pPr>
        <w:spacing w:after="0" w:line="189"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7"/>
          <w:szCs w:val="17"/>
          <w:color w:val="auto"/>
        </w:rPr>
        <w:t>The FDA inspected our facilities in May 2014. As a result, we received a Notice of Inspectional Observations, or Form 483, with three observations that have since been addressed with a corrective and preventative action plan. We responded to the FDA in writing and the matter was closed as of October 2014 through the issuance of an Establishment Inspection Report. To date, the FDA has not taken any further action with respect to the May 2014 inspection or its findings. The FDA inspected our facilities again in December 2016 and no findings were noted.</w:t>
      </w:r>
    </w:p>
    <w:p>
      <w:pPr>
        <w:spacing w:after="0" w:line="17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employees, independent contractors, consultants, manufacturers, and third-party distributors may engage in misconduct or other improper activities, relating to regulatory standards and requirements.</w:t>
      </w:r>
    </w:p>
    <w:p>
      <w:pPr>
        <w:spacing w:after="0" w:line="17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6"/>
          <w:szCs w:val="16"/>
          <w:color w:val="auto"/>
        </w:rPr>
        <w:t>We are exposed to the risk that our employees, independent contractors, consultants, manufacturers, and third-party distributors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state and foreign healthcare laws and regulations, data privacy laws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 compliance program, code of conduct and associated policies and procedures,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9" w:name="page60"/>
    <w:bookmarkEnd w:id="59"/>
    <w:p>
      <w:pPr>
        <w:jc w:val="both"/>
        <w:spacing w:after="0" w:line="261" w:lineRule="auto"/>
        <w:rPr>
          <w:sz w:val="20"/>
          <w:szCs w:val="20"/>
          <w:color w:val="auto"/>
        </w:rPr>
      </w:pPr>
      <w:r>
        <w:rPr>
          <w:rFonts w:ascii="Arial" w:cs="Arial" w:eastAsia="Arial" w:hAnsi="Arial"/>
          <w:sz w:val="18"/>
          <w:szCs w:val="18"/>
          <w:b w:val="1"/>
          <w:bCs w:val="1"/>
          <w:i w:val="1"/>
          <w:iCs w:val="1"/>
          <w:color w:val="auto"/>
        </w:rPr>
        <w:t>We may be subject to enforcement action, including fines, penalties or injunctions, if we are determined to be engaging in the off-label promotion of our products.</w:t>
      </w:r>
    </w:p>
    <w:p>
      <w:pPr>
        <w:spacing w:after="0" w:line="171"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Our promotional materials and training methods must comply with FDA and other applicable national and foreign laws and regulations, including the prohibition of the promotion of off-label use. Physicians may use our products off-label, as the FDA and equivalent third country authorities do not restrict or regulate a physician’s choice of treatment within the practice of medicine. In the U.S., the full indication for the iFuse Implant System is: “The iFuse Implant System is intended for sacroiliac fusion for the following conditions: (i) Sacroiliac joint dysfunction that is a direct result of sacroiliac joint disruption and degenerative sacroiliitis. This includes conditions whose symptoms began during pregnancy or in the peripartum period and have persisted postpartum for more than 6 months. (ii) To augment immobilization and stabilization of the sacroiliac joint in skeletally mature patients undergoing sacropelvic fixation as part of a lumbar or thoracolumbar fusion. (iii) Acute, non-acute, and non-traumatic fractures involving the sacroiliac joint.” In the U.S., our marketing strategies must adhere to the above statements. In all other countries, the indication statement for the iFuse Implant System (including iFuse-3D) more broadly indicates that the device is indicated for sacroiliac joint fusion. The above-described potential limitation in indication statements in the U.S. does not apply in other geographies.</w:t>
      </w:r>
    </w:p>
    <w:p>
      <w:pPr>
        <w:spacing w:after="0" w:line="180"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We believe that the specific surgical procedures for which our products are marketed fall within the scope of the surgical applications that have been cleared by the FDA and our notified body. However, if the FDA or an equivalent third country authority determines that our promotional materials or training constitutes promotion of an off-label use, it could request that we modify our training or promotional materials, require us to stop promoting our products for those specific procedures until we obtain FDA or third country authority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spacing w:after="0" w:line="18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17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6"/>
          <w:szCs w:val="16"/>
          <w:color w:val="auto"/>
        </w:rPr>
        <w:t>Under the FDA’s medical device reporting, regulations, and equivalent rules of other countries we are required to report to the FDA or a similar authority in such other country, any information that our product may have caused or contributed to a death or serious injury or in which our product malfunctioned and, if the malfunction were to recur, would likely cause or contribute to death or serious injury. If we fail to report these events to the FDA or applicable authority in another country within the required timeframes, or at all, FDA, or the applicable authority in the other country could take enforcement action against us. Any such adverse event involving our products or repeated product malfunctions may result in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spacing w:after="0" w:line="168" w:lineRule="exact"/>
        <w:rPr>
          <w:sz w:val="20"/>
          <w:szCs w:val="20"/>
          <w:color w:val="auto"/>
        </w:rPr>
      </w:pPr>
    </w:p>
    <w:p>
      <w:pPr>
        <w:ind w:right="20" w:firstLine="445"/>
        <w:spacing w:after="0" w:line="238" w:lineRule="auto"/>
        <w:rPr>
          <w:sz w:val="20"/>
          <w:szCs w:val="20"/>
          <w:color w:val="auto"/>
        </w:rPr>
      </w:pPr>
      <w:r>
        <w:rPr>
          <w:rFonts w:ascii="Arial" w:cs="Arial" w:eastAsia="Arial" w:hAnsi="Arial"/>
          <w:sz w:val="18"/>
          <w:szCs w:val="18"/>
          <w:color w:val="auto"/>
        </w:rPr>
        <w:t>In the EEA, we must comply with the EU Medical Device Vigilance System. Under this system, incidents must be reported to the relevant authorities of the Member States of the EEA, and manufacturers are required to take Field Safety Corrective Actions (“FSCAs”), to reduce a risk of death or serious deterioration in the state of health associated with the use of a medical device that is already placed on the market.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An FSCA may include the recall, modification, exchange, destruction or retrofitting of the device. FSCAs must be communicated by the manufacturer or its legal representative to its customers and/or to the end users of the device through Field Safety Notices. The entry into application in May 2021 of the Medical Device Regulation will increase the obligation that we must fulfill in relation to vigilance and post-market surveillance obligations.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0" w:name="page61"/>
    <w:bookmarkEnd w:id="60"/>
    <w:p>
      <w:pPr>
        <w:jc w:val="both"/>
        <w:ind w:firstLine="445"/>
        <w:spacing w:after="0" w:line="257" w:lineRule="auto"/>
        <w:rPr>
          <w:sz w:val="20"/>
          <w:szCs w:val="20"/>
          <w:color w:val="auto"/>
        </w:rPr>
      </w:pPr>
      <w:r>
        <w:rPr>
          <w:rFonts w:ascii="Arial" w:cs="Arial" w:eastAsia="Arial" w:hAnsi="Arial"/>
          <w:sz w:val="17"/>
          <w:szCs w:val="17"/>
          <w:color w:val="auto"/>
        </w:rPr>
        <w:t>Any adverse event involving our products, whether in the U.S. or abroad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A recall of our products, either voluntarily or at the direction of the FDA or another governmental authority, including foreign governmental authorities, or the discovery of serious safety issues or malfunctions with our products, can result in voluntary corrective actions or agency enforcement actions, which could have a significant adverse impact on us.</w:t>
      </w:r>
    </w:p>
    <w:p>
      <w:pPr>
        <w:spacing w:after="0" w:line="18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spacing w:after="0" w:line="18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7"/>
          <w:szCs w:val="17"/>
          <w:color w:val="auto"/>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distributors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80"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The FDA requires that certain classifications of recalls be reported to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 Equivalent procedures and penalties have been established in other countries including EU Member States.</w:t>
      </w:r>
    </w:p>
    <w:p>
      <w:pPr>
        <w:spacing w:after="0" w:line="18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spacing w:after="0" w:line="124"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w:t>
      </w:r>
    </w:p>
    <w:p>
      <w:pPr>
        <w:spacing w:after="0" w:line="189" w:lineRule="exact"/>
        <w:rPr>
          <w:sz w:val="20"/>
          <w:szCs w:val="20"/>
          <w:color w:val="auto"/>
        </w:rPr>
      </w:pPr>
    </w:p>
    <w:p>
      <w:pPr>
        <w:jc w:val="both"/>
        <w:ind w:right="20" w:firstLine="445"/>
        <w:spacing w:after="0" w:line="279" w:lineRule="auto"/>
        <w:rPr>
          <w:sz w:val="20"/>
          <w:szCs w:val="20"/>
          <w:color w:val="auto"/>
        </w:rPr>
      </w:pPr>
      <w:r>
        <w:rPr>
          <w:rFonts w:ascii="Arial" w:cs="Arial" w:eastAsia="Arial" w:hAnsi="Arial"/>
          <w:sz w:val="16"/>
          <w:szCs w:val="16"/>
          <w:color w:val="auto"/>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In these circumstances, we may be subject to significant enforcement actions, regulatory fines, or penalties, which could require us to redesign our products and harm our operating results.</w:t>
      </w:r>
    </w:p>
    <w:p>
      <w:pPr>
        <w:spacing w:after="0" w:line="159"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6"/>
          <w:szCs w:val="16"/>
          <w:color w:val="auto"/>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1" w:name="page62"/>
    <w:bookmarkEnd w:id="61"/>
    <w:p>
      <w:pPr>
        <w:jc w:val="both"/>
        <w:ind w:firstLine="445"/>
        <w:spacing w:after="0" w:line="239" w:lineRule="auto"/>
        <w:rPr>
          <w:sz w:val="20"/>
          <w:szCs w:val="20"/>
          <w:color w:val="auto"/>
        </w:rPr>
      </w:pPr>
      <w:r>
        <w:rPr>
          <w:rFonts w:ascii="Arial" w:cs="Arial" w:eastAsia="Arial" w:hAnsi="Arial"/>
          <w:sz w:val="18"/>
          <w:szCs w:val="18"/>
          <w:color w:val="auto"/>
        </w:rPr>
        <w:t>In the EEA, we must inform the Notified Body that carried out the conformity assessment of the medical devices we market or sell in the EEA of any planned substantial changes to our quality system, manufacturing process, or changes to our devices which could affect compliance with the essential requirements or the devices’ intended use. The Notified Body will then assess the changes and verify whether they affect the products’ conformity with Essential Requirements and related applicable laws. There can be no assurances that the assessment will be favorable and that the Notified Body will attest to our compliance with the essential requirements, which will prevent us from selling our products in the EEA. Moreover, any substantial changes that take place in the coming years may impact the continuing effectiveness of our CE Certificates of Conformity that were issued on the basis of the Medical Device Directive.</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business prospects.</w:t>
      </w:r>
    </w:p>
    <w:p>
      <w:pPr>
        <w:spacing w:after="0" w:line="182"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or significant clinical evidence to support regulatory approval and we may not successfully complete these clinical trials. 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adversely affect our business prospects.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and our Notified Body may refuse to issue new CE Certificates of Conformity. Failure to receive clearance, approval, or Certificates of Conformity for our new products would have an adverse effect on our ability to expand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obtain or maintain foreign regulatory approvals to market our products in other countries.</w:t>
      </w:r>
    </w:p>
    <w:p>
      <w:pPr>
        <w:spacing w:after="0" w:line="21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7"/>
          <w:szCs w:val="17"/>
          <w:color w:val="auto"/>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Latin America, and the Middle East and other key 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spacing w:after="0" w:line="17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and the CE marking of our products in the EEA.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spacing w:after="0" w:line="18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Clinical trials necessary to support a 510(k) or PMA application or a conformity assessment procedure will be expensive and may require the enrollment of large numbers of patients, and suitable patients may be difficult to identify and recruit. Delays or failures in our clinical trials will prevent us from commercializing any modified or new products, or new indications for use for existing products, and will adversely affect our business, operating results and prospects.</w:t>
      </w:r>
    </w:p>
    <w:p>
      <w:pPr>
        <w:spacing w:after="0" w:line="188"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8"/>
          <w:szCs w:val="18"/>
          <w:color w:val="auto"/>
        </w:rPr>
        <w:t>Initiating and completing clinical trials necessary to support a PMA application for our future products and additional safety and effectiveness data beyond that typically required for a 510(k) clearance for iFuse, as well as other possible future product candidates, and to support a conformity assessment procedure to support a new CE Certificate of Conformity would be time consuming and expensive and the outcome uncertain. Moreover, the results of early clinical trials are not necessarily predictive of future results, and any product, or new indication for use, we advance into clinical trials may not have favorable results in later clinical trials.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2" w:name="page63"/>
    <w:bookmarkEnd w:id="62"/>
    <w:p>
      <w:pPr>
        <w:jc w:val="both"/>
        <w:ind w:firstLine="445"/>
        <w:spacing w:after="0" w:line="252" w:lineRule="auto"/>
        <w:rPr>
          <w:sz w:val="20"/>
          <w:szCs w:val="20"/>
          <w:color w:val="auto"/>
        </w:rPr>
      </w:pPr>
      <w:r>
        <w:rPr>
          <w:rFonts w:ascii="Arial" w:cs="Arial" w:eastAsia="Arial" w:hAnsi="Arial"/>
          <w:sz w:val="17"/>
          <w:szCs w:val="17"/>
          <w:color w:val="auto"/>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For example, the COVID-19 pandemic has caused substantial delays in site initiation and patient enrollment in our SILVIA trial designed to assess the safety and efficacy of our Bedrock technique.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spacing w:after="0" w:line="18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7"/>
          <w:szCs w:val="17"/>
          <w:color w:val="auto"/>
        </w:rPr>
        <w:t>Our facility and our clinical investigational sites operate under procedures that govern the conduct and management of FDA-regulated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results of our clinical trials may not support our product candidate claims or may result in the discovery of adverse side effects.</w:t>
      </w:r>
    </w:p>
    <w:p>
      <w:pPr>
        <w:spacing w:after="0" w:line="223"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6"/>
          <w:szCs w:val="16"/>
          <w:color w:val="auto"/>
        </w:rPr>
        <w:t>Even if our clinical trials are completed as planned, or on a delayed basis,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side effects that are not currently part of the product candidate’s profile.</w:t>
      </w:r>
    </w:p>
    <w:p>
      <w:pPr>
        <w:spacing w:after="0" w:line="163"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spacing w:after="0" w:line="124" w:lineRule="exact"/>
        <w:rPr>
          <w:sz w:val="20"/>
          <w:szCs w:val="20"/>
          <w:color w:val="auto"/>
        </w:rPr>
      </w:pPr>
    </w:p>
    <w:p>
      <w:pPr>
        <w:jc w:val="both"/>
        <w:ind w:firstLine="445"/>
        <w:spacing w:after="0" w:line="239" w:lineRule="auto"/>
        <w:rPr>
          <w:sz w:val="20"/>
          <w:szCs w:val="20"/>
          <w:color w:val="auto"/>
        </w:rPr>
      </w:pPr>
      <w:r>
        <w:rPr>
          <w:rFonts w:ascii="Arial" w:cs="Arial" w:eastAsia="Arial" w:hAnsi="Arial"/>
          <w:sz w:val="18"/>
          <w:szCs w:val="18"/>
          <w:color w:val="auto"/>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Moreover, the new Medical Device Regulation will enter into application on May 26, 2021.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w:t>
      </w:r>
    </w:p>
    <w:p>
      <w:pPr>
        <w:spacing w:after="0" w:line="19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7"/>
          <w:szCs w:val="17"/>
          <w:color w:val="auto"/>
        </w:rPr>
        <w:t>In December 2016, the 21st Century Cures Act was enacted, with a number of provisions impacting medical device regulation. The FDA has implemented, and continues to implement, these reforms, which could impose additional regulatory requirements upon us and delay our ability to obtain new 510(k) clearances, increase the costs of compliance or restrict our ability to maintain our current clearances.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75"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6"/>
          <w:szCs w:val="16"/>
          <w:color w:val="auto"/>
        </w:rPr>
        <w:t>Leadership, personnel and structural changes within the FDA as well as recent and impending federal election outcomes, including the 2020 presidential election,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3" w:name="page64"/>
    <w:bookmarkEnd w:id="63"/>
    <w:p>
      <w:pPr>
        <w:jc w:val="both"/>
        <w:ind w:firstLine="445"/>
        <w:spacing w:after="0" w:line="269" w:lineRule="auto"/>
        <w:rPr>
          <w:sz w:val="20"/>
          <w:szCs w:val="20"/>
          <w:color w:val="auto"/>
        </w:rPr>
      </w:pPr>
      <w:r>
        <w:rPr>
          <w:rFonts w:ascii="Arial" w:cs="Arial" w:eastAsia="Arial" w:hAnsi="Arial"/>
          <w:sz w:val="16"/>
          <w:szCs w:val="16"/>
          <w:color w:val="auto"/>
        </w:rPr>
        <w:t>Another example can be found in the EEA. The Medical Devices Regulation became effective on May 25, 2017. Following its entry into application on May 26, 2020, the Medical Devices Regulation will introduce substantial changes to the obligations with which medical device manufacturers must comply in the EEA. High risk medical devices will be subject to additional scrutiny during the conformity assessment procedure. Specifically, the Medical Devices Regulation repeals and replaces the EU Medical Devices Directive. Unlike directives, which must be implemented into the national laws of the EEA Member States, regulations are directly applicable, i.e., without the need for adoption of national legislation in EEA Member States implementing them. The purpose of regulations is to eliminate current differences in regulation of medical devices among EEA Member States. The Medical Devices Regulation, among other things, is intended to establish a uniform, transparent, predictable and sustainable regulatory framework across the EEA for</w:t>
      </w:r>
    </w:p>
    <w:p>
      <w:pPr>
        <w:spacing w:after="0" w:line="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medical devices to ensure a high level of safety and health while supporting innovation. These regulations will substantially impact medical devices manufacturers. Examples of the changes which will be introduced by these regulations include the following:</w:t>
      </w:r>
    </w:p>
    <w:p>
      <w:pPr>
        <w:spacing w:after="0" w:line="158" w:lineRule="exact"/>
        <w:rPr>
          <w:sz w:val="20"/>
          <w:szCs w:val="20"/>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additional scrutiny during the conformity assessment procedure for high risk medical devices;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strengthening of the clinical data requirements related to medical devices;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strengthening of the designation and monitoring processes governing notified bodies;</w:t>
      </w:r>
    </w:p>
    <w:p>
      <w:pPr>
        <w:spacing w:after="0" w:line="211" w:lineRule="exact"/>
        <w:rPr>
          <w:rFonts w:ascii="Arial" w:cs="Arial" w:eastAsia="Arial" w:hAnsi="Arial"/>
          <w:sz w:val="18"/>
          <w:szCs w:val="18"/>
          <w:color w:val="auto"/>
        </w:rPr>
      </w:pPr>
    </w:p>
    <w:p>
      <w:pPr>
        <w:ind w:left="900" w:hanging="406"/>
        <w:spacing w:after="0" w:line="261" w:lineRule="auto"/>
        <w:tabs>
          <w:tab w:leader="none" w:pos="83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obligation for manufacturers and authorized representative to have a person responsible for regulatory compliance continuously at their disposal;</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authorized representatives would be held legally responsible and liable for defective products placed on the EU market;</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traceability of medical devices following the introduction of a Unique Device Identification (“UDI”), system;</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new rules governing the reprocessing of medical devices; and</w:t>
      </w:r>
    </w:p>
    <w:p>
      <w:pPr>
        <w:spacing w:after="0" w:line="211" w:lineRule="exact"/>
        <w:rPr>
          <w:rFonts w:ascii="Arial" w:cs="Arial" w:eastAsia="Arial" w:hAnsi="Arial"/>
          <w:sz w:val="18"/>
          <w:szCs w:val="18"/>
          <w:color w:val="auto"/>
        </w:rPr>
      </w:pPr>
    </w:p>
    <w:p>
      <w:pPr>
        <w:jc w:val="both"/>
        <w:ind w:left="900" w:hanging="406"/>
        <w:spacing w:after="0" w:line="248" w:lineRule="auto"/>
        <w:tabs>
          <w:tab w:leader="none" w:pos="876"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transparency with the establishment of European database on medical devices (“EUDAMED”) III as information from several databases concerning economic operators, CE Certificates of Conformity, conformity assessment, clinical investigations, the UDI system, adverse event reporting and market surveillance would be available to the public.</w:t>
      </w:r>
    </w:p>
    <w:p>
      <w:pPr>
        <w:spacing w:after="0" w:line="182"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6"/>
          <w:szCs w:val="16"/>
          <w:color w:val="auto"/>
        </w:rPr>
        <w:t>The Medical Device Regulation substantially augments the provisions of the Medical Device Directive governing clinical investigations of medical devices. Among other things, it imposes specific obligations concerning incapacitated subjects, minors, pregnant or breastfeeding women and clinical investigations in emergency situations. In addition to detailed provisions concerning the authorization and conduct of clinical investigations, the Regulation imposes on non-EU sponsors a responsibility to appoint a legal representative established in the EU and an obligation on EU Member States to ensure that systems for compensation for any damage suffered by a subject resulting from participation in a clinical investigation conducted on their territory are in place and places on sponsors and investigators the obligation to ensure they make use of these systems.</w:t>
      </w:r>
    </w:p>
    <w:p>
      <w:pPr>
        <w:spacing w:after="0" w:line="161"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7"/>
          <w:szCs w:val="17"/>
          <w:color w:val="auto"/>
        </w:rPr>
        <w:t>Transition from the regulation of our products under the current Medical Device Directive, and implementing legislation in each EU Member State, to regulation under the Medical Devices Regulation may require a substantial transition effort by us. In addition, detail as to how certain aspects of the Medical Devices Regulation will be applied remains unclear. Failure to update our quality system and regulatory documentation could delay our transition to compliance with the Medical Devices Regulation and delay or prevent us from obtaining new CE Certificates of Conformity under the Regulation. Transition from compliance with the Medical Device Directive to the Medical Devices Regulation could result in disruption to our business in the EEA which could adversely affect our business, results of operation and financial condition. In addition, any changes to the membership of the European Union, such as the departure of the United Kingdom from the EU, may impact the regulatory requirements for the impacted countries and impair our business operations and our ability to market products in such countries.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4" w:name="page65"/>
    <w:bookmarkEnd w:id="64"/>
    <w:p>
      <w:pPr>
        <w:jc w:val="both"/>
        <w:ind w:firstLine="445"/>
        <w:spacing w:after="0" w:line="269" w:lineRule="auto"/>
        <w:rPr>
          <w:sz w:val="20"/>
          <w:szCs w:val="20"/>
          <w:color w:val="auto"/>
        </w:rPr>
      </w:pPr>
      <w:r>
        <w:rPr>
          <w:rFonts w:ascii="Arial" w:cs="Arial" w:eastAsia="Arial" w:hAnsi="Arial"/>
          <w:sz w:val="16"/>
          <w:szCs w:val="16"/>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Recent political, economic, and regulatory influences are subjecting the healthcare industry to fundamental changes that can impact coverage and reimbursement from third-party payors. For example, Patient Protection and Affordable Care Act, as amended by the Health Care and Education Reconciliation Act of 2011, among other things, reduced and/or limited Medicare reimbursement to certain providers. Legislative changes to the Patient Protection and Affordable Care Act remain possible in the 116th U.S. Congress and under the Trump Administration. We expect that the Patient Protection and Affordable Care Act, as currently enacted or as it may be amended in the future, and other healthcare reform measures that may be adopted in the future, could have a material adverse effect on our industry generally and on our ability to maintain or increase sales of our existing products. Other federal laws further reduce Medicare’s payments to providers by two percent through 2024. These reductions may reduce reimbursement for procedures performed using our products, which could potentially negatively impact our revenue, and may reduce providers’ revenues or profits, which could affect their ability to purchase new technologies. Both the federal and state governments in the U.S.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1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Our business exposes us to potential product liability claims that are inherent in the testing, design, manufacture, and sale of surgical devices. Sacroiliac joint and other orthopedic spine surgeries involve significant risk of serious complications, including bleeding, nerve injury, paralysis, and even death. Surgeons may misuse or ineffectively use our products, which may result in unsatisfactory patient outcomes or patient injury. In addition, if longer-term patient results and experience indicate that our products or any component of a product cause tissue damage, motor impairment, or other adverse effects, we could be subject to significant liability.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spacing w:after="0" w:line="181"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spacing w:after="0" w:line="188"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environmental laws and regulations that can impose significant costs and expose us to potential financial liabilities.</w:t>
      </w:r>
    </w:p>
    <w:p>
      <w:pPr>
        <w:spacing w:after="0" w:line="223"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The manufacture of certain of our products, including our implants and products, and the handling of materials used in the product testing process, including in our cadaveric laboratory,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The comprehensive tax reform bill adopted in 2017 could adversely affect our business and financial condition.</w:t>
      </w:r>
    </w:p>
    <w:p>
      <w:pPr>
        <w:spacing w:after="0" w:line="212"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7"/>
          <w:szCs w:val="17"/>
          <w:color w:val="auto"/>
        </w:rPr>
        <w:t>On December 22, 2017, President Trump signed into law new legislation that significantly revised the Internal Revenue Code of 1986, as amended, or the Code. The newly enacted federal income tax law,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arising after 2017 to 80% of current year taxable income and elimination of carrybacks of such net operating losses,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modification or repeal of many business deductions and credits. Notwithstanding the reduction in the corporate income tax rate, the overall impact of the new federal tax law is uncertain and our business and financial condition could be adversely affected. In addition, it is uncertain if and to what extent various states will conform to the newly enacted federal tax law.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18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The UK’s withdrawal from the EU and uncertainty regarding tariffs affecting U.S. imports and exports may have a negative effect on global economic conditions, financial markets and our business.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7"/>
          <w:szCs w:val="17"/>
          <w:color w:val="auto"/>
        </w:rPr>
        <w:t>On January 31, 2020, the UK withdrew from the EU. Brexit has created significant uncertainty concerning the future relationship between the UK and the EU. In light of the fact that a significant portion of the regulatory framework in the UK is derived from EU laws, Brexit could materially impact the regulatory regime with respect to the development, manufacture, importation, approval and commercialization of our product in the UK or the EU. Any changes in our manufacturing or commercialization activities as a result of Brexit, could increase our costs and otherwise adversely affect our business. In addition, currency exchange rates for the British Pound and the euro with respect to each other and to the U.S. dollar have already been, and may continue to be, negatively affected by Brexit, which could cause volatility in our quarterly financial results.</w:t>
      </w:r>
    </w:p>
    <w:p>
      <w:pPr>
        <w:spacing w:after="0" w:line="175"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6"/>
          <w:szCs w:val="16"/>
          <w:color w:val="auto"/>
        </w:rPr>
        <w:t>We do not know to what extent, or when, the UK’s withdrawal from the EU or any other future changes to membership in the EU will impact our business. The UK could lose the benefits of global trade agreements negotiated by the EU on behalf of its members, possibly resulting in increased trade</w:t>
      </w:r>
    </w:p>
    <w:p>
      <w:pPr>
        <w:jc w:val="both"/>
        <w:spacing w:after="0" w:line="268" w:lineRule="auto"/>
        <w:rPr>
          <w:sz w:val="20"/>
          <w:szCs w:val="20"/>
          <w:color w:val="auto"/>
        </w:rPr>
      </w:pPr>
      <w:r>
        <w:rPr>
          <w:rFonts w:ascii="Arial" w:cs="Arial" w:eastAsia="Arial" w:hAnsi="Arial"/>
          <w:sz w:val="18"/>
          <w:szCs w:val="18"/>
          <w:color w:val="auto"/>
        </w:rPr>
        <w:t>barriers, which could make doing business in the UK more difficult and/or costly. Moreover, in the U.S., tariffs on certain U.S. imports have recently been imposed, and the EU and other countries have responded with retaliatory tariffs on certain U.S. exports. We cannot predict what effects these and potential additional tariffs will have on our business, including in the context of escalating global trade and political tensions. However, these tariffs and other trade restrictions, whether resulting from the UK’s withdrawal from the EU or otherwise, could increase our cost of doing business, reduce our gross margins or otherwise negatively impact our business and our financial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14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7"/>
          <w:szCs w:val="17"/>
          <w:color w:val="auto"/>
        </w:rPr>
        <w:t>We rely primarily on patent, copyright, trademark and trade secret laws, as well as confidentiality and nondisclosure agreements and other methods, to protect our proprietary technologies and know-how. As of September 30, 2020, we owned 40 issued U.S. patents and had 25 pending U.S. patent applications, and we owned 13 issued foreign patents and had 6 pending foreign patent applications. We have focused the majority of our foreign patent efforts in China, Europe, and Japan. Our current U.S. patents on iFuse, including the triangular shape, expire in August 2024. Competitors may market similar triangular shaped devices upon the expiration of the patents in late 2024. Our current U.S. patents on iFuse 3D, including the fenestrated design, expire in September 2035. Our foreign patents will expire between August 2025 and October 2031.</w:t>
      </w:r>
    </w:p>
    <w:p>
      <w:pPr>
        <w:spacing w:after="0" w:line="175" w:lineRule="exact"/>
        <w:rPr>
          <w:sz w:val="20"/>
          <w:szCs w:val="20"/>
          <w:color w:val="auto"/>
        </w:rPr>
      </w:pPr>
    </w:p>
    <w:p>
      <w:pPr>
        <w:ind w:right="20" w:firstLine="486"/>
        <w:spacing w:after="0" w:line="261" w:lineRule="auto"/>
        <w:rPr>
          <w:sz w:val="20"/>
          <w:szCs w:val="20"/>
          <w:color w:val="auto"/>
        </w:rPr>
      </w:pPr>
      <w:r>
        <w:rPr>
          <w:rFonts w:ascii="Arial" w:cs="Arial" w:eastAsia="Arial" w:hAnsi="Arial"/>
          <w:sz w:val="18"/>
          <w:szCs w:val="18"/>
          <w:color w:val="auto"/>
        </w:rPr>
        <w:t>As of September 30, 2020, we have 13 registered trademarks in the U.S. and have filed for 10 more. We have sought protection for at least 2 of these trademarks in 60 countries including the 28 European member countries of the Madrid Protocol.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6" w:name="page67"/>
    <w:bookmarkEnd w:id="66"/>
    <w:p>
      <w:pPr>
        <w:jc w:val="both"/>
        <w:ind w:firstLine="445"/>
        <w:spacing w:after="0" w:line="252" w:lineRule="auto"/>
        <w:rPr>
          <w:sz w:val="20"/>
          <w:szCs w:val="20"/>
          <w:color w:val="auto"/>
        </w:rPr>
      </w:pPr>
      <w:r>
        <w:rPr>
          <w:rFonts w:ascii="Arial" w:cs="Arial" w:eastAsia="Arial" w:hAnsi="Arial"/>
          <w:sz w:val="17"/>
          <w:szCs w:val="17"/>
          <w:color w:val="auto"/>
        </w:rPr>
        <w:t>We have applied for patent protection relating to certain existing and proposed products and processes. While we generally apply for patents in those countries where we intend to make, have made, use, or sell our products, we may not accurately predict all of the countries where patent protection will ultimately be desirable. If we fail to timely file a patent application in any such country, we may be precluded from doing so at a later date. Furthermore, we cannot assure investors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that are comparable to ours without infringing on our intellectual property rights. Due to differences between foreign and U.S. patent laws, our patented intellectual property rights may not receive the same degree of protection in foreign countries as they would in the U.S. Even if patents are granted outside the U.S., effective enforcement in those countries may not be available. Since most of our issued patents are for the U.S.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spacing w:after="0" w:line="180"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We rely on our trademarks, trade names and brand names to distinguish our products from the products of our competitors and have registered or applied to register many of these trademarks. We cannot assure investors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investors that competitors will not infringe upon our trademarks, or that we will have adequate resources to enforce our trademarks.</w:t>
      </w:r>
    </w:p>
    <w:p>
      <w:pPr>
        <w:spacing w:after="0" w:line="189"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7"/>
          <w:szCs w:val="17"/>
          <w:color w:val="auto"/>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spacing w:after="0" w:line="181"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6"/>
          <w:szCs w:val="16"/>
          <w:color w:val="auto"/>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spacing w:after="0" w:line="163"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7" w:name="page68"/>
    <w:bookmarkEnd w:id="67"/>
    <w:p>
      <w:pPr>
        <w:jc w:val="both"/>
        <w:ind w:right="20"/>
        <w:spacing w:after="0" w:line="324" w:lineRule="auto"/>
        <w:rPr>
          <w:sz w:val="20"/>
          <w:szCs w:val="20"/>
          <w:color w:val="auto"/>
        </w:rPr>
      </w:pPr>
      <w:r>
        <w:rPr>
          <w:rFonts w:ascii="Arial" w:cs="Arial" w:eastAsia="Arial" w:hAnsi="Arial"/>
          <w:sz w:val="16"/>
          <w:szCs w:val="16"/>
          <w:b w:val="1"/>
          <w:bCs w:val="1"/>
          <w:i w:val="1"/>
          <w:iCs w:val="1"/>
          <w:color w:val="auto"/>
        </w:rPr>
        <w:t>We may be subject to damages resulting from claims that we, our employees, or our third-party distributors have wrongfully used or disclosed alleged trade secrets of our competitors or are in breach of non-competition or non-solicitation agreements with our competitors.</w:t>
      </w:r>
    </w:p>
    <w:p>
      <w:pPr>
        <w:spacing w:after="0" w:line="12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7"/>
          <w:szCs w:val="17"/>
          <w:color w:val="auto"/>
        </w:rPr>
        <w:t>Many of our employees were previously employed at other medical device companies, including our competitors or potential competitors, in some cases until recently. Some of our third-party distributors sell, or in the past have sold, products of our competitors. We may be subject to claims that we, our employees, or our third-party distributors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occur,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spacing w:after="0" w:line="180" w:lineRule="exact"/>
        <w:rPr>
          <w:sz w:val="20"/>
          <w:szCs w:val="20"/>
          <w:color w:val="auto"/>
        </w:rPr>
      </w:pPr>
    </w:p>
    <w:p>
      <w:pPr>
        <w:jc w:val="both"/>
        <w:spacing w:after="0" w:line="362" w:lineRule="auto"/>
        <w:rPr>
          <w:sz w:val="20"/>
          <w:szCs w:val="20"/>
          <w:color w:val="auto"/>
        </w:rPr>
      </w:pPr>
      <w:r>
        <w:rPr>
          <w:rFonts w:ascii="Arial" w:cs="Arial" w:eastAsia="Arial" w:hAnsi="Arial"/>
          <w:sz w:val="15"/>
          <w:szCs w:val="15"/>
          <w:b w:val="1"/>
          <w:bCs w:val="1"/>
          <w:i w:val="1"/>
          <w:iCs w:val="1"/>
          <w:color w:val="auto"/>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spacing w:after="0" w:line="101" w:lineRule="exact"/>
        <w:rPr>
          <w:sz w:val="20"/>
          <w:szCs w:val="20"/>
          <w:color w:val="auto"/>
        </w:rPr>
      </w:pPr>
    </w:p>
    <w:p>
      <w:pPr>
        <w:jc w:val="both"/>
        <w:ind w:firstLine="445"/>
        <w:spacing w:after="0" w:line="251" w:lineRule="auto"/>
        <w:rPr>
          <w:sz w:val="20"/>
          <w:szCs w:val="20"/>
          <w:color w:val="auto"/>
        </w:rPr>
      </w:pPr>
      <w:r>
        <w:rPr>
          <w:rFonts w:ascii="Arial" w:cs="Arial" w:eastAsia="Arial" w:hAnsi="Arial"/>
          <w:sz w:val="17"/>
          <w:szCs w:val="17"/>
          <w:color w:val="auto"/>
        </w:rPr>
        <w:t>Our commercial success will depend in part on not infringing the patents or violating the other proprietary rights of third parties. Significant litigation regarding patent rights exists in our industry. Our competitors in both the U.S.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 For example, fee shifting legislation could require a non-prevailing party to pay the attorney fees of the prevailing party in some circumstances.</w:t>
      </w:r>
    </w:p>
    <w:p>
      <w:pPr>
        <w:spacing w:after="0" w:line="183"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In addition, we generally indemnify our customers and third-party distributors with respect to infringement by our products of the proprietary rights of third parties. Third parties may assert infringement claims against our customers or third-party distributors. These claims may require us to initiate or defend protracted and costly litigation on behalf of our customers or third-party distributors, regardless of the merits of these claims. If any of these claims succeed, we may be forced to pay damages on behalf of our customers or third-party distributors or may be required to obtain licenses to intellectual property owned by such third parties. If we cannot obtain all necessary licenses on commercially reasonable terms, our customers and third-party distributors may be forced to stop using or selling our products.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the value of an investment in our common stock could decline.</w:t>
      </w:r>
    </w:p>
    <w:p>
      <w:pPr>
        <w:spacing w:after="0" w:line="21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spacing w:after="0" w:line="182" w:lineRule="exact"/>
        <w:rPr>
          <w:sz w:val="20"/>
          <w:szCs w:val="20"/>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that the COVID-19 pandemic has on our business;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our clinical trials and that of our competitors’ products;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8" w:name="page69"/>
    <w:bookmarkEnd w:id="68"/>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211" w:lineRule="exact"/>
        <w:rPr>
          <w:rFonts w:ascii="Arial" w:cs="Arial" w:eastAsia="Arial" w:hAnsi="Arial"/>
          <w:sz w:val="18"/>
          <w:szCs w:val="18"/>
          <w:color w:val="auto"/>
        </w:rPr>
      </w:pPr>
    </w:p>
    <w:p>
      <w:pPr>
        <w:ind w:left="900" w:hanging="406"/>
        <w:spacing w:after="0" w:line="261" w:lineRule="auto"/>
        <w:tabs>
          <w:tab w:leader="none" w:pos="872"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of new offerings, products, services or technologies, commercial relationships, acquisitions, or other events by us or our competitors;</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11" w:lineRule="exact"/>
        <w:rPr>
          <w:rFonts w:ascii="Arial" w:cs="Arial" w:eastAsia="Arial" w:hAnsi="Arial"/>
          <w:sz w:val="18"/>
          <w:szCs w:val="18"/>
          <w:color w:val="auto"/>
        </w:rPr>
      </w:pPr>
    </w:p>
    <w:p>
      <w:pPr>
        <w:ind w:left="900" w:hanging="406"/>
        <w:spacing w:after="0" w:line="261" w:lineRule="auto"/>
        <w:tabs>
          <w:tab w:leader="none" w:pos="742"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healthcare companies, in general, and of companies in the medical device industry in particular;</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negative publicity;</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 or those expectations change;</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developments in the U.S., foreign countries, or both;</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lock-up releases and sales of large blocks of our common stock;</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or departures of key employees or scientific personnel; and</w:t>
      </w:r>
    </w:p>
    <w:p>
      <w:pPr>
        <w:spacing w:after="0" w:line="211" w:lineRule="exact"/>
        <w:rPr>
          <w:rFonts w:ascii="Arial" w:cs="Arial" w:eastAsia="Arial" w:hAnsi="Arial"/>
          <w:sz w:val="18"/>
          <w:szCs w:val="18"/>
          <w:color w:val="auto"/>
        </w:rPr>
      </w:pPr>
    </w:p>
    <w:p>
      <w:pPr>
        <w:ind w:left="740" w:hanging="246"/>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12" w:lineRule="exact"/>
        <w:rPr>
          <w:sz w:val="20"/>
          <w:szCs w:val="20"/>
          <w:color w:val="auto"/>
        </w:rPr>
      </w:pPr>
    </w:p>
    <w:p>
      <w:pPr>
        <w:jc w:val="both"/>
        <w:ind w:firstLine="445"/>
        <w:spacing w:after="0" w:line="276" w:lineRule="auto"/>
        <w:rPr>
          <w:sz w:val="20"/>
          <w:szCs w:val="20"/>
          <w:color w:val="auto"/>
        </w:rPr>
      </w:pPr>
      <w:r>
        <w:rPr>
          <w:rFonts w:ascii="Arial" w:cs="Arial" w:eastAsia="Arial" w:hAnsi="Arial"/>
          <w:sz w:val="16"/>
          <w:szCs w:val="16"/>
          <w:color w:val="auto"/>
        </w:rPr>
        <w:t>In addition, if the market for healthcare stocks or the stock market, in general, experience a further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sales volumes and our operating results may fluctuate over the course of the year, which could affect the price of our common stock.</w:t>
      </w:r>
    </w:p>
    <w:p>
      <w:pPr>
        <w:spacing w:after="0" w:line="223" w:lineRule="exact"/>
        <w:rPr>
          <w:sz w:val="20"/>
          <w:szCs w:val="20"/>
          <w:color w:val="auto"/>
        </w:rPr>
      </w:pPr>
    </w:p>
    <w:p>
      <w:pPr>
        <w:jc w:val="both"/>
        <w:ind w:firstLine="450"/>
        <w:spacing w:after="0" w:line="261" w:lineRule="auto"/>
        <w:rPr>
          <w:sz w:val="20"/>
          <w:szCs w:val="20"/>
          <w:color w:val="auto"/>
        </w:rPr>
      </w:pPr>
      <w:r>
        <w:rPr>
          <w:rFonts w:ascii="Arial" w:cs="Arial" w:eastAsia="Arial" w:hAnsi="Arial"/>
          <w:sz w:val="18"/>
          <w:szCs w:val="18"/>
          <w:color w:val="auto"/>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spacing w:after="0" w:line="171" w:lineRule="exact"/>
        <w:rPr>
          <w:sz w:val="20"/>
          <w:szCs w:val="20"/>
          <w:color w:val="auto"/>
        </w:rPr>
      </w:pPr>
    </w:p>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that the COVID-19 pandemic has on our business;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payor coverage and reimbursement;</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of products sold in the quarter and our ability to drive increased sales of our products;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establish and maintain an effective and dedicated sales force;</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pricing pressure applicable to our products, including adverse third-party coverage and reimbursement outcomes;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products and products in development;</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mix of our products sold because profit margins differ amongst our products;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materials and components;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evolving product offerings of our competitors;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demand for, and pricing of, our products and the products of our competitors;</w:t>
      </w:r>
    </w:p>
    <w:p>
      <w:pPr>
        <w:sectPr>
          <w:pgSz w:w="11900" w:h="16838" w:orient="portrait"/>
          <w:cols w:equalWidth="0" w:num="1">
            <w:col w:w="11240"/>
          </w:cols>
          <w:pgMar w:left="320" w:top="12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69" w:name="page70"/>
    <w:bookmarkEnd w:id="69"/>
    <w:p>
      <w:pPr>
        <w:ind w:left="900" w:hanging="40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factors that may affect the sale of our products, including seasonality and budgets of our customers;</w:t>
      </w:r>
    </w:p>
    <w:p>
      <w:pPr>
        <w:spacing w:after="0" w:line="211" w:lineRule="exact"/>
        <w:rPr>
          <w:rFonts w:ascii="Arial" w:cs="Arial" w:eastAsia="Arial" w:hAnsi="Arial"/>
          <w:sz w:val="18"/>
          <w:szCs w:val="18"/>
          <w:color w:val="auto"/>
        </w:rPr>
      </w:pPr>
    </w:p>
    <w:p>
      <w:pPr>
        <w:ind w:left="900" w:right="20" w:hanging="406"/>
        <w:spacing w:after="0" w:line="261" w:lineRule="auto"/>
        <w:tabs>
          <w:tab w:leader="none" w:pos="8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domestic and international regulatory clearances or approvals, or CE Certificates of Conformity, and legislative changes affecting the products we may offer or those of our competitors;</w:t>
      </w:r>
    </w:p>
    <w:p>
      <w:pPr>
        <w:spacing w:after="0" w:line="170" w:lineRule="exact"/>
        <w:rPr>
          <w:rFonts w:ascii="Arial" w:cs="Arial" w:eastAsia="Arial" w:hAnsi="Arial"/>
          <w:sz w:val="18"/>
          <w:szCs w:val="18"/>
          <w:color w:val="auto"/>
        </w:rPr>
      </w:pPr>
    </w:p>
    <w:p>
      <w:pPr>
        <w:ind w:left="900" w:hanging="40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 of competing technological, industry and market developments;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expand the geographic reach of our sales and marketing efforts;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of maintaining adequate insurance coverage, including product liability insurance;</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availability and cost of components and materials;</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of selling days in the quarter;</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 in foreign currency exchange rates; and</w:t>
      </w:r>
    </w:p>
    <w:p>
      <w:pPr>
        <w:spacing w:after="0" w:line="211" w:lineRule="exact"/>
        <w:rPr>
          <w:rFonts w:ascii="Arial" w:cs="Arial" w:eastAsia="Arial" w:hAnsi="Arial"/>
          <w:sz w:val="18"/>
          <w:szCs w:val="18"/>
          <w:color w:val="auto"/>
        </w:rPr>
      </w:pPr>
    </w:p>
    <w:p>
      <w:pPr>
        <w:ind w:left="900" w:hanging="40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impairment and other special charges.</w:t>
      </w:r>
    </w:p>
    <w:p>
      <w:pPr>
        <w:spacing w:after="0" w:line="212" w:lineRule="exact"/>
        <w:rPr>
          <w:sz w:val="20"/>
          <w:szCs w:val="20"/>
          <w:color w:val="auto"/>
        </w:rPr>
      </w:pPr>
    </w:p>
    <w:p>
      <w:pPr>
        <w:jc w:val="both"/>
        <w:ind w:firstLine="450"/>
        <w:spacing w:after="0" w:line="274" w:lineRule="auto"/>
        <w:rPr>
          <w:sz w:val="20"/>
          <w:szCs w:val="20"/>
          <w:color w:val="auto"/>
        </w:rPr>
      </w:pPr>
      <w:r>
        <w:rPr>
          <w:rFonts w:ascii="Arial" w:cs="Arial" w:eastAsia="Arial" w:hAnsi="Arial"/>
          <w:sz w:val="16"/>
          <w:szCs w:val="16"/>
          <w:color w:val="auto"/>
        </w:rPr>
        <w:t>Some of the products we may seek to develop and introduce in the future will require FDA clearance or approval before commercialization in the U.S., and commercialization of such products outside of the U.S.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We may be unable to utilize our federal and state net operating loss carryforwards to reduce our income taxes.</w:t>
      </w:r>
    </w:p>
    <w:p>
      <w:pPr>
        <w:spacing w:after="0" w:line="212"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6"/>
          <w:szCs w:val="16"/>
          <w:color w:val="auto"/>
        </w:rPr>
        <w:t>As of December 31, 2019, we had net operating loss (“NOL”) carryforwards of $164.4 million and $129.6 million available to reduce future taxable income, if any, for U.S. federal income tax and state income tax purposes, respectively. If not utilized, our federal and state NOLs carryforwards begin to expire in 2028 and 2020, respectively, subject to the recent California franchise tax law change affecting California state NOLs mentioned below. Portions of these NOL carryforwards could expire unused and be unavailable to offset future income tax liabilities. Under legislation enacted in 2017, as modified</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by legislation enacted in 2020, unused U.S. federal NOLs generated in tax years beginning after December 31, 2017</w:t>
      </w:r>
      <w:r>
        <w:rPr>
          <w:rFonts w:ascii="Arial" w:cs="Arial" w:eastAsia="Arial" w:hAnsi="Arial"/>
          <w:sz w:val="19"/>
          <w:szCs w:val="19"/>
          <w:color w:val="auto"/>
        </w:rPr>
        <w:t>,</w:t>
      </w:r>
      <w:r>
        <w:rPr>
          <w:rFonts w:ascii="Arial" w:cs="Arial" w:eastAsia="Arial" w:hAnsi="Arial"/>
          <w:sz w:val="16"/>
          <w:szCs w:val="16"/>
          <w:color w:val="auto"/>
        </w:rPr>
        <w:t xml:space="preserve"> will not expire and may be carried forward indefinitely, but the deductibility of such federal NOLs in taxable years beginning after December 31, 2020, is limited to 80% of taxable income. At the state level, there may be periods during which the use of NOLs is suspended or otherwise limited. In addition, under Section 382 of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have determined that we have experienced Section 382 ownership changes in 2010 and $1.4 million of our NOLs and tax credit carryforwards are subject to limitation. We also updated our Section 382 ownership change analysis through June 30, 2019, considering the changes in ownership following our IPO in October 2018. Based on the result of the analysis, we concluded that we did not undergo ownership change that would require for any additional limitations on our NOL carryforwards. We further concluded that the equity shift between June 30, 2019 to December 31, 2019 was not material, considering the changes in the outstanding number of shares at each respective period. We expect to update our Section 382 ownership change analysis during the fourth quarter of 2020, to include the impact of the completion of our follow-on public offerings in the first quarter of 2020 and in October 2020, as we may experience ownership changes that could materially limit our ability to use our NOL carryforwards, which may harm our future operating results by effectively increasing our future tax obligations.</w:t>
      </w:r>
    </w:p>
    <w:p>
      <w:pPr>
        <w:spacing w:after="0" w:line="169"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The California Assembly Bill 85 (AB 85) was signed into law by Governor Gavin Newsom on June 29, 2020. The legislation suspends the California NOL deductions for 2020, 2021, and 2022 for certain taxpayers and imposes a limitation of certain California Tax Credits for 2020, 2021, and 2022. The legislation disallows the use of California NOL deductions if the taxpayer recognizes business income and its adjusted gross income is greater than $1.0 million. The carryover periods for NOL deductions disallowed by this provision will be extended. Given that we expect to be at a loss position in the current year, the new legislation will not impact our current year provision. We will continue to monitor the possible California NOLs and credit limitation in future periods.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consequently, our stockholders' ability to achieve a return on investment in our common stock will depend on appreciation in the price of our common stock.</w:t>
      </w:r>
    </w:p>
    <w:p>
      <w:pPr>
        <w:spacing w:after="0" w:line="171"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We have never declared or paid any dividends on our common stock. We intend to retain any earnings to finance the operation and expansion of our business, and we do not anticipate paying any cash dividends in the future. As a result, our stockholders may only receive a return on an investment in our common stock if the market price of our common stock increases. In addition, our loan and security agreements contain restrictions on our ability to pay dividends.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term loan contains covenants that may restrict our business and financing activities.</w:t>
      </w:r>
    </w:p>
    <w:p>
      <w:pPr>
        <w:spacing w:after="0" w:line="212"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On May 29, 2020, we entered into a Loan and Security Agreement with Solar Capital Ltd. (“Solar”), pursuant to which we borrowed $40.0 million pursuant to a term loan (the “Solar Term Loan”). We used the proceeds of the Solar Term Loan to repay in full and terminate our credit facility with BioPharma Credit Investments IV Sub LP.</w:t>
      </w:r>
    </w:p>
    <w:p>
      <w:pPr>
        <w:spacing w:after="0" w:line="182"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6"/>
          <w:szCs w:val="16"/>
          <w:color w:val="auto"/>
        </w:rPr>
        <w:t>The Loan and Security Agreement with Solar contains customary events of default, including bankruptcy, the failure to make payments when due, the occurrence of a material impairment on the lenders’ security interest over the collateral, a material adverse change, the occurrence of a default under certain other indebtedness of us or our subsidiaries, the rendering of certain types of judgments against us or our subsidiaries, the revocation of certain government approvals, violation of covenants, and incorrectness of representations and warranties in any material respect. Upon the occurrence of an event of default, subject to specified cure periods, all amounts owed by us would begin to bear interest at a rate that is 5.00% above the rate effective immediately before the event of default and may be declared immediately due and payable by the Lenders. The Loan and Security Agreement with Solar also contains certain restrictive covenants that limit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as well as financial reporting requirements.</w:t>
      </w:r>
    </w:p>
    <w:p>
      <w:pPr>
        <w:spacing w:after="0" w:line="16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6"/>
          <w:szCs w:val="16"/>
          <w:color w:val="auto"/>
        </w:rPr>
        <w:t>The Solar Term Loan is secured by substantially all of our assets. The Loan and Security Agreement with Solar also contains a financial covenant related to our liquidity based on our trailing twelve-month net product revenues. We are required to hold at least $15.0 million in cash and cash equivalents so long as trailing twelve-month net product revenues are less than $75.0 million and at least $7.5 million in cash and cash equivalents so long as trailing twelve-month net product revenues are greater than or equal to $75.0 million but less than $100.0 million (collectively “Minimum Liquidity Requirements”). We are not subject to a Minimum Liquidity Requirement when trailing twelve-month net product revenues exceeds $100.0 million.</w:t>
      </w:r>
    </w:p>
    <w:p>
      <w:pPr>
        <w:sectPr>
          <w:pgSz w:w="11900" w:h="16838" w:orient="portrait"/>
          <w:cols w:equalWidth="0" w:num="1">
            <w:col w:w="11240"/>
          </w:cols>
          <w:pgMar w:left="320" w:top="1205"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71" w:name="page72"/>
    <w:bookmarkEnd w:id="71"/>
    <w:p>
      <w:pPr>
        <w:jc w:val="both"/>
        <w:ind w:firstLine="445"/>
        <w:spacing w:after="0"/>
        <w:rPr>
          <w:sz w:val="20"/>
          <w:szCs w:val="20"/>
          <w:color w:val="auto"/>
        </w:rPr>
      </w:pPr>
      <w:r>
        <w:rPr>
          <w:rFonts w:ascii="Arial" w:cs="Arial" w:eastAsia="Arial" w:hAnsi="Arial"/>
          <w:sz w:val="18"/>
          <w:szCs w:val="18"/>
          <w:color w:val="auto"/>
        </w:rPr>
        <w:t>The covenants in the Solar Term Loan,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Due to uncertainties surrounding the impact of COVID-19 pandemic, there is a substantial risk that we may not meet the minimum trailing 12-month product revenue in future period. If not waived, future defaults could cause all of the outstanding indebtedness under our Loan and Security Agreement to become immediately due and payable.</w:t>
      </w:r>
    </w:p>
    <w:p>
      <w:pPr>
        <w:spacing w:after="0" w:line="189"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could discourage takeover attempts and lead to management entrenchment.</w:t>
      </w:r>
    </w:p>
    <w:p>
      <w:pPr>
        <w:spacing w:after="0" w:line="212"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64" w:lineRule="exact"/>
        <w:rPr>
          <w:sz w:val="20"/>
          <w:szCs w:val="20"/>
          <w:color w:val="auto"/>
        </w:rPr>
      </w:pPr>
    </w:p>
    <w:p>
      <w:pPr>
        <w:ind w:left="900" w:right="20" w:hanging="406"/>
        <w:spacing w:after="0" w:line="261" w:lineRule="auto"/>
        <w:tabs>
          <w:tab w:leader="none" w:pos="8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70" w:lineRule="exact"/>
        <w:rPr>
          <w:rFonts w:ascii="Arial" w:cs="Arial" w:eastAsia="Arial" w:hAnsi="Arial"/>
          <w:sz w:val="18"/>
          <w:szCs w:val="18"/>
          <w:color w:val="auto"/>
        </w:rPr>
      </w:pPr>
    </w:p>
    <w:p>
      <w:pPr>
        <w:ind w:left="900" w:hanging="406"/>
        <w:spacing w:after="0" w:line="291" w:lineRule="auto"/>
        <w:tabs>
          <w:tab w:leader="none" w:pos="82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46" w:lineRule="exact"/>
        <w:rPr>
          <w:rFonts w:ascii="Arial" w:cs="Arial" w:eastAsia="Arial" w:hAnsi="Arial"/>
          <w:sz w:val="17"/>
          <w:szCs w:val="17"/>
          <w:color w:val="auto"/>
        </w:rPr>
      </w:pPr>
    </w:p>
    <w:p>
      <w:pPr>
        <w:ind w:left="900" w:right="20" w:hanging="406"/>
        <w:spacing w:after="0" w:line="291" w:lineRule="auto"/>
        <w:tabs>
          <w:tab w:leader="none" w:pos="841"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46" w:lineRule="exact"/>
        <w:rPr>
          <w:rFonts w:ascii="Arial" w:cs="Arial" w:eastAsia="Arial" w:hAnsi="Arial"/>
          <w:sz w:val="17"/>
          <w:szCs w:val="17"/>
          <w:color w:val="auto"/>
        </w:rPr>
      </w:pPr>
    </w:p>
    <w:p>
      <w:pPr>
        <w:ind w:left="900" w:hanging="406"/>
        <w:spacing w:after="0" w:line="261" w:lineRule="auto"/>
        <w:tabs>
          <w:tab w:leader="none" w:pos="8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70" w:lineRule="exact"/>
        <w:rPr>
          <w:rFonts w:ascii="Arial" w:cs="Arial" w:eastAsia="Arial" w:hAnsi="Arial"/>
          <w:sz w:val="18"/>
          <w:szCs w:val="18"/>
          <w:color w:val="auto"/>
        </w:rPr>
      </w:pPr>
    </w:p>
    <w:p>
      <w:pPr>
        <w:ind w:left="900" w:right="20" w:hanging="406"/>
        <w:spacing w:after="0" w:line="248" w:lineRule="auto"/>
        <w:tabs>
          <w:tab w:leader="none" w:pos="74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81" w:lineRule="exact"/>
        <w:rPr>
          <w:rFonts w:ascii="Arial" w:cs="Arial" w:eastAsia="Arial" w:hAnsi="Arial"/>
          <w:sz w:val="18"/>
          <w:szCs w:val="18"/>
          <w:color w:val="auto"/>
        </w:rPr>
      </w:pPr>
    </w:p>
    <w:p>
      <w:pPr>
        <w:ind w:left="900" w:hanging="406"/>
        <w:spacing w:after="0" w:line="243" w:lineRule="auto"/>
        <w:tabs>
          <w:tab w:leader="none" w:pos="79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spacing w:after="0" w:line="187" w:lineRule="exact"/>
        <w:rPr>
          <w:rFonts w:ascii="Arial" w:cs="Arial" w:eastAsia="Arial" w:hAnsi="Arial"/>
          <w:sz w:val="18"/>
          <w:szCs w:val="18"/>
          <w:color w:val="auto"/>
        </w:rPr>
      </w:pPr>
    </w:p>
    <w:p>
      <w:pPr>
        <w:ind w:left="900" w:hanging="406"/>
        <w:spacing w:after="0" w:line="248" w:lineRule="auto"/>
        <w:tabs>
          <w:tab w:leader="none" w:pos="7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82" w:lineRule="exact"/>
        <w:rPr>
          <w:sz w:val="20"/>
          <w:szCs w:val="20"/>
          <w:color w:val="auto"/>
        </w:rPr>
      </w:pPr>
    </w:p>
    <w:p>
      <w:pPr>
        <w:jc w:val="both"/>
        <w:ind w:right="20" w:firstLine="445"/>
        <w:spacing w:after="0" w:line="324"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24"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82" w:lineRule="exact"/>
        <w:rPr>
          <w:sz w:val="20"/>
          <w:szCs w:val="20"/>
          <w:color w:val="auto"/>
        </w:rPr>
      </w:pPr>
    </w:p>
    <w:p>
      <w:pPr>
        <w:jc w:val="both"/>
        <w:ind w:firstLine="445"/>
        <w:spacing w:after="0" w:line="284" w:lineRule="auto"/>
        <w:rPr>
          <w:sz w:val="20"/>
          <w:szCs w:val="20"/>
          <w:color w:val="auto"/>
        </w:rPr>
      </w:pPr>
      <w:r>
        <w:rPr>
          <w:rFonts w:ascii="Arial" w:cs="Arial" w:eastAsia="Arial" w:hAnsi="Arial"/>
          <w:sz w:val="16"/>
          <w:szCs w:val="16"/>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our stockholders to realize value in a corporate transaction.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72" w:name="page73"/>
    <w:bookmarkEnd w:id="72"/>
    <w:p>
      <w:pPr>
        <w:jc w:val="both"/>
        <w:spacing w:after="0" w:line="270"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U.S. federal district courts are the exclusive forums for substantially all disputes between us and our stockholders, which restricts our stockholders’ ability to bring a lawsuit against us or our directors, officers, or employees in jurisdictions other than Delaware and federal district courts.</w:t>
      </w:r>
    </w:p>
    <w:p>
      <w:pPr>
        <w:spacing w:after="0" w:line="16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 would not apply to suits brought to enforce a duty or liability created by the Exchange Act. This choice of forum provision may limit a stockholder's ability to bring a claim in a judicial forum that it finds favorable for these types of disputes with us or our directors, officers, or other employees.</w:t>
      </w:r>
    </w:p>
    <w:p>
      <w:pPr>
        <w:spacing w:after="0" w:line="175"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Our amended and restated certificate of incorporation also provides that the U.S. federal district courts are the exclusive forum for resolving any complaint asserting a cause of action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sales of unregistered equity securities during the three months ended September 30, 2020.</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repurchases of shares or equity securities during the three months ended September 30, 2020.</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Use of Proceeds from our Initial Public Offering of Common Stock</w:t>
      </w:r>
    </w:p>
    <w:p>
      <w:pPr>
        <w:spacing w:after="0" w:line="225"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On October 16, 2018, our registration statement on Form S-1 (File No. 333-227445) relating to our Initial Public Offering (“IPO”) of common stock became effective. The IPO closed on October 16, 2018 at which time we issued 8,280,000 shares of our common stock at an initial offering price of $15.00 per share for gross proceeds of $124.2 million. We received net proceeds from the IPO of approximately $113.4 million, after deducting the underwriting discount of $8.7 million and other offering-related expenses of $2.1 million. None of the expenses associated with the IPO were paid to directors, officers, persons owning 10% or more of any class of equity securities, or to their associates, or to our affiliates.</w:t>
      </w:r>
    </w:p>
    <w:p>
      <w:pPr>
        <w:spacing w:after="0" w:line="17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October 16, 2018. As of September 30, 2020, approximately $64.0 million of the net proceeds had been used for general corporate purposes including cash used in operations and capital expenditures.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4"/>
              </w:rPr>
              <w:t>Incorporation By Reference</w:t>
            </w:r>
          </w:p>
        </w:tc>
        <w:tc>
          <w:tcPr>
            <w:tcW w:w="8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40" w:type="dxa"/>
            <w:vAlign w:val="bottom"/>
            <w:gridSpan w:val="2"/>
          </w:tcPr>
          <w:p>
            <w:pPr>
              <w:ind w:left="300"/>
              <w:spacing w:after="0" w:line="135"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60" w:type="dxa"/>
            <w:vAlign w:val="bottom"/>
            <w:gridSpan w:val="9"/>
            <w:vMerge w:val="restart"/>
          </w:tcPr>
          <w:p>
            <w:pPr>
              <w:ind w:left="1120"/>
              <w:spacing w:after="0"/>
              <w:rPr>
                <w:sz w:val="20"/>
                <w:szCs w:val="20"/>
                <w:color w:val="auto"/>
              </w:rPr>
            </w:pPr>
            <w:r>
              <w:rPr>
                <w:rFonts w:ascii="Arial" w:cs="Arial" w:eastAsia="Arial" w:hAnsi="Arial"/>
                <w:sz w:val="14"/>
                <w:szCs w:val="14"/>
                <w:b w:val="1"/>
                <w:bCs w:val="1"/>
                <w:color w:val="auto"/>
              </w:rPr>
              <w:t>Description</w:t>
            </w:r>
          </w:p>
        </w:tc>
        <w:tc>
          <w:tcPr>
            <w:tcW w:w="800" w:type="dxa"/>
            <w:vAlign w:val="bottom"/>
            <w:vMerge w:val="restart"/>
          </w:tcPr>
          <w:p>
            <w:pPr>
              <w:jc w:val="center"/>
              <w:ind w:left="53"/>
              <w:spacing w:after="0"/>
              <w:rPr>
                <w:sz w:val="20"/>
                <w:szCs w:val="20"/>
                <w:color w:val="auto"/>
              </w:rPr>
            </w:pPr>
            <w:r>
              <w:rPr>
                <w:rFonts w:ascii="Arial" w:cs="Arial" w:eastAsia="Arial" w:hAnsi="Arial"/>
                <w:sz w:val="14"/>
                <w:szCs w:val="14"/>
                <w:b w:val="1"/>
                <w:bCs w:val="1"/>
                <w:color w:val="auto"/>
                <w:w w:val="97"/>
              </w:rPr>
              <w:t>Form</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SEC File No.</w:t>
            </w:r>
          </w:p>
        </w:tc>
        <w:tc>
          <w:tcPr>
            <w:tcW w:w="880" w:type="dxa"/>
            <w:vAlign w:val="bottom"/>
          </w:tcPr>
          <w:p>
            <w:pPr>
              <w:jc w:val="center"/>
              <w:ind w:right="95"/>
              <w:spacing w:after="0" w:line="135" w:lineRule="exact"/>
              <w:rPr>
                <w:sz w:val="20"/>
                <w:szCs w:val="20"/>
                <w:color w:val="auto"/>
              </w:rPr>
            </w:pPr>
            <w:r>
              <w:rPr>
                <w:rFonts w:ascii="Arial" w:cs="Arial" w:eastAsia="Arial" w:hAnsi="Arial"/>
                <w:sz w:val="14"/>
                <w:szCs w:val="14"/>
                <w:b w:val="1"/>
                <w:bCs w:val="1"/>
                <w:color w:val="auto"/>
                <w:w w:val="98"/>
              </w:rPr>
              <w:t>Exhibit/</w:t>
            </w:r>
          </w:p>
        </w:tc>
        <w:tc>
          <w:tcPr>
            <w:tcW w:w="180" w:type="dxa"/>
            <w:vAlign w:val="bottom"/>
          </w:tcPr>
          <w:p>
            <w:pPr>
              <w:spacing w:after="0"/>
              <w:rPr>
                <w:sz w:val="11"/>
                <w:szCs w:val="11"/>
                <w:color w:val="auto"/>
              </w:rPr>
            </w:pPr>
          </w:p>
        </w:tc>
        <w:tc>
          <w:tcPr>
            <w:tcW w:w="12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8"/>
        </w:trPr>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gridSpan w:val="9"/>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Reference</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760" w:type="dxa"/>
            <w:vAlign w:val="bottom"/>
            <w:tcBorders>
              <w:top w:val="single" w:sz="8" w:color="auto"/>
            </w:tcBorders>
            <w:gridSpan w:val="10"/>
          </w:tcPr>
          <w:p>
            <w:pPr>
              <w:spacing w:after="0"/>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Amended and Restated Certificate of Incorporation.</w:t>
              </w:r>
            </w:hyperlink>
          </w:p>
        </w:tc>
        <w:tc>
          <w:tcPr>
            <w:tcW w:w="200" w:type="dxa"/>
            <w:vAlign w:val="bottom"/>
          </w:tcPr>
          <w:p>
            <w:pPr>
              <w:spacing w:after="0"/>
              <w:rPr>
                <w:sz w:val="19"/>
                <w:szCs w:val="19"/>
                <w:color w:val="auto"/>
              </w:rPr>
            </w:pPr>
          </w:p>
        </w:tc>
        <w:tc>
          <w:tcPr>
            <w:tcW w:w="800" w:type="dxa"/>
            <w:vAlign w:val="bottom"/>
            <w:tcBorders>
              <w:top w:val="single" w:sz="8" w:color="auto"/>
            </w:tcBorders>
          </w:tcPr>
          <w:p>
            <w:pPr>
              <w:jc w:val="center"/>
              <w:ind w:left="73"/>
              <w:spacing w:after="0"/>
              <w:rPr>
                <w:sz w:val="20"/>
                <w:szCs w:val="20"/>
                <w:color w:val="auto"/>
              </w:rPr>
            </w:pPr>
            <w:r>
              <w:rPr>
                <w:rFonts w:ascii="Arial" w:cs="Arial" w:eastAsia="Arial" w:hAnsi="Arial"/>
                <w:sz w:val="18"/>
                <w:szCs w:val="18"/>
                <w:color w:val="auto"/>
                <w:w w:val="99"/>
              </w:rPr>
              <w:t>8-K</w:t>
            </w:r>
          </w:p>
        </w:tc>
        <w:tc>
          <w:tcPr>
            <w:tcW w:w="1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001-38701</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center"/>
              <w:ind w:right="95"/>
              <w:spacing w:after="0"/>
              <w:rPr>
                <w:sz w:val="20"/>
                <w:szCs w:val="20"/>
                <w:color w:val="auto"/>
              </w:rPr>
            </w:pPr>
            <w:r>
              <w:rPr>
                <w:rFonts w:ascii="Arial" w:cs="Arial" w:eastAsia="Arial" w:hAnsi="Arial"/>
                <w:sz w:val="18"/>
                <w:szCs w:val="18"/>
                <w:color w:val="auto"/>
                <w:w w:val="87"/>
              </w:rPr>
              <w:t>3.1</w:t>
            </w:r>
          </w:p>
        </w:tc>
        <w:tc>
          <w:tcPr>
            <w:tcW w:w="18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10/19/2018</w:t>
            </w:r>
          </w:p>
        </w:tc>
        <w:tc>
          <w:tcPr>
            <w:tcW w:w="0" w:type="dxa"/>
            <w:vAlign w:val="bottom"/>
          </w:tcPr>
          <w:p>
            <w:pPr>
              <w:spacing w:after="0"/>
              <w:rPr>
                <w:sz w:val="1"/>
                <w:szCs w:val="1"/>
                <w:color w:val="auto"/>
              </w:rPr>
            </w:pPr>
          </w:p>
        </w:tc>
      </w:tr>
      <w:tr>
        <w:trPr>
          <w:trHeight w:val="283"/>
        </w:trPr>
        <w:tc>
          <w:tcPr>
            <w:tcW w:w="1060" w:type="dxa"/>
            <w:vAlign w:val="bottom"/>
          </w:tcPr>
          <w:p>
            <w:pPr>
              <w:ind w:lef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11"/>
          </w:tcPr>
          <w:p>
            <w:pPr>
              <w:spacing w:after="0"/>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Amended and Restated Bylaws.</w:t>
              </w:r>
            </w:hyperlink>
          </w:p>
        </w:tc>
        <w:tc>
          <w:tcPr>
            <w:tcW w:w="800" w:type="dxa"/>
            <w:vAlign w:val="bottom"/>
          </w:tcPr>
          <w:p>
            <w:pPr>
              <w:jc w:val="center"/>
              <w:ind w:left="73"/>
              <w:spacing w:after="0"/>
              <w:rPr>
                <w:sz w:val="20"/>
                <w:szCs w:val="20"/>
                <w:color w:val="auto"/>
              </w:rPr>
            </w:pPr>
            <w:r>
              <w:rPr>
                <w:rFonts w:ascii="Arial" w:cs="Arial" w:eastAsia="Arial" w:hAnsi="Arial"/>
                <w:sz w:val="18"/>
                <w:szCs w:val="18"/>
                <w:color w:val="auto"/>
                <w:w w:val="97"/>
              </w:rPr>
              <w:t>S-1/A</w:t>
            </w:r>
          </w:p>
        </w:tc>
        <w:tc>
          <w:tcPr>
            <w:tcW w:w="1500" w:type="dxa"/>
            <w:vAlign w:val="bottom"/>
            <w:gridSpan w:val="3"/>
          </w:tcPr>
          <w:p>
            <w:pPr>
              <w:jc w:val="center"/>
              <w:ind w:left="254"/>
              <w:spacing w:after="0"/>
              <w:rPr>
                <w:sz w:val="20"/>
                <w:szCs w:val="20"/>
                <w:color w:val="auto"/>
              </w:rPr>
            </w:pPr>
            <w:r>
              <w:rPr>
                <w:rFonts w:ascii="Arial" w:cs="Arial" w:eastAsia="Arial" w:hAnsi="Arial"/>
                <w:sz w:val="18"/>
                <w:szCs w:val="18"/>
                <w:color w:val="auto"/>
                <w:w w:val="91"/>
              </w:rPr>
              <w:t>333-227445</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center"/>
              <w:ind w:right="95"/>
              <w:spacing w:after="0"/>
              <w:rPr>
                <w:sz w:val="20"/>
                <w:szCs w:val="20"/>
                <w:color w:val="auto"/>
              </w:rPr>
            </w:pPr>
            <w:r>
              <w:rPr>
                <w:rFonts w:ascii="Arial" w:cs="Arial" w:eastAsia="Arial" w:hAnsi="Arial"/>
                <w:sz w:val="18"/>
                <w:szCs w:val="18"/>
                <w:color w:val="auto"/>
                <w:w w:val="87"/>
              </w:rPr>
              <w:t>3.4</w:t>
            </w:r>
          </w:p>
        </w:tc>
        <w:tc>
          <w:tcPr>
            <w:tcW w:w="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10/5/2018</w:t>
            </w:r>
          </w:p>
        </w:tc>
        <w:tc>
          <w:tcPr>
            <w:tcW w:w="0" w:type="dxa"/>
            <w:vAlign w:val="bottom"/>
          </w:tcPr>
          <w:p>
            <w:pPr>
              <w:spacing w:after="0"/>
              <w:rPr>
                <w:sz w:val="1"/>
                <w:szCs w:val="1"/>
                <w:color w:val="auto"/>
              </w:rPr>
            </w:pPr>
          </w:p>
        </w:tc>
      </w:tr>
      <w:tr>
        <w:trPr>
          <w:trHeight w:val="283"/>
        </w:trPr>
        <w:tc>
          <w:tcPr>
            <w:tcW w:w="1060" w:type="dxa"/>
            <w:vAlign w:val="bottom"/>
          </w:tcPr>
          <w:p>
            <w:pPr>
              <w:ind w:left="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11"/>
          </w:tcPr>
          <w:p>
            <w:pPr>
              <w:spacing w:after="0"/>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Form of Common Stock Certificate of the Company.</w:t>
              </w:r>
            </w:hyperlink>
          </w:p>
        </w:tc>
        <w:tc>
          <w:tcPr>
            <w:tcW w:w="800" w:type="dxa"/>
            <w:vAlign w:val="bottom"/>
          </w:tcPr>
          <w:p>
            <w:pPr>
              <w:jc w:val="center"/>
              <w:ind w:left="73"/>
              <w:spacing w:after="0"/>
              <w:rPr>
                <w:sz w:val="20"/>
                <w:szCs w:val="20"/>
                <w:color w:val="auto"/>
              </w:rPr>
            </w:pPr>
            <w:r>
              <w:rPr>
                <w:rFonts w:ascii="Arial" w:cs="Arial" w:eastAsia="Arial" w:hAnsi="Arial"/>
                <w:sz w:val="18"/>
                <w:szCs w:val="18"/>
                <w:color w:val="auto"/>
                <w:w w:val="97"/>
              </w:rPr>
              <w:t>S-1/A</w:t>
            </w:r>
          </w:p>
        </w:tc>
        <w:tc>
          <w:tcPr>
            <w:tcW w:w="1500" w:type="dxa"/>
            <w:vAlign w:val="bottom"/>
            <w:gridSpan w:val="3"/>
          </w:tcPr>
          <w:p>
            <w:pPr>
              <w:jc w:val="center"/>
              <w:ind w:left="254"/>
              <w:spacing w:after="0"/>
              <w:rPr>
                <w:sz w:val="20"/>
                <w:szCs w:val="20"/>
                <w:color w:val="auto"/>
              </w:rPr>
            </w:pPr>
            <w:r>
              <w:rPr>
                <w:rFonts w:ascii="Arial" w:cs="Arial" w:eastAsia="Arial" w:hAnsi="Arial"/>
                <w:sz w:val="18"/>
                <w:szCs w:val="18"/>
                <w:color w:val="auto"/>
                <w:w w:val="91"/>
              </w:rPr>
              <w:t>333-227445</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center"/>
              <w:ind w:right="95"/>
              <w:spacing w:after="0"/>
              <w:rPr>
                <w:sz w:val="20"/>
                <w:szCs w:val="20"/>
                <w:color w:val="auto"/>
              </w:rPr>
            </w:pPr>
            <w:r>
              <w:rPr>
                <w:rFonts w:ascii="Arial" w:cs="Arial" w:eastAsia="Arial" w:hAnsi="Arial"/>
                <w:sz w:val="18"/>
                <w:szCs w:val="18"/>
                <w:color w:val="auto"/>
                <w:w w:val="87"/>
              </w:rPr>
              <w:t>4.1</w:t>
            </w:r>
          </w:p>
        </w:tc>
        <w:tc>
          <w:tcPr>
            <w:tcW w:w="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10/5/2018</w:t>
            </w:r>
          </w:p>
        </w:tc>
        <w:tc>
          <w:tcPr>
            <w:tcW w:w="0" w:type="dxa"/>
            <w:vAlign w:val="bottom"/>
          </w:tcPr>
          <w:p>
            <w:pPr>
              <w:spacing w:after="0"/>
              <w:rPr>
                <w:sz w:val="1"/>
                <w:szCs w:val="1"/>
                <w:color w:val="auto"/>
              </w:rPr>
            </w:pPr>
          </w:p>
        </w:tc>
      </w:tr>
      <w:tr>
        <w:trPr>
          <w:trHeight w:val="283"/>
        </w:trPr>
        <w:tc>
          <w:tcPr>
            <w:tcW w:w="1060" w:type="dxa"/>
            <w:vAlign w:val="bottom"/>
          </w:tcPr>
          <w:p>
            <w:pPr>
              <w:ind w:left="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11"/>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88">
              <w:r>
                <w:rPr>
                  <w:rFonts w:ascii="Arial" w:cs="Arial" w:eastAsia="Arial" w:hAnsi="Arial"/>
                  <w:sz w:val="18"/>
                  <w:szCs w:val="18"/>
                  <w:u w:val="single" w:color="auto"/>
                  <w:color w:val="0000FF"/>
                </w:rPr>
                <w:t>3.1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9">
              <w:r>
                <w:rPr>
                  <w:rFonts w:ascii="Arial" w:cs="Arial" w:eastAsia="Arial" w:hAnsi="Arial"/>
                  <w:sz w:val="18"/>
                  <w:szCs w:val="18"/>
                  <w:u w:val="single" w:color="auto"/>
                  <w:color w:val="0000FF"/>
                </w:rPr>
                <w:t>3.2</w:t>
              </w:r>
            </w:hyperlink>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60" w:type="dxa"/>
            <w:vAlign w:val="bottom"/>
          </w:tcPr>
          <w:p>
            <w:pPr>
              <w:ind w:left="2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11"/>
          </w:tcPr>
          <w:p>
            <w:pPr>
              <w:spacing w:after="0"/>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Description of SI-BONE, Inc. Common Stock</w:t>
              </w:r>
            </w:hyperlink>
          </w:p>
        </w:tc>
        <w:tc>
          <w:tcPr>
            <w:tcW w:w="800" w:type="dxa"/>
            <w:vAlign w:val="bottom"/>
          </w:tcPr>
          <w:p>
            <w:pPr>
              <w:jc w:val="center"/>
              <w:ind w:left="73"/>
              <w:spacing w:after="0"/>
              <w:rPr>
                <w:sz w:val="20"/>
                <w:szCs w:val="20"/>
                <w:color w:val="auto"/>
              </w:rPr>
            </w:pPr>
            <w:r>
              <w:rPr>
                <w:rFonts w:ascii="Arial" w:cs="Arial" w:eastAsia="Arial" w:hAnsi="Arial"/>
                <w:sz w:val="18"/>
                <w:szCs w:val="18"/>
                <w:color w:val="auto"/>
                <w:w w:val="89"/>
              </w:rPr>
              <w:t>10-Q</w:t>
            </w:r>
          </w:p>
        </w:tc>
        <w:tc>
          <w:tcPr>
            <w:tcW w:w="1500" w:type="dxa"/>
            <w:vAlign w:val="bottom"/>
            <w:gridSpan w:val="3"/>
          </w:tcPr>
          <w:p>
            <w:pPr>
              <w:jc w:val="center"/>
              <w:ind w:left="254"/>
              <w:spacing w:after="0"/>
              <w:rPr>
                <w:sz w:val="20"/>
                <w:szCs w:val="20"/>
                <w:color w:val="auto"/>
              </w:rPr>
            </w:pPr>
            <w:r>
              <w:rPr>
                <w:rFonts w:ascii="Arial" w:cs="Arial" w:eastAsia="Arial" w:hAnsi="Arial"/>
                <w:sz w:val="18"/>
                <w:szCs w:val="18"/>
                <w:color w:val="auto"/>
                <w:w w:val="88"/>
              </w:rPr>
              <w:t>001-38701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center"/>
              <w:ind w:right="95"/>
              <w:spacing w:after="0"/>
              <w:rPr>
                <w:sz w:val="20"/>
                <w:szCs w:val="20"/>
                <w:color w:val="auto"/>
              </w:rPr>
            </w:pPr>
            <w:r>
              <w:rPr>
                <w:rFonts w:ascii="Arial" w:cs="Arial" w:eastAsia="Arial" w:hAnsi="Arial"/>
                <w:sz w:val="18"/>
                <w:szCs w:val="18"/>
                <w:color w:val="auto"/>
                <w:w w:val="87"/>
              </w:rPr>
              <w:t>4.3</w:t>
            </w:r>
          </w:p>
        </w:tc>
        <w:tc>
          <w:tcPr>
            <w:tcW w:w="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5/5/2020</w:t>
            </w:r>
          </w:p>
        </w:tc>
        <w:tc>
          <w:tcPr>
            <w:tcW w:w="0" w:type="dxa"/>
            <w:vAlign w:val="bottom"/>
          </w:tcPr>
          <w:p>
            <w:pPr>
              <w:spacing w:after="0"/>
              <w:rPr>
                <w:sz w:val="1"/>
                <w:szCs w:val="1"/>
                <w:color w:val="auto"/>
              </w:rPr>
            </w:pPr>
          </w:p>
        </w:tc>
      </w:tr>
      <w:tr>
        <w:trPr>
          <w:trHeight w:val="297"/>
        </w:trPr>
        <w:tc>
          <w:tcPr>
            <w:tcW w:w="1060" w:type="dxa"/>
            <w:vAlign w:val="bottom"/>
          </w:tcPr>
          <w:p>
            <w:pPr>
              <w:ind w:left="2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11"/>
          </w:tcPr>
          <w:p>
            <w:pPr>
              <w:spacing w:after="0"/>
              <w:rPr>
                <w:rFonts w:ascii="Arial" w:cs="Arial" w:eastAsia="Arial" w:hAnsi="Arial"/>
                <w:sz w:val="18"/>
                <w:szCs w:val="18"/>
                <w:color w:val="0000FF"/>
                <w:w w:val="96"/>
              </w:rPr>
            </w:pPr>
            <w:hyperlink r:id="rId92">
              <w:r>
                <w:rPr>
                  <w:rFonts w:ascii="Arial" w:cs="Arial" w:eastAsia="Arial" w:hAnsi="Arial"/>
                  <w:sz w:val="18"/>
                  <w:szCs w:val="18"/>
                  <w:color w:val="0000FF"/>
                  <w:w w:val="96"/>
                </w:rPr>
                <w:t>SI-BONE, Inc. Severance Benefit Plan and Form of Participation</w:t>
              </w:r>
            </w:hyperlink>
          </w:p>
        </w:tc>
        <w:tc>
          <w:tcPr>
            <w:tcW w:w="800" w:type="dxa"/>
            <w:vAlign w:val="bottom"/>
          </w:tcPr>
          <w:p>
            <w:pPr>
              <w:jc w:val="center"/>
              <w:ind w:left="73"/>
              <w:spacing w:after="0"/>
              <w:rPr>
                <w:sz w:val="20"/>
                <w:szCs w:val="20"/>
                <w:color w:val="auto"/>
              </w:rPr>
            </w:pPr>
            <w:r>
              <w:rPr>
                <w:rFonts w:ascii="Arial" w:cs="Arial" w:eastAsia="Arial" w:hAnsi="Arial"/>
                <w:sz w:val="18"/>
                <w:szCs w:val="18"/>
                <w:color w:val="auto"/>
                <w:w w:val="99"/>
              </w:rPr>
              <w:t>8-K</w:t>
            </w:r>
          </w:p>
        </w:tc>
        <w:tc>
          <w:tcPr>
            <w:tcW w:w="1500" w:type="dxa"/>
            <w:vAlign w:val="bottom"/>
            <w:gridSpan w:val="3"/>
          </w:tcPr>
          <w:p>
            <w:pPr>
              <w:jc w:val="center"/>
              <w:ind w:left="254"/>
              <w:spacing w:after="0"/>
              <w:rPr>
                <w:sz w:val="20"/>
                <w:szCs w:val="20"/>
                <w:color w:val="auto"/>
              </w:rPr>
            </w:pPr>
            <w:r>
              <w:rPr>
                <w:rFonts w:ascii="Arial" w:cs="Arial" w:eastAsia="Arial" w:hAnsi="Arial"/>
                <w:sz w:val="18"/>
                <w:szCs w:val="18"/>
                <w:color w:val="auto"/>
                <w:w w:val="88"/>
              </w:rPr>
              <w:t>001-38701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center"/>
              <w:ind w:right="115"/>
              <w:spacing w:after="0"/>
              <w:rPr>
                <w:sz w:val="20"/>
                <w:szCs w:val="20"/>
                <w:color w:val="auto"/>
              </w:rPr>
            </w:pPr>
            <w:r>
              <w:rPr>
                <w:rFonts w:ascii="Arial" w:cs="Arial" w:eastAsia="Arial" w:hAnsi="Arial"/>
                <w:sz w:val="18"/>
                <w:szCs w:val="18"/>
                <w:color w:val="auto"/>
                <w:w w:val="91"/>
              </w:rPr>
              <w:t>10.1</w:t>
            </w:r>
          </w:p>
        </w:tc>
        <w:tc>
          <w:tcPr>
            <w:tcW w:w="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7/17/2020</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92">
              <w:r>
                <w:rPr>
                  <w:rFonts w:ascii="Arial" w:cs="Arial" w:eastAsia="Arial" w:hAnsi="Arial"/>
                  <w:sz w:val="18"/>
                  <w:szCs w:val="18"/>
                  <w:color w:val="0000FF"/>
                  <w:w w:val="88"/>
                </w:rPr>
                <w:t>Agreement</w:t>
              </w:r>
            </w:hyperlink>
          </w:p>
        </w:tc>
        <w:tc>
          <w:tcPr>
            <w:tcW w:w="390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60" w:type="dxa"/>
            <w:vAlign w:val="bottom"/>
          </w:tcPr>
          <w:p>
            <w:pPr>
              <w:ind w:left="2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76">
              <w:r>
                <w:rPr>
                  <w:rFonts w:ascii="Arial" w:cs="Arial" w:eastAsia="Arial" w:hAnsi="Arial"/>
                  <w:sz w:val="18"/>
                  <w:szCs w:val="18"/>
                  <w:color w:val="0000FF"/>
                  <w:w w:val="92"/>
                </w:rPr>
                <w:t>Certification of Principal Executive Officer Pursuant to Rules</w:t>
              </w:r>
            </w:hyperlink>
          </w:p>
        </w:tc>
        <w:tc>
          <w:tcPr>
            <w:tcW w:w="520" w:type="dxa"/>
            <w:vAlign w:val="bottom"/>
            <w:gridSpan w:val="6"/>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gridSpan w:val="11"/>
          </w:tcPr>
          <w:p>
            <w:pPr>
              <w:spacing w:after="0" w:line="156" w:lineRule="exact"/>
              <w:rPr>
                <w:rFonts w:ascii="Arial" w:cs="Arial" w:eastAsia="Arial" w:hAnsi="Arial"/>
                <w:sz w:val="18"/>
                <w:szCs w:val="18"/>
                <w:color w:val="0000FF"/>
                <w:w w:val="99"/>
              </w:rPr>
            </w:pPr>
            <w:hyperlink w:anchor="page76">
              <w:r>
                <w:rPr>
                  <w:rFonts w:ascii="Arial" w:cs="Arial" w:eastAsia="Arial" w:hAnsi="Arial"/>
                  <w:sz w:val="18"/>
                  <w:szCs w:val="18"/>
                  <w:color w:val="0000FF"/>
                  <w:w w:val="99"/>
                </w:rPr>
                <w:t>13a-14(a) and 15d-14(a) under the Securities Exchange Act of</w:t>
              </w:r>
            </w:hyperlink>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gridSpan w:val="11"/>
          </w:tcPr>
          <w:p>
            <w:pPr>
              <w:spacing w:after="0" w:line="156" w:lineRule="exact"/>
              <w:rPr>
                <w:rFonts w:ascii="Arial" w:cs="Arial" w:eastAsia="Arial" w:hAnsi="Arial"/>
                <w:sz w:val="18"/>
                <w:szCs w:val="18"/>
                <w:color w:val="0000FF"/>
                <w:w w:val="94"/>
              </w:rPr>
            </w:pPr>
            <w:hyperlink w:anchor="page76">
              <w:r>
                <w:rPr>
                  <w:rFonts w:ascii="Arial" w:cs="Arial" w:eastAsia="Arial" w:hAnsi="Arial"/>
                  <w:sz w:val="18"/>
                  <w:szCs w:val="18"/>
                  <w:color w:val="0000FF"/>
                  <w:w w:val="94"/>
                </w:rPr>
                <w:t>1934, as Adopted Pursuant to Section 302 of the Sarbanes-Oxley</w:t>
              </w:r>
            </w:hyperlink>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w:anchor="page76">
              <w:r>
                <w:rPr>
                  <w:rFonts w:ascii="Arial" w:cs="Arial" w:eastAsia="Arial" w:hAnsi="Arial"/>
                  <w:sz w:val="18"/>
                  <w:szCs w:val="18"/>
                  <w:color w:val="0000FF"/>
                  <w:w w:val="91"/>
                </w:rPr>
                <w:t>Act of 2002.</w:t>
              </w:r>
            </w:hyperlink>
          </w:p>
        </w:tc>
        <w:tc>
          <w:tcPr>
            <w:tcW w:w="3780" w:type="dxa"/>
            <w:vAlign w:val="bottom"/>
            <w:tcBorders>
              <w:top w:val="single" w:sz="8" w:color="0000FF"/>
            </w:tcBorders>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60" w:type="dxa"/>
            <w:vAlign w:val="bottom"/>
          </w:tcPr>
          <w:p>
            <w:pPr>
              <w:ind w:lef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60" w:type="dxa"/>
            <w:vAlign w:val="bottom"/>
            <w:gridSpan w:val="11"/>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Certification of Principal Financial Officer Pursuant to Rules</w:t>
              </w:r>
            </w:hyperlink>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gridSpan w:val="11"/>
          </w:tcPr>
          <w:p>
            <w:pPr>
              <w:spacing w:after="0" w:line="156" w:lineRule="exact"/>
              <w:rPr>
                <w:rFonts w:ascii="Arial" w:cs="Arial" w:eastAsia="Arial" w:hAnsi="Arial"/>
                <w:sz w:val="18"/>
                <w:szCs w:val="18"/>
                <w:color w:val="0000FF"/>
                <w:w w:val="99"/>
              </w:rPr>
            </w:pPr>
            <w:hyperlink w:anchor="page77">
              <w:r>
                <w:rPr>
                  <w:rFonts w:ascii="Arial" w:cs="Arial" w:eastAsia="Arial" w:hAnsi="Arial"/>
                  <w:sz w:val="18"/>
                  <w:szCs w:val="18"/>
                  <w:color w:val="0000FF"/>
                  <w:w w:val="99"/>
                </w:rPr>
                <w:t>13a-14(a) and 15d-14(a) under the Securities Exchange Act of</w:t>
              </w:r>
            </w:hyperlink>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gridSpan w:val="11"/>
          </w:tcPr>
          <w:p>
            <w:pPr>
              <w:spacing w:after="0" w:line="156" w:lineRule="exact"/>
              <w:rPr>
                <w:rFonts w:ascii="Arial" w:cs="Arial" w:eastAsia="Arial" w:hAnsi="Arial"/>
                <w:sz w:val="18"/>
                <w:szCs w:val="18"/>
                <w:color w:val="0000FF"/>
                <w:w w:val="94"/>
              </w:rPr>
            </w:pPr>
            <w:hyperlink w:anchor="page77">
              <w:r>
                <w:rPr>
                  <w:rFonts w:ascii="Arial" w:cs="Arial" w:eastAsia="Arial" w:hAnsi="Arial"/>
                  <w:sz w:val="18"/>
                  <w:szCs w:val="18"/>
                  <w:color w:val="0000FF"/>
                  <w:w w:val="94"/>
                </w:rPr>
                <w:t>1934, as Adopted Pursuant to Section 302 of the Sarbanes-Oxley</w:t>
              </w:r>
            </w:hyperlink>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w:anchor="page77">
              <w:r>
                <w:rPr>
                  <w:rFonts w:ascii="Arial" w:cs="Arial" w:eastAsia="Arial" w:hAnsi="Arial"/>
                  <w:sz w:val="18"/>
                  <w:szCs w:val="18"/>
                  <w:color w:val="0000FF"/>
                  <w:w w:val="91"/>
                </w:rPr>
                <w:t>Act of 2002.</w:t>
              </w:r>
            </w:hyperlink>
          </w:p>
        </w:tc>
        <w:tc>
          <w:tcPr>
            <w:tcW w:w="3780" w:type="dxa"/>
            <w:vAlign w:val="bottom"/>
            <w:tcBorders>
              <w:top w:val="single" w:sz="8" w:color="0000FF"/>
            </w:tcBorders>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60" w:type="dxa"/>
            <w:vAlign w:val="bottom"/>
          </w:tcPr>
          <w:p>
            <w:pPr>
              <w:ind w:left="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60" w:type="dxa"/>
            <w:vAlign w:val="bottom"/>
            <w:gridSpan w:val="11"/>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Certification of Principal Executive Officer and Principal</w:t>
              </w:r>
            </w:hyperlink>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top w:val="single" w:sz="8" w:color="0000FF"/>
            </w:tcBorders>
            <w:gridSpan w:val="3"/>
          </w:tcPr>
          <w:p>
            <w:pPr>
              <w:spacing w:after="0" w:line="156" w:lineRule="exact"/>
              <w:rPr>
                <w:rFonts w:ascii="Arial" w:cs="Arial" w:eastAsia="Arial" w:hAnsi="Arial"/>
                <w:sz w:val="18"/>
                <w:szCs w:val="18"/>
                <w:color w:val="0000FF"/>
                <w:w w:val="91"/>
              </w:rPr>
            </w:pPr>
            <w:hyperlink w:anchor="page78">
              <w:r>
                <w:rPr>
                  <w:rFonts w:ascii="Arial" w:cs="Arial" w:eastAsia="Arial" w:hAnsi="Arial"/>
                  <w:sz w:val="18"/>
                  <w:szCs w:val="18"/>
                  <w:color w:val="0000FF"/>
                  <w:w w:val="91"/>
                </w:rPr>
                <w:t>Financial Officer Pursuant to 18 U.S.C. Section 1350, as</w:t>
              </w:r>
            </w:hyperlink>
          </w:p>
        </w:tc>
        <w:tc>
          <w:tcPr>
            <w:tcW w:w="840" w:type="dxa"/>
            <w:vAlign w:val="bottom"/>
            <w:gridSpan w:val="8"/>
          </w:tcPr>
          <w:p>
            <w:pPr>
              <w:spacing w:after="0" w:line="156" w:lineRule="exact"/>
              <w:rPr>
                <w:rFonts w:ascii="Arial" w:cs="Arial" w:eastAsia="Arial" w:hAnsi="Arial"/>
                <w:sz w:val="18"/>
                <w:szCs w:val="18"/>
                <w:color w:val="0000FF"/>
              </w:rPr>
            </w:pPr>
            <w:hyperlink w:anchor="page78">
              <w:r>
                <w:rPr>
                  <w:rFonts w:ascii="Arial" w:cs="Arial" w:eastAsia="Arial" w:hAnsi="Arial"/>
                  <w:sz w:val="18"/>
                  <w:szCs w:val="18"/>
                  <w:color w:val="0000FF"/>
                </w:rPr>
                <w:t>Adopted</w:t>
              </w:r>
            </w:hyperlink>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tcBorders>
              <w:top w:val="single" w:sz="8" w:color="0000FF"/>
            </w:tcBorders>
            <w:gridSpan w:val="9"/>
          </w:tcPr>
          <w:p>
            <w:pPr>
              <w:spacing w:after="0"/>
              <w:rPr>
                <w:rFonts w:ascii="Arial" w:cs="Arial" w:eastAsia="Arial" w:hAnsi="Arial"/>
                <w:sz w:val="18"/>
                <w:szCs w:val="18"/>
                <w:u w:val="single" w:color="auto"/>
                <w:color w:val="0000FF"/>
                <w:w w:val="98"/>
              </w:rPr>
            </w:pPr>
            <w:hyperlink w:anchor="page78">
              <w:r>
                <w:rPr>
                  <w:rFonts w:ascii="Arial" w:cs="Arial" w:eastAsia="Arial" w:hAnsi="Arial"/>
                  <w:sz w:val="18"/>
                  <w:szCs w:val="18"/>
                  <w:u w:val="single" w:color="auto"/>
                  <w:color w:val="0000FF"/>
                  <w:w w:val="98"/>
                </w:rPr>
                <w:t>Pursuant to Section 906 of the Sarbanes-Oxley Act of 2002.</w:t>
              </w:r>
            </w:hyperlink>
          </w:p>
        </w:tc>
        <w:tc>
          <w:tcPr>
            <w:tcW w:w="220" w:type="dxa"/>
            <w:vAlign w:val="bottom"/>
            <w:gridSpan w:val="2"/>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1"/>
                <w:szCs w:val="21"/>
                <w:color w:val="auto"/>
              </w:rPr>
            </w:pPr>
          </w:p>
        </w:tc>
        <w:tc>
          <w:tcPr>
            <w:tcW w:w="4960" w:type="dxa"/>
            <w:vAlign w:val="bottom"/>
            <w:gridSpan w:val="11"/>
          </w:tcPr>
          <w:p>
            <w:pPr>
              <w:spacing w:after="0"/>
              <w:rPr>
                <w:sz w:val="20"/>
                <w:szCs w:val="20"/>
                <w:color w:val="auto"/>
              </w:rPr>
            </w:pPr>
            <w:r>
              <w:rPr>
                <w:rFonts w:ascii="Arial" w:cs="Arial" w:eastAsia="Arial" w:hAnsi="Arial"/>
                <w:sz w:val="18"/>
                <w:szCs w:val="18"/>
                <w:color w:val="auto"/>
                <w:w w:val="99"/>
              </w:rPr>
              <w:t>Inline XBRL Instance Document - the instance document does</w:t>
            </w: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60" w:type="dxa"/>
            <w:vAlign w:val="bottom"/>
            <w:gridSpan w:val="11"/>
          </w:tcPr>
          <w:p>
            <w:pPr>
              <w:spacing w:after="0" w:line="176" w:lineRule="exact"/>
              <w:rPr>
                <w:sz w:val="20"/>
                <w:szCs w:val="20"/>
                <w:color w:val="auto"/>
              </w:rPr>
            </w:pPr>
            <w:r>
              <w:rPr>
                <w:rFonts w:ascii="Arial" w:cs="Arial" w:eastAsia="Arial" w:hAnsi="Arial"/>
                <w:sz w:val="18"/>
                <w:szCs w:val="18"/>
                <w:color w:val="auto"/>
                <w:w w:val="95"/>
              </w:rPr>
              <w:t>not appear in the Interactive Data File because its XBRL tags are</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60" w:type="dxa"/>
            <w:vAlign w:val="bottom"/>
            <w:gridSpan w:val="11"/>
          </w:tcPr>
          <w:p>
            <w:pPr>
              <w:spacing w:after="0"/>
              <w:rPr>
                <w:sz w:val="20"/>
                <w:szCs w:val="20"/>
                <w:color w:val="auto"/>
              </w:rPr>
            </w:pPr>
            <w:r>
              <w:rPr>
                <w:rFonts w:ascii="Arial" w:cs="Arial" w:eastAsia="Arial" w:hAnsi="Arial"/>
                <w:sz w:val="18"/>
                <w:szCs w:val="18"/>
                <w:color w:val="auto"/>
              </w:rPr>
              <w:t>embedded within the Inline XBRL document.</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496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496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6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496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6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496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496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6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300" w:right="5280" w:hanging="1247"/>
        <w:spacing w:after="0" w:line="235"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3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ind w:left="340" w:right="20" w:hanging="332"/>
        <w:spacing w:after="0" w:line="253" w:lineRule="auto"/>
        <w:tabs>
          <w:tab w:leader="none" w:pos="3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4"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160" w:type="dxa"/>
            <w:vAlign w:val="bottom"/>
            <w:gridSpan w:val="2"/>
          </w:tcPr>
          <w:p>
            <w:pPr>
              <w:ind w:left="1300"/>
              <w:spacing w:after="0"/>
              <w:rPr>
                <w:sz w:val="20"/>
                <w:szCs w:val="20"/>
                <w:color w:val="auto"/>
              </w:rPr>
            </w:pPr>
            <w:r>
              <w:rPr>
                <w:rFonts w:ascii="Arial" w:cs="Arial" w:eastAsia="Arial" w:hAnsi="Arial"/>
                <w:sz w:val="18"/>
                <w:szCs w:val="18"/>
                <w:color w:val="auto"/>
              </w:rPr>
              <w:t>SI-BONE, Inc.</w:t>
            </w:r>
          </w:p>
        </w:tc>
      </w:tr>
      <w:tr>
        <w:trPr>
          <w:trHeight w:val="391"/>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760" w:type="dxa"/>
            <w:vAlign w:val="bottom"/>
          </w:tcPr>
          <w:p>
            <w:pPr>
              <w:ind w:left="140"/>
              <w:spacing w:after="0"/>
              <w:rPr>
                <w:sz w:val="20"/>
                <w:szCs w:val="20"/>
                <w:color w:val="auto"/>
              </w:rPr>
            </w:pPr>
            <w:r>
              <w:rPr>
                <w:rFonts w:ascii="Arial" w:cs="Arial" w:eastAsia="Arial" w:hAnsi="Arial"/>
                <w:sz w:val="18"/>
                <w:szCs w:val="18"/>
                <w:color w:val="auto"/>
              </w:rPr>
              <w:t>November 3, 2020</w:t>
            </w:r>
          </w:p>
        </w:tc>
        <w:tc>
          <w:tcPr>
            <w:tcW w:w="2000" w:type="dxa"/>
            <w:vAlign w:val="bottom"/>
          </w:tcPr>
          <w:p>
            <w:pPr>
              <w:ind w:left="130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W. Dunn</w:t>
            </w:r>
          </w:p>
        </w:tc>
      </w:tr>
      <w:tr>
        <w:trPr>
          <w:trHeight w:val="222"/>
        </w:trPr>
        <w:tc>
          <w:tcPr>
            <w:tcW w:w="5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Jeffrey W. Dunn</w:t>
            </w:r>
          </w:p>
        </w:tc>
      </w:tr>
      <w:tr>
        <w:trPr>
          <w:trHeight w:val="230"/>
        </w:trPr>
        <w:tc>
          <w:tcPr>
            <w:tcW w:w="5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176"/>
        </w:trPr>
        <w:tc>
          <w:tcPr>
            <w:tcW w:w="5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160" w:type="dxa"/>
            <w:vAlign w:val="bottom"/>
          </w:tcPr>
          <w:p>
            <w:pPr>
              <w:ind w:left="20"/>
              <w:spacing w:after="0" w:line="176" w:lineRule="exact"/>
              <w:rPr>
                <w:sz w:val="20"/>
                <w:szCs w:val="20"/>
                <w:color w:val="auto"/>
              </w:rPr>
            </w:pPr>
            <w:r>
              <w:rPr>
                <w:rFonts w:ascii="Arial" w:cs="Arial" w:eastAsia="Arial" w:hAnsi="Arial"/>
                <w:sz w:val="18"/>
                <w:szCs w:val="18"/>
                <w:color w:val="auto"/>
              </w:rPr>
              <w:t>(Duly Authorized Officer and Principal Executive</w:t>
            </w:r>
          </w:p>
        </w:tc>
      </w:tr>
      <w:tr>
        <w:trPr>
          <w:trHeight w:val="230"/>
        </w:trPr>
        <w:tc>
          <w:tcPr>
            <w:tcW w:w="5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Officer</w:t>
            </w:r>
            <w:r>
              <w:rPr>
                <w:rFonts w:ascii="Arial" w:cs="Arial" w:eastAsia="Arial" w:hAnsi="Arial"/>
                <w:sz w:val="14"/>
                <w:szCs w:val="14"/>
                <w:color w:val="auto"/>
              </w:rPr>
              <w:t>)</w:t>
            </w:r>
          </w:p>
        </w:tc>
      </w:tr>
      <w:tr>
        <w:trPr>
          <w:trHeight w:val="661"/>
        </w:trPr>
        <w:tc>
          <w:tcPr>
            <w:tcW w:w="5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160" w:type="dxa"/>
            <w:vAlign w:val="bottom"/>
            <w:gridSpan w:val="2"/>
          </w:tcPr>
          <w:p>
            <w:pPr>
              <w:ind w:left="1300"/>
              <w:spacing w:after="0"/>
              <w:rPr>
                <w:sz w:val="20"/>
                <w:szCs w:val="20"/>
                <w:color w:val="auto"/>
              </w:rPr>
            </w:pPr>
            <w:r>
              <w:rPr>
                <w:rFonts w:ascii="Arial" w:cs="Arial" w:eastAsia="Arial" w:hAnsi="Arial"/>
                <w:sz w:val="18"/>
                <w:szCs w:val="18"/>
                <w:color w:val="auto"/>
              </w:rPr>
              <w:t>SI-BONE, Inc.</w:t>
            </w:r>
          </w:p>
        </w:tc>
      </w:tr>
      <w:tr>
        <w:trPr>
          <w:trHeight w:val="378"/>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760" w:type="dxa"/>
            <w:vAlign w:val="bottom"/>
          </w:tcPr>
          <w:p>
            <w:pPr>
              <w:ind w:left="140"/>
              <w:spacing w:after="0"/>
              <w:rPr>
                <w:sz w:val="20"/>
                <w:szCs w:val="20"/>
                <w:color w:val="auto"/>
              </w:rPr>
            </w:pPr>
            <w:r>
              <w:rPr>
                <w:rFonts w:ascii="Arial" w:cs="Arial" w:eastAsia="Arial" w:hAnsi="Arial"/>
                <w:sz w:val="18"/>
                <w:szCs w:val="18"/>
                <w:color w:val="auto"/>
              </w:rPr>
              <w:t>November 3, 2020</w:t>
            </w:r>
          </w:p>
        </w:tc>
        <w:tc>
          <w:tcPr>
            <w:tcW w:w="2000" w:type="dxa"/>
            <w:vAlign w:val="bottom"/>
          </w:tcPr>
          <w:p>
            <w:pPr>
              <w:ind w:left="130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Laura A. Francis</w:t>
            </w:r>
          </w:p>
        </w:tc>
      </w:tr>
      <w:tr>
        <w:trPr>
          <w:trHeight w:val="222"/>
        </w:trPr>
        <w:tc>
          <w:tcPr>
            <w:tcW w:w="5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Laura A. Francis</w:t>
            </w:r>
          </w:p>
        </w:tc>
      </w:tr>
      <w:tr>
        <w:trPr>
          <w:trHeight w:val="230"/>
        </w:trPr>
        <w:tc>
          <w:tcPr>
            <w:tcW w:w="5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Chief Operating Officer and Chief Financial Officer</w:t>
            </w:r>
          </w:p>
        </w:tc>
      </w:tr>
    </w:tbl>
    <w:p>
      <w:pPr>
        <w:ind w:left="6200"/>
        <w:spacing w:after="0" w:line="221" w:lineRule="auto"/>
        <w:rPr>
          <w:sz w:val="20"/>
          <w:szCs w:val="20"/>
          <w:color w:val="auto"/>
        </w:rPr>
      </w:pPr>
      <w:r>
        <w:rPr>
          <w:rFonts w:ascii="Arial" w:cs="Arial" w:eastAsia="Arial" w:hAnsi="Arial"/>
          <w:sz w:val="18"/>
          <w:szCs w:val="18"/>
          <w:color w:val="auto"/>
        </w:rPr>
        <w:t>(Duly Authorized Officer and Principal Financial and</w:t>
      </w:r>
    </w:p>
    <w:p>
      <w:pPr>
        <w:ind w:left="620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1240"/>
          </w:cols>
          <w:pgMar w:left="320" w:top="769"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Dunn, certify that:</w:t>
      </w:r>
    </w:p>
    <w:p>
      <w:pPr>
        <w:spacing w:after="0" w:line="252"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Form 10-Q of SI-BONE,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060" w:hanging="404"/>
        <w:spacing w:after="0" w:line="263" w:lineRule="auto"/>
        <w:tabs>
          <w:tab w:leader="none" w:pos="1051"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060" w:hanging="404"/>
        <w:spacing w:after="0" w:line="263" w:lineRule="auto"/>
        <w:tabs>
          <w:tab w:leader="none" w:pos="104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060" w:hanging="404"/>
        <w:spacing w:after="0" w:line="342" w:lineRule="auto"/>
        <w:tabs>
          <w:tab w:leader="none" w:pos="1051"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060" w:hanging="404"/>
        <w:spacing w:after="0" w:line="263" w:lineRule="auto"/>
        <w:tabs>
          <w:tab w:leader="none" w:pos="104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060" w:hanging="404"/>
        <w:spacing w:after="0" w:line="308" w:lineRule="auto"/>
        <w:tabs>
          <w:tab w:leader="none" w:pos="1051"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060" w:hanging="404"/>
        <w:spacing w:after="0" w:line="277" w:lineRule="auto"/>
        <w:tabs>
          <w:tab w:leader="none" w:pos="104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31750</wp:posOffset>
            </wp:positionV>
            <wp:extent cx="30772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57" w:lineRule="exact"/>
        <w:rPr>
          <w:sz w:val="20"/>
          <w:szCs w:val="20"/>
          <w:color w:val="auto"/>
        </w:rPr>
      </w:pPr>
    </w:p>
    <w:p>
      <w:pPr>
        <w:ind w:left="860"/>
        <w:spacing w:after="0"/>
        <w:tabs>
          <w:tab w:leader="none" w:pos="1420" w:val="left"/>
          <w:tab w:leader="none" w:pos="7360" w:val="left"/>
        </w:tabs>
        <w:rPr>
          <w:sz w:val="20"/>
          <w:szCs w:val="20"/>
          <w:color w:val="auto"/>
        </w:rPr>
      </w:pPr>
      <w:r>
        <w:rPr>
          <w:rFonts w:ascii="Arial" w:cs="Arial" w:eastAsia="Arial" w:hAnsi="Arial"/>
          <w:sz w:val="18"/>
          <w:szCs w:val="18"/>
          <w:color w:val="auto"/>
        </w:rPr>
        <w:t>Date:</w:t>
        <w:tab/>
        <w:t>November 3, 2020</w:t>
      </w:r>
      <w:r>
        <w:rPr>
          <w:sz w:val="20"/>
          <w:szCs w:val="20"/>
          <w:color w:val="auto"/>
        </w:rPr>
        <w:tab/>
      </w:r>
      <w:r>
        <w:rPr>
          <w:rFonts w:ascii="Arial" w:cs="Arial" w:eastAsia="Arial" w:hAnsi="Arial"/>
          <w:sz w:val="16"/>
          <w:szCs w:val="16"/>
          <w:color w:val="auto"/>
        </w:rPr>
        <w:t>Jeffrey W. Dunn</w:t>
      </w:r>
    </w:p>
    <w:p>
      <w:pPr>
        <w:spacing w:after="0" w:line="63" w:lineRule="exact"/>
        <w:rPr>
          <w:sz w:val="20"/>
          <w:szCs w:val="20"/>
          <w:color w:val="auto"/>
        </w:rPr>
      </w:pPr>
    </w:p>
    <w:p>
      <w:pPr>
        <w:jc w:val="center"/>
        <w:ind w:left="47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jc w:val="center"/>
        <w:ind w:left="47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769"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Laura A. Francis, certify that:</w:t>
      </w:r>
    </w:p>
    <w:p>
      <w:pPr>
        <w:spacing w:after="0" w:line="374"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Form 10-Q of SI-BONE,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060" w:hanging="404"/>
        <w:spacing w:after="0" w:line="263" w:lineRule="auto"/>
        <w:tabs>
          <w:tab w:leader="none" w:pos="1051"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060" w:hanging="404"/>
        <w:spacing w:after="0" w:line="263" w:lineRule="auto"/>
        <w:tabs>
          <w:tab w:leader="none" w:pos="104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060" w:hanging="404"/>
        <w:spacing w:after="0" w:line="342" w:lineRule="auto"/>
        <w:tabs>
          <w:tab w:leader="none" w:pos="1051"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060" w:hanging="404"/>
        <w:spacing w:after="0" w:line="263" w:lineRule="auto"/>
        <w:tabs>
          <w:tab w:leader="none" w:pos="104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060" w:hanging="404"/>
        <w:spacing w:after="0" w:line="308" w:lineRule="auto"/>
        <w:tabs>
          <w:tab w:leader="none" w:pos="1051"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060" w:hanging="404"/>
        <w:spacing w:after="0" w:line="277" w:lineRule="auto"/>
        <w:tabs>
          <w:tab w:leader="none" w:pos="104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31750</wp:posOffset>
            </wp:positionV>
            <wp:extent cx="30600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57" w:lineRule="exact"/>
        <w:rPr>
          <w:sz w:val="20"/>
          <w:szCs w:val="20"/>
          <w:color w:val="auto"/>
        </w:rPr>
      </w:pPr>
    </w:p>
    <w:p>
      <w:pPr>
        <w:ind w:left="780"/>
        <w:spacing w:after="0"/>
        <w:tabs>
          <w:tab w:leader="none" w:pos="1380" w:val="left"/>
          <w:tab w:leader="none" w:pos="7440" w:val="left"/>
        </w:tabs>
        <w:rPr>
          <w:sz w:val="20"/>
          <w:szCs w:val="20"/>
          <w:color w:val="auto"/>
        </w:rPr>
      </w:pPr>
      <w:r>
        <w:rPr>
          <w:rFonts w:ascii="Arial" w:cs="Arial" w:eastAsia="Arial" w:hAnsi="Arial"/>
          <w:sz w:val="18"/>
          <w:szCs w:val="18"/>
          <w:color w:val="auto"/>
        </w:rPr>
        <w:t>Date:</w:t>
        <w:tab/>
        <w:t>November 3, 2020</w:t>
      </w:r>
      <w:r>
        <w:rPr>
          <w:sz w:val="20"/>
          <w:szCs w:val="20"/>
          <w:color w:val="auto"/>
        </w:rPr>
        <w:tab/>
      </w:r>
      <w:r>
        <w:rPr>
          <w:rFonts w:ascii="Arial" w:cs="Arial" w:eastAsia="Arial" w:hAnsi="Arial"/>
          <w:sz w:val="16"/>
          <w:szCs w:val="16"/>
          <w:color w:val="auto"/>
        </w:rPr>
        <w:t>Laura A. Francis</w:t>
      </w:r>
    </w:p>
    <w:p>
      <w:pPr>
        <w:spacing w:after="0" w:line="63" w:lineRule="exact"/>
        <w:rPr>
          <w:sz w:val="20"/>
          <w:szCs w:val="20"/>
          <w:color w:val="auto"/>
        </w:rPr>
      </w:pPr>
    </w:p>
    <w:p>
      <w:pPr>
        <w:jc w:val="center"/>
        <w:ind w:left="4880"/>
        <w:spacing w:after="0"/>
        <w:rPr>
          <w:sz w:val="20"/>
          <w:szCs w:val="20"/>
          <w:color w:val="auto"/>
        </w:rPr>
      </w:pPr>
      <w:r>
        <w:rPr>
          <w:rFonts w:ascii="Arial" w:cs="Arial" w:eastAsia="Arial" w:hAnsi="Arial"/>
          <w:sz w:val="18"/>
          <w:szCs w:val="18"/>
          <w:color w:val="auto"/>
        </w:rPr>
        <w:t>Chief Operating Officer and Chief Financial Officer</w:t>
      </w:r>
    </w:p>
    <w:p>
      <w:pPr>
        <w:spacing w:after="0" w:line="63" w:lineRule="exact"/>
        <w:rPr>
          <w:sz w:val="20"/>
          <w:szCs w:val="20"/>
          <w:color w:val="auto"/>
        </w:rPr>
      </w:pPr>
    </w:p>
    <w:p>
      <w:pPr>
        <w:jc w:val="center"/>
        <w:ind w:left="48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769"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Jeffrey W. Dunn, President and Chief Executive Officer of SI-BONE, Inc. (the “Company”), and Laura A. Francis, Chief Operating Officer and Chief Financial Officer of the Company, each hereby certify that, to the best of his or her knowledge:</w:t>
      </w:r>
    </w:p>
    <w:p>
      <w:pPr>
        <w:spacing w:after="0" w:line="187" w:lineRule="exact"/>
        <w:rPr>
          <w:sz w:val="20"/>
          <w:szCs w:val="20"/>
          <w:color w:val="auto"/>
        </w:rPr>
      </w:pPr>
    </w:p>
    <w:p>
      <w:pPr>
        <w:ind w:firstLine="8"/>
        <w:spacing w:after="0" w:line="277" w:lineRule="auto"/>
        <w:tabs>
          <w:tab w:leader="none" w:pos="19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2020, to which this Certification is attached as Exhibit 32.1 (the “Periodic Report”), fully complies with the requirements of Section 13(a) or Section 15(d) of the Exchange Act; and</w:t>
      </w:r>
    </w:p>
    <w:p>
      <w:pPr>
        <w:spacing w:after="0" w:line="170" w:lineRule="exact"/>
        <w:rPr>
          <w:rFonts w:ascii="Arial" w:cs="Arial" w:eastAsia="Arial" w:hAnsi="Arial"/>
          <w:sz w:val="18"/>
          <w:szCs w:val="18"/>
          <w:color w:val="auto"/>
        </w:rPr>
      </w:pPr>
    </w:p>
    <w:p>
      <w:pPr>
        <w:ind w:firstLine="8"/>
        <w:spacing w:after="0" w:line="277" w:lineRule="auto"/>
        <w:tabs>
          <w:tab w:leader="none" w:pos="21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3261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7" w:lineRule="exact"/>
        <w:rPr>
          <w:sz w:val="20"/>
          <w:szCs w:val="20"/>
          <w:color w:val="auto"/>
        </w:rPr>
      </w:pPr>
    </w:p>
    <w:p>
      <w:pPr>
        <w:ind w:left="440"/>
        <w:spacing w:after="0"/>
        <w:tabs>
          <w:tab w:leader="none" w:pos="1000" w:val="left"/>
          <w:tab w:leader="none" w:pos="7600" w:val="left"/>
        </w:tabs>
        <w:rPr>
          <w:sz w:val="20"/>
          <w:szCs w:val="20"/>
          <w:color w:val="auto"/>
        </w:rPr>
      </w:pPr>
      <w:r>
        <w:rPr>
          <w:rFonts w:ascii="Arial" w:cs="Arial" w:eastAsia="Arial" w:hAnsi="Arial"/>
          <w:sz w:val="18"/>
          <w:szCs w:val="18"/>
          <w:color w:val="auto"/>
        </w:rPr>
        <w:t>Date:</w:t>
        <w:tab/>
        <w:t>November 3, 2020</w:t>
      </w:r>
      <w:r>
        <w:rPr>
          <w:sz w:val="20"/>
          <w:szCs w:val="20"/>
          <w:color w:val="auto"/>
        </w:rPr>
        <w:tab/>
      </w:r>
      <w:r>
        <w:rPr>
          <w:rFonts w:ascii="Arial" w:cs="Arial" w:eastAsia="Arial" w:hAnsi="Arial"/>
          <w:sz w:val="16"/>
          <w:szCs w:val="16"/>
          <w:color w:val="auto"/>
        </w:rPr>
        <w:t>Jeffrey W. Dunn</w:t>
      </w:r>
    </w:p>
    <w:p>
      <w:pPr>
        <w:spacing w:after="0" w:line="6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3261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7" w:lineRule="exact"/>
        <w:rPr>
          <w:sz w:val="20"/>
          <w:szCs w:val="20"/>
          <w:color w:val="auto"/>
        </w:rPr>
      </w:pPr>
    </w:p>
    <w:p>
      <w:pPr>
        <w:ind w:left="440"/>
        <w:spacing w:after="0"/>
        <w:tabs>
          <w:tab w:leader="none" w:pos="1000" w:val="left"/>
          <w:tab w:leader="none" w:pos="7580" w:val="left"/>
        </w:tabs>
        <w:rPr>
          <w:sz w:val="20"/>
          <w:szCs w:val="20"/>
          <w:color w:val="auto"/>
        </w:rPr>
      </w:pPr>
      <w:r>
        <w:rPr>
          <w:rFonts w:ascii="Arial" w:cs="Arial" w:eastAsia="Arial" w:hAnsi="Arial"/>
          <w:sz w:val="18"/>
          <w:szCs w:val="18"/>
          <w:color w:val="auto"/>
        </w:rPr>
        <w:t>Date:</w:t>
        <w:tab/>
        <w:t>November 3, 2020</w:t>
      </w:r>
      <w:r>
        <w:rPr>
          <w:sz w:val="20"/>
          <w:szCs w:val="20"/>
          <w:color w:val="auto"/>
        </w:rPr>
        <w:tab/>
      </w:r>
      <w:r>
        <w:rPr>
          <w:rFonts w:ascii="Arial" w:cs="Arial" w:eastAsia="Arial" w:hAnsi="Arial"/>
          <w:sz w:val="16"/>
          <w:szCs w:val="16"/>
          <w:color w:val="auto"/>
        </w:rPr>
        <w:t>Laura A. Francis</w:t>
      </w:r>
    </w:p>
    <w:p>
      <w:pPr>
        <w:spacing w:after="0" w:line="63" w:lineRule="exact"/>
        <w:rPr>
          <w:sz w:val="20"/>
          <w:szCs w:val="20"/>
          <w:color w:val="auto"/>
        </w:rPr>
      </w:pPr>
    </w:p>
    <w:p>
      <w:pPr>
        <w:jc w:val="center"/>
        <w:ind w:left="5180"/>
        <w:spacing w:after="0"/>
        <w:rPr>
          <w:sz w:val="20"/>
          <w:szCs w:val="20"/>
          <w:color w:val="auto"/>
        </w:rPr>
      </w:pPr>
      <w:r>
        <w:rPr>
          <w:rFonts w:ascii="Arial" w:cs="Arial" w:eastAsia="Arial" w:hAnsi="Arial"/>
          <w:sz w:val="18"/>
          <w:szCs w:val="18"/>
          <w:color w:val="auto"/>
        </w:rPr>
        <w:t>Chief Operating Officer and Chief Financial Officer</w:t>
      </w:r>
    </w:p>
    <w:p>
      <w:pPr>
        <w:spacing w:after="0" w:line="63" w:lineRule="exact"/>
        <w:rPr>
          <w:sz w:val="20"/>
          <w:szCs w:val="20"/>
          <w:color w:val="auto"/>
        </w:rPr>
      </w:pPr>
    </w:p>
    <w:p>
      <w:pPr>
        <w:jc w:val="center"/>
        <w:ind w:left="5180"/>
        <w:spacing w:after="0"/>
        <w:rPr>
          <w:sz w:val="20"/>
          <w:szCs w:val="20"/>
          <w:color w:val="auto"/>
        </w:rPr>
      </w:pPr>
      <w:r>
        <w:rPr>
          <w:rFonts w:ascii="Arial" w:cs="Arial" w:eastAsia="Arial" w:hAnsi="Arial"/>
          <w:sz w:val="18"/>
          <w:szCs w:val="18"/>
          <w:color w:val="auto"/>
        </w:rPr>
        <w:t>(Principal Financial Officer)</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SI-Bone,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lowerRoman"/>
      <w:start w:val="1"/>
    </w:lvl>
  </w:abstractNum>
  <w:abstractNum w:abstractNumId="5">
    <w:nsid w:val="4353D0CD"/>
    <w:multiLevelType w:val="hybridMultilevel"/>
    <w:lvl w:ilvl="0">
      <w:lvlJc w:val="left"/>
      <w:lvlText w:val="%1."/>
      <w:numFmt w:val="decimal"/>
      <w:start w:val="606"/>
    </w:lvl>
  </w:abstractNum>
  <w:abstractNum w:abstractNumId="6">
    <w:nsid w:val="B03E0C6"/>
    <w:multiLevelType w:val="hybridMultilevel"/>
    <w:lvl w:ilvl="0">
      <w:lvlJc w:val="left"/>
      <w:lvlText w:val="%1."/>
      <w:numFmt w:val="decimal"/>
      <w:start w:val="5"/>
    </w:lvl>
  </w:abstractNum>
  <w:abstractNum w:abstractNumId="7">
    <w:nsid w:val="189A769B"/>
    <w:multiLevelType w:val="hybridMultilevel"/>
    <w:lvl w:ilvl="0">
      <w:lvlJc w:val="left"/>
      <w:lvlText w:val="%1."/>
      <w:numFmt w:val="decimal"/>
      <w:start w:val="7"/>
    </w:lvl>
  </w:abstractNum>
  <w:abstractNum w:abstractNumId="8">
    <w:nsid w:val="54E49EB4"/>
    <w:multiLevelType w:val="hybridMultilevel"/>
    <w:lvl w:ilvl="0">
      <w:lvlJc w:val="left"/>
      <w:lvlText w:val="%1."/>
      <w:numFmt w:val="decimal"/>
      <w:start w:val="8"/>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1)"/>
      <w:numFmt w:val="lowerLetter"/>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lvl w:ilvl="1">
      <w:lvlJc w:val="left"/>
      <w:lvlText w:val="%2"/>
      <w:numFmt w:val="decimal"/>
      <w:start w:val="104"/>
    </w:lvl>
  </w:abstractNum>
  <w:abstractNum w:abstractNumId="41">
    <w:nsid w:val="1D4ED43B"/>
    <w:multiLevelType w:val="hybridMultilevel"/>
    <w:lvl w:ilvl="0">
      <w:lvlJc w:val="left"/>
      <w:lvlText w:val="**"/>
      <w:numFmt w:val="bullet"/>
      <w:start w:val="1"/>
    </w:lvl>
    <w:lvl w:ilvl="1">
      <w:lvlJc w:val="left"/>
      <w:lvlText w:val="%2"/>
      <w:numFmt w:val="decimal"/>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88" Type="http://schemas.openxmlformats.org/officeDocument/2006/relationships/hyperlink" Target="http://www.sec.gov/Archives/edgar/data/1459839/000119312518303020/d641574dex31.htm" TargetMode="External"/><Relationship Id="rId89" Type="http://schemas.openxmlformats.org/officeDocument/2006/relationships/hyperlink" Target="http://www.sec.gov/Archives/edgar/data/1459839/000119312518293978/d452987dex34.htm" TargetMode="External"/><Relationship Id="rId90" Type="http://schemas.openxmlformats.org/officeDocument/2006/relationships/hyperlink" Target="http://www.sec.gov/Archives/edgar/data/1459839/000119312518293978/d452987dex41.htm" TargetMode="External"/><Relationship Id="rId91" Type="http://schemas.openxmlformats.org/officeDocument/2006/relationships/hyperlink" Target="http://www.sec.gov/Archives/edgar/data/1459839/000145983920000047/exhibit43descriptionof.htm" TargetMode="External"/><Relationship Id="rId92" Type="http://schemas.openxmlformats.org/officeDocument/2006/relationships/hyperlink" Target="http://www.sec.gov/Archives/edgar/data/1459839/000145983920000067/exhibit101severanceb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2020-11-03T15:39:51Z</dcterms:created>
  <dcterms:modified xsi:type="dcterms:W3CDTF">2020-11-03T15:39:51Z</dcterms:modified>
</cp:coreProperties>
</file>