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18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-168910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00" w:type="dxa"/>
            <w:vAlign w:val="bottom"/>
          </w:tcPr>
          <w:p>
            <w:pPr>
              <w:jc w:val="center"/>
              <w:ind w:right="2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21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21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2"/>
        </w:trPr>
        <w:tc>
          <w:tcPr>
            <w:tcW w:w="6400" w:type="dxa"/>
            <w:vAlign w:val="bottom"/>
            <w:vMerge w:val="restart"/>
          </w:tcPr>
          <w:p>
            <w:pPr>
              <w:jc w:val="center"/>
              <w:ind w:right="2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5379085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-593090</wp:posOffset>
            </wp:positionV>
            <wp:extent cx="1278255"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8255"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-1546225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080" w:space="360"/>
            <w:col w:w="86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08/04/2020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08/04/2020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4,000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1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143,221</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19.3214</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139,221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931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19.2517</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138,290</w:t>
            </w:r>
            <w:r>
              <w:rPr>
                <w:rFonts w:ascii="Arial" w:cs="Arial" w:eastAsia="Arial" w:hAnsi="Arial"/>
                <w:sz w:val="21"/>
                <w:szCs w:val="21"/>
                <w:color w:val="008000"/>
                <w:w w:val="86"/>
                <w:vertAlign w:val="superscript"/>
              </w:rPr>
              <w:t>(4)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08/04/2020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4,000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4,000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9"/>
              </w:rPr>
              <w:t>144,550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-3578860</wp:posOffset>
            </wp:positionV>
            <wp:extent cx="7033260" cy="3718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7185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$19.00 to $19.94,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$19.00 to $19.70,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86,134 shares issuable on the settlement of restricted stock units granted to the Reporting Person. Each restricted stock unit represents a contingent right to receive one shares of the Issuer's common stock.</w:t>
      </w:r>
    </w:p>
    <w:p>
      <w:pPr>
        <w:spacing w:after="0" w:line="23" w:lineRule="exact"/>
        <w:rPr>
          <w:rFonts w:ascii="Arial" w:cs="Arial" w:eastAsia="Arial" w:hAnsi="Arial"/>
          <w:sz w:val="13"/>
          <w:szCs w:val="13"/>
          <w:color w:val="008000"/>
        </w:rPr>
      </w:pPr>
    </w:p>
    <w:p>
      <w:pPr>
        <w:ind w:left="40" w:right="4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May 26, 2015, subject to Reporting Person's continued service through each relevant vesting date. The shares subject to this option may be exercised prior to vesting, subject to Issuer's right to repurchase.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08/05/2020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15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2020-08-05T15:52:07Z</dcterms:created>
  <dcterms:modified xsi:type="dcterms:W3CDTF">2020-08-05T15:52:07Z</dcterms:modified>
</cp:coreProperties>
</file>