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536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53656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DUNN JEFFREY W</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08/02/2023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08/02/2023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406</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25.0763</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rPr>
              <w:t>77,609</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vMerge w:val="restart"/>
          </w:tcPr>
          <w:p>
            <w:pPr>
              <w:jc w:val="right"/>
              <w:ind w:right="279"/>
              <w:spacing w:after="0"/>
              <w:rPr>
                <w:sz w:val="20"/>
                <w:szCs w:val="20"/>
                <w:color w:val="auto"/>
              </w:rPr>
            </w:pPr>
            <w:r>
              <w:rPr>
                <w:rFonts w:ascii="Arial" w:cs="Arial" w:eastAsia="Arial" w:hAnsi="Arial"/>
                <w:sz w:val="18"/>
                <w:szCs w:val="18"/>
                <w:color w:val="0000FF"/>
              </w:rPr>
              <w:t>132,580</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2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ind w:left="40" w:right="34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$24.90 USD to $25.385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69,125 shares issuable on the settlement of restricted stock units granted to the Reporting Person. Each restricted stock unit represents a contingent right to receive one share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held by The Jeffrey W. Dunn Living Trust Dated May 17,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4"/>
          </w:tcPr>
          <w:p>
            <w:pPr>
              <w:spacing w:after="0"/>
              <w:rPr>
                <w:sz w:val="20"/>
                <w:szCs w:val="20"/>
                <w:color w:val="auto"/>
              </w:rPr>
            </w:pPr>
            <w:r>
              <w:rPr>
                <w:rFonts w:ascii="Arial" w:cs="Arial" w:eastAsia="Arial" w:hAnsi="Arial"/>
                <w:sz w:val="18"/>
                <w:szCs w:val="18"/>
                <w:color w:val="0000FF"/>
              </w:rPr>
              <w:t>/s/ Michael A. Pisetsky,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080" w:type="dxa"/>
            <w:vAlign w:val="bottom"/>
            <w:gridSpan w:val="4"/>
          </w:tcPr>
          <w:p>
            <w:pPr>
              <w:spacing w:after="0" w:line="196" w:lineRule="exact"/>
              <w:rPr>
                <w:sz w:val="20"/>
                <w:szCs w:val="20"/>
                <w:color w:val="auto"/>
              </w:rPr>
            </w:pPr>
            <w:r>
              <w:rPr>
                <w:rFonts w:ascii="Arial" w:cs="Arial" w:eastAsia="Arial" w:hAnsi="Arial"/>
                <w:sz w:val="18"/>
                <w:szCs w:val="18"/>
                <w:color w:val="0000FF"/>
                <w:w w:val="96"/>
              </w:rPr>
              <w:t>Attorney-in-Fact for Jeffrey</w:t>
            </w:r>
          </w:p>
        </w:tc>
        <w:tc>
          <w:tcPr>
            <w:tcW w:w="920" w:type="dxa"/>
            <w:vAlign w:val="bottom"/>
            <w:gridSpan w:val="2"/>
          </w:tcPr>
          <w:p>
            <w:pPr>
              <w:ind w:left="120"/>
              <w:spacing w:after="0" w:line="196" w:lineRule="exact"/>
              <w:rPr>
                <w:sz w:val="20"/>
                <w:szCs w:val="20"/>
                <w:color w:val="auto"/>
              </w:rPr>
            </w:pPr>
            <w:r>
              <w:rPr>
                <w:rFonts w:ascii="Arial" w:cs="Arial" w:eastAsia="Arial" w:hAnsi="Arial"/>
                <w:sz w:val="18"/>
                <w:szCs w:val="18"/>
                <w:color w:val="0000FF"/>
                <w:w w:val="86"/>
              </w:rPr>
              <w:t>08/04/2023</w:t>
            </w:r>
          </w:p>
        </w:tc>
      </w:tr>
      <w:tr>
        <w:trPr>
          <w:trHeight w:val="196"/>
        </w:trPr>
        <w:tc>
          <w:tcPr>
            <w:tcW w:w="6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8"/>
              </w:rPr>
              <w:t>W. Dunn</w:t>
            </w:r>
          </w:p>
        </w:tc>
        <w:tc>
          <w:tcPr>
            <w:tcW w:w="1320" w:type="dxa"/>
            <w:vAlign w:val="bottom"/>
            <w:tcBorders>
              <w:top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208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2023-08-03T18:04:37Z</dcterms:created>
  <dcterms:modified xsi:type="dcterms:W3CDTF">2023-08-03T18:04:37Z</dcterms:modified>
</cp:coreProperties>
</file>