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7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320" w:type="dxa"/>
            <w:vAlign w:val="bottom"/>
            <w:tcBorders>
              <w:top w:val="single" w:sz="8" w:color="EEEEEE"/>
            </w:tcBorders>
          </w:tcPr>
          <w:p>
            <w:pPr>
              <w:spacing w:after="0"/>
              <w:rPr>
                <w:sz w:val="4"/>
                <w:szCs w:val="4"/>
                <w:color w:val="auto"/>
              </w:rPr>
            </w:pPr>
          </w:p>
        </w:tc>
        <w:tc>
          <w:tcPr>
            <w:tcW w:w="5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gridSpan w:val="2"/>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180"/>
              <w:spacing w:after="0"/>
              <w:rPr>
                <w:sz w:val="20"/>
                <w:szCs w:val="20"/>
                <w:color w:val="auto"/>
              </w:rPr>
            </w:pPr>
            <w:r>
              <w:rPr>
                <w:rFonts w:ascii="Arial" w:cs="Arial" w:eastAsia="Arial" w:hAnsi="Arial"/>
                <w:sz w:val="12"/>
                <w:szCs w:val="12"/>
                <w:b w:val="1"/>
                <w:bCs w:val="1"/>
                <w:color w:val="auto"/>
              </w:rPr>
              <w:t>2A. Deemed</w:t>
            </w:r>
          </w:p>
        </w:tc>
        <w:tc>
          <w:tcPr>
            <w:tcW w:w="100" w:type="dxa"/>
            <w:vAlign w:val="bottom"/>
          </w:tcPr>
          <w:p>
            <w:pPr>
              <w:spacing w:after="0"/>
              <w:rPr>
                <w:sz w:val="20"/>
                <w:szCs w:val="20"/>
                <w:color w:val="auto"/>
              </w:rPr>
            </w:pPr>
            <w:r>
              <w:rPr>
                <w:rFonts w:ascii="Arial" w:cs="Arial" w:eastAsia="Arial" w:hAnsi="Arial"/>
                <w:sz w:val="12"/>
                <w:szCs w:val="12"/>
                <w:b w:val="1"/>
                <w:bCs w:val="1"/>
                <w:color w:val="auto"/>
                <w:w w:val="79"/>
              </w:rPr>
              <w:t>3.</w:t>
            </w:r>
          </w:p>
        </w:tc>
        <w:tc>
          <w:tcPr>
            <w:tcW w:w="64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180" w:type="dxa"/>
            <w:vAlign w:val="bottom"/>
            <w:gridSpan w:val="5"/>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line="133" w:lineRule="exact"/>
              <w:rPr>
                <w:sz w:val="20"/>
                <w:szCs w:val="20"/>
                <w:color w:val="auto"/>
              </w:rPr>
            </w:pPr>
            <w:r>
              <w:rPr>
                <w:rFonts w:ascii="Arial" w:cs="Arial" w:eastAsia="Arial" w:hAnsi="Arial"/>
                <w:sz w:val="12"/>
                <w:szCs w:val="12"/>
                <w:b w:val="1"/>
                <w:bCs w:val="1"/>
                <w:color w:val="auto"/>
                <w:w w:val="74"/>
              </w:rPr>
              <w:t>8)</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60"/>
              <w:spacing w:after="0"/>
              <w:rPr>
                <w:sz w:val="20"/>
                <w:szCs w:val="20"/>
                <w:color w:val="auto"/>
              </w:rPr>
            </w:pPr>
            <w:r>
              <w:rPr>
                <w:rFonts w:ascii="Times New Roman" w:cs="Times New Roman" w:eastAsia="Times New Roman" w:hAnsi="Times New Roman"/>
                <w:sz w:val="17"/>
                <w:szCs w:val="17"/>
                <w:color w:val="0000FF"/>
              </w:rPr>
              <w:t>06/05/2025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jc w:val="center"/>
              <w:ind w:right="111"/>
              <w:spacing w:after="0"/>
              <w:rPr>
                <w:sz w:val="20"/>
                <w:szCs w:val="20"/>
                <w:color w:val="auto"/>
              </w:rPr>
            </w:pPr>
            <w:r>
              <w:rPr>
                <w:rFonts w:ascii="Times New Roman" w:cs="Times New Roman" w:eastAsia="Times New Roman" w:hAnsi="Times New Roman"/>
                <w:sz w:val="17"/>
                <w:szCs w:val="17"/>
                <w:color w:val="0000FF"/>
              </w:rPr>
              <w:t>8,675</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21,211</w:t>
            </w:r>
          </w:p>
        </w:tc>
        <w:tc>
          <w:tcPr>
            <w:tcW w:w="9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60"/>
              <w:spacing w:after="0"/>
              <w:rPr>
                <w:sz w:val="20"/>
                <w:szCs w:val="20"/>
                <w:color w:val="auto"/>
              </w:rPr>
            </w:pPr>
            <w:r>
              <w:rPr>
                <w:rFonts w:ascii="Times New Roman" w:cs="Times New Roman" w:eastAsia="Times New Roman" w:hAnsi="Times New Roman"/>
                <w:sz w:val="17"/>
                <w:szCs w:val="17"/>
                <w:color w:val="0000FF"/>
              </w:rPr>
              <w:t>06/05/2025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40" w:type="dxa"/>
            <w:vAlign w:val="bottom"/>
            <w:tcBorders>
              <w:bottom w:val="single" w:sz="8" w:color="2C2C2C"/>
            </w:tcBorders>
          </w:tcPr>
          <w:p>
            <w:pPr>
              <w:jc w:val="right"/>
              <w:ind w:right="191"/>
              <w:spacing w:after="0"/>
              <w:rPr>
                <w:sz w:val="20"/>
                <w:szCs w:val="20"/>
                <w:color w:val="auto"/>
              </w:rPr>
            </w:pPr>
            <w:r>
              <w:rPr>
                <w:rFonts w:ascii="Times New Roman" w:cs="Times New Roman" w:eastAsia="Times New Roman" w:hAnsi="Times New Roman"/>
                <w:sz w:val="17"/>
                <w:szCs w:val="17"/>
                <w:color w:val="0000FF"/>
              </w:rPr>
              <w:t>3,377</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19.0509</w:t>
            </w:r>
            <w:r>
              <w:rPr>
                <w:rFonts w:ascii="Times New Roman" w:cs="Times New Roman" w:eastAsia="Times New Roman" w:hAnsi="Times New Roman"/>
                <w:sz w:val="22"/>
                <w:szCs w:val="22"/>
                <w:color w:val="008000"/>
                <w:w w:val="92"/>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17,354</w:t>
            </w:r>
            <w:r>
              <w:rPr>
                <w:rFonts w:ascii="Times New Roman" w:cs="Times New Roman" w:eastAsia="Times New Roman" w:hAnsi="Times New Roman"/>
                <w:sz w:val="22"/>
                <w:szCs w:val="22"/>
                <w:color w:val="008000"/>
                <w:w w:val="97"/>
                <w:vertAlign w:val="superscript"/>
              </w:rPr>
              <w:t>(4)</w:t>
            </w:r>
          </w:p>
        </w:tc>
        <w:tc>
          <w:tcPr>
            <w:tcW w:w="9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112,413</w:t>
            </w:r>
            <w:r>
              <w:rPr>
                <w:rFonts w:ascii="Times New Roman" w:cs="Times New Roman" w:eastAsia="Times New Roman" w:hAnsi="Times New Roman"/>
                <w:sz w:val="22"/>
                <w:szCs w:val="22"/>
                <w:color w:val="008000"/>
                <w:w w:val="96"/>
                <w:vertAlign w:val="superscript"/>
              </w:rPr>
              <w:t>(5)</w:t>
            </w:r>
          </w:p>
        </w:tc>
        <w:tc>
          <w:tcPr>
            <w:tcW w:w="92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0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$18.90 USD to $19.29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11,940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shares from the Reporting Person to The Jeffrey W. Dunn Living Trust dated May 17,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tab/>
        <w:t>06/06/2025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2025-06-06T18:51:58Z</dcterms:created>
  <dcterms:modified xsi:type="dcterms:W3CDTF">2025-06-06T18:51:58Z</dcterms:modified>
</cp:coreProperties>
</file>