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982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823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FRANCIS LAURA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05/16/2022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5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7"/>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3640" w:type="dxa"/>
            <w:vAlign w:val="bottom"/>
            <w:gridSpan w:val="7"/>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6"/>
            <w:vMerge w:val="continue"/>
          </w:tcPr>
          <w:p>
            <w:pPr>
              <w:spacing w:after="0"/>
              <w:rPr>
                <w:sz w:val="11"/>
                <w:szCs w:val="11"/>
                <w:color w:val="auto"/>
              </w:rPr>
            </w:pPr>
          </w:p>
        </w:tc>
        <w:tc>
          <w:tcPr>
            <w:tcW w:w="3640" w:type="dxa"/>
            <w:vAlign w:val="bottom"/>
            <w:gridSpan w:val="7"/>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gridSpan w:val="3"/>
            <w:vMerge w:val="restart"/>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73" w:lineRule="exact"/>
              <w:rPr>
                <w:sz w:val="20"/>
                <w:szCs w:val="20"/>
                <w:color w:val="auto"/>
              </w:rPr>
            </w:pPr>
            <w:r>
              <w:rPr>
                <w:rFonts w:ascii="Times New Roman" w:cs="Times New Roman" w:eastAsia="Times New Roman" w:hAnsi="Times New Roman"/>
                <w:sz w:val="17"/>
                <w:szCs w:val="17"/>
                <w:color w:val="0000FF"/>
              </w:rPr>
              <w:t>CLARA</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ind w:left="120"/>
              <w:spacing w:after="0" w:line="113"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2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4"/>
          </w:tcPr>
          <w:p>
            <w:pPr>
              <w:jc w:val="center"/>
              <w:ind w:left="54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45"/>
              <w:spacing w:after="0"/>
              <w:rPr>
                <w:sz w:val="20"/>
                <w:szCs w:val="20"/>
                <w:color w:val="auto"/>
              </w:rPr>
            </w:pPr>
            <w:r>
              <w:rPr>
                <w:rFonts w:ascii="Times New Roman" w:cs="Times New Roman" w:eastAsia="Times New Roman" w:hAnsi="Times New Roman"/>
                <w:sz w:val="17"/>
                <w:szCs w:val="17"/>
                <w:color w:val="0000FF"/>
              </w:rPr>
              <w:t>05/16/2022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35</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12.5807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335,031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45"/>
              <w:spacing w:after="0"/>
              <w:rPr>
                <w:sz w:val="20"/>
                <w:szCs w:val="20"/>
                <w:color w:val="auto"/>
              </w:rPr>
            </w:pPr>
            <w:r>
              <w:rPr>
                <w:rFonts w:ascii="Times New Roman" w:cs="Times New Roman" w:eastAsia="Times New Roman" w:hAnsi="Times New Roman"/>
                <w:sz w:val="17"/>
                <w:szCs w:val="17"/>
                <w:color w:val="0000FF"/>
              </w:rPr>
              <w:t>05/16/2022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1,068</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12.5807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333,963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45"/>
              <w:spacing w:after="0"/>
              <w:rPr>
                <w:sz w:val="20"/>
                <w:szCs w:val="20"/>
                <w:color w:val="auto"/>
              </w:rPr>
            </w:pPr>
            <w:r>
              <w:rPr>
                <w:rFonts w:ascii="Times New Roman" w:cs="Times New Roman" w:eastAsia="Times New Roman" w:hAnsi="Times New Roman"/>
                <w:sz w:val="17"/>
                <w:szCs w:val="17"/>
                <w:color w:val="0000FF"/>
              </w:rPr>
              <w:t>05/16/2022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1,384</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12.5807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332,579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45"/>
              <w:spacing w:after="0"/>
              <w:rPr>
                <w:sz w:val="20"/>
                <w:szCs w:val="20"/>
                <w:color w:val="auto"/>
              </w:rPr>
            </w:pPr>
            <w:r>
              <w:rPr>
                <w:rFonts w:ascii="Times New Roman" w:cs="Times New Roman" w:eastAsia="Times New Roman" w:hAnsi="Times New Roman"/>
                <w:sz w:val="17"/>
                <w:szCs w:val="17"/>
                <w:color w:val="0000FF"/>
              </w:rPr>
              <w:t>05/16/2022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1,172</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12.5807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331,407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45"/>
              <w:spacing w:after="0"/>
              <w:rPr>
                <w:sz w:val="20"/>
                <w:szCs w:val="20"/>
                <w:color w:val="auto"/>
              </w:rPr>
            </w:pPr>
            <w:r>
              <w:rPr>
                <w:rFonts w:ascii="Times New Roman" w:cs="Times New Roman" w:eastAsia="Times New Roman" w:hAnsi="Times New Roman"/>
                <w:sz w:val="17"/>
                <w:szCs w:val="17"/>
                <w:color w:val="0000FF"/>
              </w:rPr>
              <w:t>05/16/2022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434</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12.5807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330,973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45"/>
              <w:spacing w:after="0"/>
              <w:rPr>
                <w:sz w:val="20"/>
                <w:szCs w:val="20"/>
                <w:color w:val="auto"/>
              </w:rPr>
            </w:pPr>
            <w:r>
              <w:rPr>
                <w:rFonts w:ascii="Times New Roman" w:cs="Times New Roman" w:eastAsia="Times New Roman" w:hAnsi="Times New Roman"/>
                <w:sz w:val="17"/>
                <w:szCs w:val="17"/>
                <w:color w:val="0000FF"/>
              </w:rPr>
              <w:t>05/16/2022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712</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12.5807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331,395</w:t>
            </w:r>
            <w:r>
              <w:rPr>
                <w:rFonts w:ascii="Times New Roman" w:cs="Times New Roman" w:eastAsia="Times New Roman" w:hAnsi="Times New Roman"/>
                <w:sz w:val="22"/>
                <w:szCs w:val="22"/>
                <w:color w:val="008000"/>
                <w:w w:val="91"/>
                <w:vertAlign w:val="superscript"/>
              </w:rPr>
              <w:t>(2)(3)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219,547 shares issuable on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1,134 shares acquired under the SI-BONE, Inc. 2018 Employee Stock Purchase Plan on May 15, 2022.</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Laura A.</w:t>
        <w:tab/>
        <w:t>05/18/2022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3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880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2022-05-17T20:03:58Z</dcterms:created>
  <dcterms:modified xsi:type="dcterms:W3CDTF">2022-05-17T20:03:58Z</dcterms:modified>
</cp:coreProperties>
</file>