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5, 2025</w:t>
      </w:r>
    </w:p>
    <w:p>
      <w:pPr>
        <w:spacing w:after="0" w:line="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68"/>
        </w:trPr>
        <w:tc>
          <w:tcPr>
            <w:tcW w:w="2340" w:type="dxa"/>
            <w:vAlign w:val="bottom"/>
          </w:tcPr>
          <w:p>
            <w:pPr>
              <w:jc w:val="center"/>
              <w:ind w:right="29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w:t>
            </w:r>
          </w:p>
        </w:tc>
        <w:tc>
          <w:tcPr>
            <w:tcW w:w="17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File Number)</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16"/>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204"/>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7"/>
                <w:szCs w:val="17"/>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3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84" w:lineRule="exact"/>
        <w:rPr>
          <w:sz w:val="24"/>
          <w:szCs w:val="24"/>
          <w:color w:val="auto"/>
        </w:rPr>
      </w:pPr>
    </w:p>
    <w:p>
      <w:pPr>
        <w:jc w:val="cente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1303655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8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total of 37,674,856 shares of the Company’s common stock were present or represented by proxy at the Annual Meeting, which represented approximately 89% of the Company’s 42,529,059 shares of common stock that were outstanding and entitled to vote at the meeting as of the record date of April 7, 2025.</w:t>
      </w:r>
    </w:p>
    <w:p>
      <w:pPr>
        <w:spacing w:after="0" w:line="20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following is a brief description of each matter voted upon at the Annual Meeting, as well as the final tally of the number of votes cast: (a) for or withheld with respect to the election of directors; (b) for or against, as well as abstentions, for the ratification of the appointment of PricewaterhouseCoopers LLP as the Company’s independent registered public accounting firm for the fiscal year ending December 31, 2025; and (c) for or against, as well as abstentions, for the advisory vote to approve executive compensation. A more complete description of each matter is set forth in the Company’s definitive proxy statement filed with the Securities and Exchange Commission on April 25, 2025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1060" w:hanging="1052"/>
        <w:spacing w:after="0" w:line="250" w:lineRule="auto"/>
        <w:tabs>
          <w:tab w:leader="none" w:pos="1040" w:val="left"/>
        </w:tabs>
        <w:rPr>
          <w:sz w:val="20"/>
          <w:szCs w:val="20"/>
          <w:color w:val="auto"/>
        </w:rPr>
      </w:pPr>
      <w:r>
        <w:rPr>
          <w:rFonts w:ascii="Times New Roman" w:cs="Times New Roman" w:eastAsia="Times New Roman" w:hAnsi="Times New Roman"/>
          <w:sz w:val="18"/>
          <w:szCs w:val="18"/>
          <w:i w:val="1"/>
          <w:iCs w:val="1"/>
          <w:color w:val="auto"/>
        </w:rPr>
        <w:t>Proposal 1:</w:t>
      </w:r>
      <w:r>
        <w:rPr>
          <w:sz w:val="20"/>
          <w:szCs w:val="20"/>
          <w:color w:val="auto"/>
        </w:rPr>
        <w:tab/>
      </w:r>
      <w:r>
        <w:rPr>
          <w:rFonts w:ascii="Times New Roman" w:cs="Times New Roman" w:eastAsia="Times New Roman" w:hAnsi="Times New Roman"/>
          <w:sz w:val="18"/>
          <w:szCs w:val="18"/>
          <w:color w:val="auto"/>
        </w:rPr>
        <w:t>Each of the below directors proposed by the Company for election was elected by the following votes to serve until the Company’s 2028 Annual Meeting of Stockholders, or until each of their respective successors has been elected and qualified. The tabulation of votes on this matter was as follows:</w:t>
      </w:r>
    </w:p>
    <w:p>
      <w:pPr>
        <w:spacing w:after="0" w:line="256" w:lineRule="exact"/>
        <w:rPr>
          <w:sz w:val="20"/>
          <w:szCs w:val="20"/>
          <w:color w:val="auto"/>
        </w:rPr>
      </w:pPr>
    </w:p>
    <w:tbl>
      <w:tblPr>
        <w:tblLayout w:type="fixed"/>
        <w:tblInd w:w="148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E. Davis, Jr.</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35,165,713</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1,043,089</w:t>
            </w:r>
          </w:p>
        </w:tc>
        <w:tc>
          <w:tcPr>
            <w:tcW w:w="2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1,466,054</w:t>
            </w: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A. Francis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35,477,807</w:t>
            </w:r>
          </w:p>
        </w:tc>
        <w:tc>
          <w:tcPr>
            <w:tcW w:w="1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730,995</w:t>
            </w:r>
          </w:p>
        </w:tc>
        <w:tc>
          <w:tcPr>
            <w:tcW w:w="20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1,466,054</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Jeryl L. Hilleman</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27,567,253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8,641,549</w:t>
            </w: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1,466,054</w:t>
            </w:r>
          </w:p>
        </w:tc>
      </w:tr>
    </w:tbl>
    <w:p>
      <w:pPr>
        <w:spacing w:after="0" w:line="30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i w:val="1"/>
          <w:iCs w:val="1"/>
          <w:color w:val="auto"/>
        </w:rPr>
        <w:t>Proposal 2:</w:t>
      </w:r>
      <w:r>
        <w:rPr>
          <w:sz w:val="20"/>
          <w:szCs w:val="20"/>
          <w:color w:val="auto"/>
        </w:rPr>
        <w:tab/>
      </w:r>
      <w:r>
        <w:rPr>
          <w:rFonts w:ascii="Times New Roman" w:cs="Times New Roman" w:eastAsia="Times New Roman" w:hAnsi="Times New Roman"/>
          <w:sz w:val="18"/>
          <w:szCs w:val="18"/>
          <w:color w:val="auto"/>
        </w:rPr>
        <w:t>The appointment of PricewaterhouseCoopers LLP as the Company’s independent registered public accounting firm for the fiscal year ending</w:t>
      </w:r>
    </w:p>
    <w:p>
      <w:pPr>
        <w:spacing w:after="0" w:line="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December 31, 2025, was ratified. The tabulation of votes on this matter was as follows:</w:t>
      </w:r>
    </w:p>
    <w:p>
      <w:pPr>
        <w:spacing w:after="0" w:line="270" w:lineRule="exact"/>
        <w:rPr>
          <w:sz w:val="20"/>
          <w:szCs w:val="20"/>
          <w:color w:val="auto"/>
        </w:rPr>
      </w:pPr>
    </w:p>
    <w:tbl>
      <w:tblPr>
        <w:tblLayout w:type="fixed"/>
        <w:tblInd w:w="960" w:type="dxa"/>
        <w:tblCellMar>
          <w:top w:w="0" w:type="dxa"/>
          <w:left w:w="0" w:type="dxa"/>
          <w:bottom w:w="0" w:type="dxa"/>
          <w:right w:w="0" w:type="dxa"/>
        </w:tblCellMar>
      </w:tblPr>
      <w:tr>
        <w:trPr>
          <w:trHeight w:val="245"/>
        </w:trPr>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170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37,530,981</w:t>
            </w:r>
          </w:p>
        </w:tc>
        <w:tc>
          <w:tcPr>
            <w:tcW w:w="28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138,292</w:t>
            </w:r>
          </w:p>
        </w:tc>
        <w:tc>
          <w:tcPr>
            <w:tcW w:w="28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5,583</w:t>
            </w:r>
          </w:p>
        </w:tc>
        <w:tc>
          <w:tcPr>
            <w:tcW w:w="280" w:type="dxa"/>
            <w:vAlign w:val="bottom"/>
            <w:tcBorders>
              <w:top w:val="single" w:sz="8" w:color="CCEEFF"/>
            </w:tcBorders>
            <w:shd w:val="clear" w:color="auto" w:fill="CCEEFF"/>
          </w:tcPr>
          <w:p>
            <w:pPr>
              <w:spacing w:after="0"/>
              <w:rPr>
                <w:sz w:val="22"/>
                <w:szCs w:val="22"/>
                <w:color w:val="auto"/>
              </w:rPr>
            </w:pPr>
          </w:p>
        </w:tc>
        <w:tc>
          <w:tcPr>
            <w:tcW w:w="240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w:t>
            </w:r>
          </w:p>
        </w:tc>
      </w:tr>
    </w:tbl>
    <w:p>
      <w:pPr>
        <w:spacing w:after="0" w:line="317" w:lineRule="exact"/>
        <w:rPr>
          <w:sz w:val="20"/>
          <w:szCs w:val="20"/>
          <w:color w:val="auto"/>
        </w:rPr>
      </w:pPr>
    </w:p>
    <w:p>
      <w:pPr>
        <w:ind w:left="1060" w:hanging="1052"/>
        <w:spacing w:after="0" w:line="266" w:lineRule="auto"/>
        <w:tabs>
          <w:tab w:leader="none" w:pos="1040" w:val="left"/>
        </w:tabs>
        <w:rPr>
          <w:sz w:val="20"/>
          <w:szCs w:val="20"/>
          <w:color w:val="auto"/>
        </w:rPr>
      </w:pPr>
      <w:r>
        <w:rPr>
          <w:rFonts w:ascii="Times New Roman" w:cs="Times New Roman" w:eastAsia="Times New Roman" w:hAnsi="Times New Roman"/>
          <w:sz w:val="18"/>
          <w:szCs w:val="18"/>
          <w:i w:val="1"/>
          <w:iCs w:val="1"/>
          <w:color w:val="auto"/>
        </w:rPr>
        <w:t>Proposal 3:</w:t>
      </w:r>
      <w:r>
        <w:rPr>
          <w:sz w:val="20"/>
          <w:szCs w:val="20"/>
          <w:color w:val="auto"/>
        </w:rPr>
        <w:tab/>
      </w:r>
      <w:r>
        <w:rPr>
          <w:rFonts w:ascii="Times New Roman" w:cs="Times New Roman" w:eastAsia="Times New Roman" w:hAnsi="Times New Roman"/>
          <w:sz w:val="18"/>
          <w:szCs w:val="18"/>
          <w:color w:val="auto"/>
        </w:rPr>
        <w:t>The compensation of the Company’s named executive officers as disclosed in the Proxy Statement was approved on an advisory basis. The tabulation of votes on this matter was as follows:</w:t>
      </w:r>
    </w:p>
    <w:p>
      <w:pPr>
        <w:spacing w:after="0" w:line="241" w:lineRule="exact"/>
        <w:rPr>
          <w:sz w:val="20"/>
          <w:szCs w:val="20"/>
          <w:color w:val="auto"/>
        </w:rPr>
      </w:pPr>
    </w:p>
    <w:tbl>
      <w:tblPr>
        <w:tblLayout w:type="fixed"/>
        <w:tblInd w:w="940" w:type="dxa"/>
        <w:tblCellMar>
          <w:top w:w="0" w:type="dxa"/>
          <w:left w:w="0" w:type="dxa"/>
          <w:bottom w:w="0" w:type="dxa"/>
          <w:right w:w="0" w:type="dxa"/>
        </w:tblCellMar>
      </w:tblPr>
      <w:tr>
        <w:trPr>
          <w:trHeight w:val="245"/>
        </w:trPr>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17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35,588,516</w:t>
            </w:r>
          </w:p>
        </w:tc>
        <w:tc>
          <w:tcPr>
            <w:tcW w:w="28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616,661</w:t>
            </w:r>
          </w:p>
        </w:tc>
        <w:tc>
          <w:tcPr>
            <w:tcW w:w="28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3,625</w:t>
            </w:r>
          </w:p>
        </w:tc>
        <w:tc>
          <w:tcPr>
            <w:tcW w:w="280" w:type="dxa"/>
            <w:vAlign w:val="bottom"/>
            <w:tcBorders>
              <w:top w:val="single" w:sz="8" w:color="CCEEFF"/>
            </w:tcBorders>
            <w:shd w:val="clear" w:color="auto" w:fill="CCEEFF"/>
          </w:tcPr>
          <w:p>
            <w:pPr>
              <w:spacing w:after="0"/>
              <w:rPr>
                <w:sz w:val="22"/>
                <w:szCs w:val="22"/>
                <w:color w:val="auto"/>
              </w:rPr>
            </w:pPr>
          </w:p>
        </w:tc>
        <w:tc>
          <w:tcPr>
            <w:tcW w:w="244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1,466,054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40" w:type="dxa"/>
            <w:vAlign w:val="bottom"/>
          </w:tcPr>
          <w:p>
            <w:pPr>
              <w:ind w:left="4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9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c>
          <w:tcPr>
            <w:tcW w:w="620" w:type="dxa"/>
            <w:vAlign w:val="bottom"/>
            <w:vMerge w:val="restart"/>
          </w:tcPr>
          <w:p>
            <w:pPr>
              <w:jc w:val="right"/>
              <w:ind w:right="529"/>
              <w:spacing w:after="0"/>
              <w:rPr>
                <w:sz w:val="20"/>
                <w:szCs w:val="20"/>
                <w:color w:val="auto"/>
              </w:rPr>
            </w:pPr>
            <w:r>
              <w:rPr>
                <w:rFonts w:ascii="Times New Roman" w:cs="Times New Roman" w:eastAsia="Times New Roman" w:hAnsi="Times New Roman"/>
                <w:sz w:val="10"/>
                <w:szCs w:val="10"/>
                <w:color w:val="auto"/>
                <w:w w:val="70"/>
              </w:rPr>
              <w:t>\</w:t>
            </w:r>
          </w:p>
        </w:tc>
        <w:tc>
          <w:tcPr>
            <w:tcW w:w="0" w:type="dxa"/>
            <w:vAlign w:val="bottom"/>
          </w:tcPr>
          <w:p>
            <w:pPr>
              <w:spacing w:after="0"/>
              <w:rPr>
                <w:sz w:val="1"/>
                <w:szCs w:val="1"/>
                <w:color w:val="auto"/>
              </w:rPr>
            </w:pPr>
          </w:p>
        </w:tc>
      </w:tr>
      <w:tr>
        <w:trPr>
          <w:trHeight w:val="108"/>
        </w:trPr>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4"/>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0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6, 2025</w:t>
            </w:r>
          </w:p>
        </w:tc>
        <w:tc>
          <w:tcPr>
            <w:tcW w:w="21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28"/>
        </w:trPr>
        <w:tc>
          <w:tcPr>
            <w:tcW w:w="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bl>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2025-06-06T15:20:07Z</dcterms:created>
  <dcterms:modified xsi:type="dcterms:W3CDTF">2025-06-06T15:20:07Z</dcterms:modified>
</cp:coreProperties>
</file>