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4,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47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4"/>
              </w:rPr>
              <w:t>(State or other jurisdiction of</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679"/>
              <w:spacing w:after="0"/>
              <w:rPr>
                <w:sz w:val="20"/>
                <w:szCs w:val="20"/>
                <w:color w:val="auto"/>
              </w:rPr>
            </w:pPr>
            <w:r>
              <w:rPr>
                <w:rFonts w:ascii="Arial" w:cs="Arial" w:eastAsia="Arial" w:hAnsi="Arial"/>
                <w:sz w:val="16"/>
                <w:szCs w:val="16"/>
                <w:color w:val="auto"/>
                <w:w w:val="93"/>
              </w:rPr>
              <w:t>(I.R.S. Employer</w:t>
            </w:r>
          </w:p>
        </w:tc>
      </w:tr>
      <w:tr>
        <w:trPr>
          <w:trHeight w:val="206"/>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3"/>
              </w:rPr>
              <w:t>incorporation or organization)</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65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4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9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94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940" w:type="dxa"/>
            <w:vAlign w:val="bottom"/>
          </w:tcPr>
          <w:p>
            <w:pPr>
              <w:spacing w:after="0"/>
              <w:rPr>
                <w:sz w:val="17"/>
                <w:szCs w:val="17"/>
                <w:color w:val="auto"/>
              </w:rPr>
            </w:pPr>
          </w:p>
        </w:tc>
      </w:tr>
      <w:tr>
        <w:trPr>
          <w:trHeight w:val="415"/>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4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4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On May 4, 2020, SI-BONE, Inc. (the "Company") issued a press release (the “Press Release”) announcing results for the quarter ended March 31, 2020. A copy of the Press Release is attached as Exhibit 99.1 to this current report on Form 8-K and is incorporated by reference herein.</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60" w:type="dxa"/>
            <w:vAlign w:val="bottom"/>
          </w:tcPr>
          <w:p>
            <w:pPr>
              <w:spacing w:after="0"/>
              <w:rPr>
                <w:sz w:val="20"/>
                <w:szCs w:val="20"/>
                <w:color w:val="auto"/>
              </w:rPr>
            </w:pP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46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507"/>
        </w:trPr>
        <w:tc>
          <w:tcPr>
            <w:tcW w:w="900" w:type="dxa"/>
            <w:vAlign w:val="bottom"/>
          </w:tcPr>
          <w:p>
            <w:pPr>
              <w:ind w:left="2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4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4, 2020</w:t>
              </w:r>
            </w:hyperlink>
          </w:p>
        </w:tc>
      </w:tr>
    </w:tbl>
    <w:p>
      <w:pPr>
        <w:sectPr>
          <w:pgSz w:w="11900" w:h="16838" w:orient="portrait"/>
          <w:cols w:equalWidth="0" w:num="1">
            <w:col w:w="11240"/>
          </w:cols>
          <w:pgMar w:left="320" w:top="89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320" w:top="891"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17145</wp:posOffset>
            </wp:positionV>
            <wp:extent cx="132016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First Quarter 2020 Financial Results</w:t>
      </w:r>
    </w:p>
    <w:p>
      <w:pPr>
        <w:spacing w:after="0" w:line="270"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May 4, 2020 -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March 31,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00" w:hanging="392"/>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color w:val="auto"/>
        </w:rPr>
        <w:t>Revenue of $16.8 million for the first quarter 2020, representing a 12% increase over the corresponding period in 2019</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color w:val="auto"/>
        </w:rPr>
        <w:t>U.S. revenue of $15.3 million for the first quarter 2020, representing a 14% increase over the corresponding period in 2019</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FDA 510(k) clearance for an expanded indication for the iFuse Implant System to support the Company's trauma program</w:t>
      </w:r>
    </w:p>
    <w:p>
      <w:pPr>
        <w:spacing w:after="0" w:line="76"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Obtained positive coverage by Health Alliance Plan, a commercial payor in Michigan</w:t>
      </w:r>
    </w:p>
    <w:p>
      <w:pPr>
        <w:spacing w:after="0" w:line="297"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“Our SI-BONE team has shown tremendous efforts and strength through these difficult times. I am incredibly proud to be part of this team and believe that we will come out of this period even stronger as a company," said Jeffrey Dunn, President, CEO and Chairman. “The underlying fundamentals of our business remain strong. Through mid-March, we saw record procedure volumes resulting from the significant investments we made across our commercial organization to develop this market, and we are taking a very disciplined and thoughtful approach to financial decisions and capital allocation priorities.”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Financial Results</w:t>
      </w:r>
    </w:p>
    <w:p>
      <w:pPr>
        <w:spacing w:after="0" w:line="276"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Revenue was $16.8 million in the first quarter 2020, a 12% increase from $15.0 million in the corresponding prior period in 2019. U.S. revenue for the first quarter 2020 was $15.3 million, a 14% increase from $13.5 million in the corresponding prior period in 2019 primarily driven by growth of domestic case volumes. Our international revenue was $1.5 million in the first quarter 2020, flat compared to the corresponding period in 2019. Though our total revenue increased as discussed above, it was partly impacted by lower than anticipated case volumes specifically in the second half of March 2020 due to the effects of COVID-19.</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89% for the first quarter 2020, as compared to 90% in the corresponding prior period in 2019. The change in gross margin was due to higher cost of operations to support the growth of the business.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Operating expenses were $26.8 million in the first quarter 2020, as compared to $22.3 million in the corresponding prior period in 2019, an increase of 20%. The increase in operating expense was primarily driven by higher employee related costs due to higher headcount mainly from sales hiring, surgeon training and stock-based compensation.</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Operating loss was $11.9 million in the first quarter 2020, as compared to $8.8 million in the corresponding prior period in 2019.</w:t>
      </w:r>
    </w:p>
    <w:p>
      <w:pPr>
        <w:spacing w:after="0" w:line="30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$12.8 million, or $0.47 per diluted share for the first quarter 2020, as compared to $9.3 million, or $0.38 per diluted share in the corresponding prior period in 2019.</w:t>
      </w:r>
    </w:p>
    <w:p>
      <w:pPr>
        <w:spacing w:after="0" w:line="202"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Cash and marketable securities were $146.2 million as of March 31, 2020. This includes a follow-on offering, completed during the first quarter of 2020, which raised net proceeds of $63.4 million after deducting the underwriting discounts and commissions.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Guidance</w:t>
      </w:r>
    </w:p>
    <w:p>
      <w:pPr>
        <w:spacing w:after="0" w:line="27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As previously reported on Form 8-K filed on April 2, 2020, due to the evolving environment and continued uncertainties from the impact of COVID-19, SI-BONE has withdrawn its previously announced guidance for the full year 2020. The COVID-19 pandemic is a highly fluid situation and it is not currently possible for the Company to reasonably estimate the impact it may have on financial and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ESG</w:t>
      </w:r>
    </w:p>
    <w:p>
      <w:pPr>
        <w:spacing w:after="0" w:line="27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As SI-BONE progresses through its second full year as a public company, the Company has worked to improve overall corporate disclosure. In response to the evolving shareholder interest in Environmental, Social and Governance (ESG) topics, SI-BONE anticipates updating its related disclosures during the second quarter of 2020.</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first quarter 2020 financial results after market close on Monday, May 4, 2020 at 4:30 P.M. Eastern Time. The conference call can be accessed live over the phone (866) 470-1968 for domestic callers or (409) 217-8248 for international callers, using conference ID: 7919778.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0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80 peer-reviewed publications demonstrating the safety, durable effectiveness, and biomechanical and economic benefits unique to the iFuse Implant (</w:t>
      </w:r>
      <w:r>
        <w:rPr>
          <w:rFonts w:ascii="Arial" w:cs="Arial" w:eastAsia="Arial" w:hAnsi="Arial"/>
          <w:sz w:val="19"/>
          <w:szCs w:val="19"/>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 joint</w:t>
      </w:r>
      <w:r>
        <w:rPr>
          <w:rFonts w:ascii="Arial" w:cs="Arial" w:eastAsia="Arial" w:hAnsi="Arial"/>
          <w:sz w:val="19"/>
          <w:szCs w:val="19"/>
          <w:color w:val="0000FF"/>
        </w:rPr>
        <w:t xml:space="preserve"> </w:t>
      </w:r>
      <w:r>
        <w:rPr>
          <w:rFonts w:ascii="Arial" w:cs="Arial" w:eastAsia="Arial" w:hAnsi="Arial"/>
          <w:sz w:val="19"/>
          <w:szCs w:val="19"/>
          <w:color w:val="000000"/>
        </w:rPr>
        <w:t>fusion procedure exclusively when performed with the iFuse Implant System.</w:t>
      </w:r>
    </w:p>
    <w:p>
      <w:pPr>
        <w:sectPr>
          <w:pgSz w:w="11900" w:h="16838" w:orient="portrait"/>
          <w:cols w:equalWidth="0" w:num="1">
            <w:col w:w="11240"/>
          </w:cols>
          <w:pgMar w:left="320" w:top="919" w:right="339" w:bottom="1440" w:gutter="0" w:footer="0" w:header="0"/>
        </w:sectPr>
      </w:pPr>
    </w:p>
    <w:bookmarkStart w:id="5" w:name="page6"/>
    <w:bookmarkEnd w:id="5"/>
    <w:p>
      <w:pPr>
        <w:jc w:val="both"/>
        <w:spacing w:after="0" w:line="299"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u w:val="single" w:color="auto"/>
          <w:color w:val="0000FF"/>
        </w:rPr>
        <w:t>www.si-bone.com/risks</w:t>
      </w:r>
      <w:r>
        <w:rPr>
          <w:rFonts w:ascii="Arial" w:cs="Arial" w:eastAsia="Arial" w:hAnsi="Arial"/>
          <w:sz w:val="20"/>
          <w:szCs w:val="20"/>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first quarter 2020 financial results and statements in this press release regarding expectations of future events or results, as well as SI-BONE's expectations set forth under the caption "2020 Financial Guidance" are "forward-looking" statements. These forward-looking statements are based on SI-BONE's current expectations and inherently involve significant risks and uncertainties and, in the case of its first quarter 2020 financial results, are subject to quarter-end closing adjustments.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expand geographically,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filings on Form 10-K and Form 10-Q, and the company’s other filings with the Securities and Exchange Commission (SEC) available at the SEC's Internet site (</w:t>
      </w:r>
      <w:r>
        <w:rPr>
          <w:rFonts w:ascii="Arial" w:cs="Arial" w:eastAsia="Arial" w:hAnsi="Arial"/>
          <w:sz w:val="18"/>
          <w:szCs w:val="18"/>
          <w:u w:val="single" w:color="auto"/>
          <w:color w:val="0000FF"/>
        </w:rPr>
        <w:t>www.sec.gov</w:t>
      </w:r>
      <w:r>
        <w:rPr>
          <w:rFonts w:ascii="Arial" w:cs="Arial" w:eastAsia="Arial" w:hAnsi="Arial"/>
          <w:sz w:val="18"/>
          <w:szCs w:val="18"/>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Lynn Lewis or Carrie Mendivil</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19"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14,991</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1,526</w:t>
            </w:r>
          </w:p>
        </w:tc>
      </w:tr>
      <w:tr>
        <w:trPr>
          <w:trHeight w:val="27"/>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13,465</w:t>
            </w:r>
          </w:p>
        </w:tc>
      </w:tr>
      <w:tr>
        <w:trPr>
          <w:trHeight w:val="237"/>
        </w:trPr>
        <w:tc>
          <w:tcPr>
            <w:tcW w:w="7020" w:type="dxa"/>
            <w:vAlign w:val="bottom"/>
          </w:tcPr>
          <w:p>
            <w:pPr>
              <w:ind w:left="240"/>
              <w:spacing w:after="0"/>
              <w:rPr>
                <w:sz w:val="20"/>
                <w:szCs w:val="20"/>
                <w:color w:val="auto"/>
              </w:rPr>
            </w:pPr>
            <w:r>
              <w:rPr>
                <w:rFonts w:ascii="Arial" w:cs="Arial" w:eastAsia="Arial" w:hAnsi="Arial"/>
                <w:sz w:val="18"/>
                <w:szCs w:val="18"/>
                <w:color w:val="auto"/>
              </w:rPr>
              <w:t>Gross margin</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97"/>
        </w:trPr>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15,815</w:t>
            </w: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1,683</w:t>
            </w:r>
          </w:p>
        </w:tc>
      </w:tr>
      <w:tr>
        <w:trPr>
          <w:trHeight w:val="243"/>
        </w:trPr>
        <w:tc>
          <w:tcPr>
            <w:tcW w:w="7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4,766</w:t>
            </w:r>
          </w:p>
        </w:tc>
      </w:tr>
      <w:tr>
        <w:trPr>
          <w:trHeight w:val="27"/>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26,771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22,264</w:t>
            </w:r>
          </w:p>
        </w:tc>
      </w:tr>
      <w:tr>
        <w:trPr>
          <w:trHeight w:val="250"/>
        </w:trPr>
        <w:tc>
          <w:tcPr>
            <w:tcW w:w="70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(8,799)</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744</w:t>
            </w:r>
          </w:p>
        </w:tc>
      </w:tr>
      <w:tr>
        <w:trPr>
          <w:trHeight w:val="243"/>
        </w:trPr>
        <w:tc>
          <w:tcPr>
            <w:tcW w:w="70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(1,230)</w:t>
            </w: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r>
      <w:tr>
        <w:trPr>
          <w:trHeight w:val="263"/>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(12,772)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(9,345)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(0.38)</w:t>
            </w: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Weighted-average number of common shares used to compute basic and diluted net loss per</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27,252,409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24,390,648</w:t>
            </w:r>
          </w:p>
        </w:tc>
      </w:tr>
      <w:tr>
        <w:trPr>
          <w:trHeight w:val="27"/>
        </w:trPr>
        <w:tc>
          <w:tcPr>
            <w:tcW w:w="7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ectPr>
          <w:pgSz w:w="11900" w:h="16838" w:orient="portrait"/>
          <w:cols w:equalWidth="0" w:num="1">
            <w:col w:w="10340"/>
          </w:cols>
          <w:pgMar w:left="780" w:top="891" w:right="7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7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10,435</w:t>
            </w: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77,373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81,345</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11,720</w:t>
            </w:r>
          </w:p>
        </w:tc>
      </w:tr>
      <w:tr>
        <w:trPr>
          <w:trHeight w:val="243"/>
        </w:trPr>
        <w:tc>
          <w:tcPr>
            <w:tcW w:w="71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5,452</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161,964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111,462</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3,954</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r>
      <w:tr>
        <w:trPr>
          <w:trHeight w:val="264"/>
        </w:trPr>
        <w:tc>
          <w:tcPr>
            <w:tcW w:w="71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167,819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117,009</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2,811</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11,605</w:t>
            </w: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Current portion of long-term borrowings</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4,358</w:t>
            </w:r>
          </w:p>
        </w:tc>
      </w:tr>
      <w:tr>
        <w:trPr>
          <w:trHeight w:val="27"/>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18,774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34,865</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r>
      <w:tr>
        <w:trPr>
          <w:trHeight w:val="237"/>
        </w:trPr>
        <w:tc>
          <w:tcPr>
            <w:tcW w:w="71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51,549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54,001</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323,925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258,124</w:t>
            </w: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464</w:t>
            </w: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(195,580)</w:t>
            </w:r>
          </w:p>
        </w:tc>
      </w:tr>
      <w:tr>
        <w:trPr>
          <w:trHeight w:val="237"/>
        </w:trPr>
        <w:tc>
          <w:tcPr>
            <w:tcW w:w="718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116,270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63,008</w:t>
            </w:r>
          </w:p>
        </w:tc>
      </w:tr>
      <w:tr>
        <w:trPr>
          <w:trHeight w:val="27"/>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167,819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117,009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2020-05-04T15:12:07Z</dcterms:created>
  <dcterms:modified xsi:type="dcterms:W3CDTF">2020-05-04T15:12:07Z</dcterms:modified>
</cp:coreProperties>
</file>