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0"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1,752,995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1,752,995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1,752,995</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1,752,995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1,752,995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1,752,995</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1,752,995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1,752,995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1,752,995</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1,752,995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1,752,995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1,752,995</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5.3%</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540" w:hanging="46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SI-BONE, Inc., a Delaware corporation (the "Issuer").</w:t>
      </w:r>
    </w:p>
    <w:p>
      <w:pPr>
        <w:spacing w:after="0" w:line="230" w:lineRule="exact"/>
        <w:rPr>
          <w:rFonts w:ascii="Arial" w:cs="Arial" w:eastAsia="Arial" w:hAnsi="Arial"/>
          <w:sz w:val="18"/>
          <w:szCs w:val="18"/>
          <w:color w:val="auto"/>
        </w:rPr>
      </w:pPr>
    </w:p>
    <w:p>
      <w:pPr>
        <w:ind w:left="1540" w:hanging="46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471 El Camino Real, Suite 101</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Santa Clara, California 95050</w:t>
      </w:r>
    </w:p>
    <w:p>
      <w:pPr>
        <w:spacing w:after="0" w:line="217" w:lineRule="exact"/>
        <w:rPr>
          <w:sz w:val="20"/>
          <w:szCs w:val="20"/>
          <w:color w:val="auto"/>
        </w:rPr>
      </w:pPr>
    </w:p>
    <w:p>
      <w:pPr>
        <w:spacing w:after="0"/>
        <w:tabs>
          <w:tab w:leader="none" w:pos="1060" w:val="left"/>
          <w:tab w:leader="none" w:pos="152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540" w:hanging="46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40" w:hanging="46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540" w:right="712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540" w:right="7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right="754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540" w:right="7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right="704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540" w:right="7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540" w:right="7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540" w:right="77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540" w:hanging="46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common stock, par value $0.0001 per share ("Common Stock").</w:t>
      </w:r>
    </w:p>
    <w:p>
      <w:pPr>
        <w:spacing w:after="0" w:line="252" w:lineRule="exact"/>
        <w:rPr>
          <w:rFonts w:ascii="Arial" w:cs="Arial" w:eastAsia="Arial" w:hAnsi="Arial"/>
          <w:sz w:val="18"/>
          <w:szCs w:val="18"/>
          <w:color w:val="auto"/>
        </w:rPr>
      </w:pPr>
    </w:p>
    <w:p>
      <w:pPr>
        <w:ind w:left="1540" w:right="8540" w:hanging="466"/>
        <w:spacing w:after="0" w:line="631"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825704109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4"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jc w:val="both"/>
        <w:ind w:firstLine="122"/>
        <w:spacing w:after="0" w:line="268" w:lineRule="auto"/>
        <w:rPr>
          <w:sz w:val="20"/>
          <w:szCs w:val="20"/>
          <w:color w:val="auto"/>
        </w:rPr>
      </w:pPr>
      <w:r>
        <w:rPr>
          <w:rFonts w:ascii="Arial" w:cs="Arial" w:eastAsia="Arial" w:hAnsi="Arial"/>
          <w:sz w:val="18"/>
          <w:szCs w:val="18"/>
          <w:color w:val="auto"/>
        </w:rPr>
        <w:t>As of the close of business on September 27, 2021, Integrated Core Strategies (US) LLC, a Delaware limited liability company ("Integrated Core Strategies"), beneficially owned 1,752,995 shares of the Issuer’s Common Stock or 5.3% of the Issuer’s Common Stock outstanding.</w:t>
      </w:r>
    </w:p>
    <w:p>
      <w:pPr>
        <w:spacing w:after="0" w:line="145" w:lineRule="exact"/>
        <w:rPr>
          <w:sz w:val="20"/>
          <w:szCs w:val="20"/>
          <w:color w:val="auto"/>
        </w:rPr>
      </w:pPr>
    </w:p>
    <w:p>
      <w:pPr>
        <w:jc w:val="both"/>
        <w:ind w:firstLine="215"/>
        <w:spacing w:after="0" w:line="331" w:lineRule="auto"/>
        <w:rPr>
          <w:sz w:val="20"/>
          <w:szCs w:val="20"/>
          <w:color w:val="auto"/>
        </w:rPr>
      </w:pPr>
      <w:r>
        <w:rPr>
          <w:rFonts w:ascii="Arial" w:cs="Arial" w:eastAsia="Arial" w:hAnsi="Arial"/>
          <w:sz w:val="16"/>
          <w:szCs w:val="16"/>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w:t>
      </w:r>
    </w:p>
    <w:p>
      <w:pPr>
        <w:spacing w:after="0" w:line="100" w:lineRule="exact"/>
        <w:rPr>
          <w:sz w:val="20"/>
          <w:szCs w:val="20"/>
          <w:color w:val="auto"/>
        </w:rPr>
      </w:pPr>
    </w:p>
    <w:p>
      <w:pPr>
        <w:jc w:val="both"/>
        <w:ind w:firstLine="172"/>
        <w:spacing w:after="0" w:line="331" w:lineRule="auto"/>
        <w:rPr>
          <w:sz w:val="20"/>
          <w:szCs w:val="20"/>
          <w:color w:val="auto"/>
        </w:rPr>
      </w:pPr>
      <w:r>
        <w:rPr>
          <w:rFonts w:ascii="Arial" w:cs="Arial" w:eastAsia="Arial" w:hAnsi="Arial"/>
          <w:sz w:val="16"/>
          <w:szCs w:val="16"/>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w:t>
      </w:r>
    </w:p>
    <w:p>
      <w:pPr>
        <w:spacing w:after="0" w:line="100"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w:t>
      </w:r>
    </w:p>
    <w:p>
      <w:pPr>
        <w:spacing w:after="0" w:line="153" w:lineRule="exact"/>
        <w:rPr>
          <w:sz w:val="20"/>
          <w:szCs w:val="20"/>
          <w:color w:val="auto"/>
        </w:rPr>
      </w:pPr>
    </w:p>
    <w:p>
      <w:pPr>
        <w:jc w:val="both"/>
        <w:ind w:right="20" w:firstLine="142"/>
        <w:spacing w:after="0" w:line="268" w:lineRule="auto"/>
        <w:rPr>
          <w:sz w:val="20"/>
          <w:szCs w:val="20"/>
          <w:color w:val="auto"/>
        </w:rPr>
      </w:pPr>
      <w:r>
        <w:rPr>
          <w:rFonts w:ascii="Arial" w:cs="Arial" w:eastAsia="Arial" w:hAnsi="Arial"/>
          <w:sz w:val="18"/>
          <w:szCs w:val="18"/>
          <w:color w:val="auto"/>
        </w:rPr>
        <w:t>The foregoing should not be construed in and of itself as an admission by Millennium Management, Millennium Group Management or Mr. Englander as to beneficial ownership of the securities owned by Integrated Core Strategies.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127"/>
        <w:spacing w:after="0" w:line="298" w:lineRule="auto"/>
        <w:rPr>
          <w:sz w:val="20"/>
          <w:szCs w:val="20"/>
          <w:color w:val="auto"/>
        </w:rPr>
      </w:pPr>
      <w:r>
        <w:rPr>
          <w:rFonts w:ascii="Arial" w:cs="Arial" w:eastAsia="Arial" w:hAnsi="Arial"/>
          <w:sz w:val="16"/>
          <w:szCs w:val="16"/>
          <w:color w:val="auto"/>
        </w:rPr>
        <w:t>As of the close of business on September 27, 2021, Integrated Core Strategies, Millennium Management, Millennium Group Management and Mr. Englander beneficially owned or may be deemed to have beneficially owned, as the case may be, 1,752,995 shares of the Issuer’s Common Stock or 5.3% of the Issuer’s Common Stock outstanding (see Item 4(a) above), which percentage was calculated based on 33,271,020 shares of the Issuer’s Common Stock outstanding as of July 31, 2021, as reported in the Issuer’s Form 10-Q filed on August 4, 2021.</w:t>
      </w:r>
    </w:p>
    <w:p>
      <w:pPr>
        <w:spacing w:after="0" w:line="126" w:lineRule="exact"/>
        <w:rPr>
          <w:sz w:val="20"/>
          <w:szCs w:val="20"/>
          <w:color w:val="auto"/>
        </w:rPr>
      </w:pPr>
    </w:p>
    <w:p>
      <w:pPr>
        <w:ind w:left="300" w:hanging="248"/>
        <w:spacing w:after="0"/>
        <w:tabs>
          <w:tab w:leader="none" w:pos="300"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740" w:hanging="132"/>
        <w:spacing w:after="0" w:line="471" w:lineRule="auto"/>
        <w:tabs>
          <w:tab w:leader="none" w:pos="7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64" w:lineRule="exact"/>
        <w:rPr>
          <w:sz w:val="20"/>
          <w:szCs w:val="20"/>
          <w:color w:val="auto"/>
        </w:rPr>
      </w:pPr>
    </w:p>
    <w:p>
      <w:pPr>
        <w:ind w:left="680" w:right="7520" w:hanging="132"/>
        <w:spacing w:after="0" w:line="453" w:lineRule="auto"/>
        <w:tabs>
          <w:tab w:leader="none" w:pos="8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1,752,995 (See Item 4(b))</w:t>
      </w:r>
    </w:p>
    <w:p>
      <w:pPr>
        <w:spacing w:after="0" w:line="1" w:lineRule="exact"/>
        <w:rPr>
          <w:rFonts w:ascii="Arial" w:cs="Arial" w:eastAsia="Arial" w:hAnsi="Arial"/>
          <w:sz w:val="18"/>
          <w:szCs w:val="18"/>
          <w:color w:val="auto"/>
        </w:rPr>
      </w:pPr>
    </w:p>
    <w:p>
      <w:pPr>
        <w:ind w:left="900" w:hanging="308"/>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5" w:lineRule="exact"/>
        <w:rPr>
          <w:sz w:val="20"/>
          <w:szCs w:val="20"/>
          <w:color w:val="auto"/>
        </w:rPr>
      </w:pPr>
    </w:p>
    <w:p>
      <w:pPr>
        <w:ind w:left="680" w:right="6600" w:hanging="132"/>
        <w:spacing w:after="0" w:line="453" w:lineRule="auto"/>
        <w:tabs>
          <w:tab w:leader="none" w:pos="8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1,752,995 (See Item 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Exhibit I: Joint Filing Agreement, dated as of September 27, 2021,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27, 2021</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SI-BONE,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27, 2021</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2"/>
      <w:numFmt w:val="bullet"/>
      <w:start w:val="1"/>
    </w:lvl>
    <w:lvl w:ilvl="1">
      <w:lvlJc w:val="left"/>
      <w:lvlText w:val="(%2)"/>
      <w:numFmt w:val="lowerLetter"/>
      <w:start w:val="2"/>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2"/>
      <w:numFmt w:val="bullet"/>
      <w:start w:val="1"/>
    </w:lvl>
    <w:lvl w:ilvl="1">
      <w:lvlJc w:val="left"/>
      <w:lvlText w:val="(%2)"/>
      <w:numFmt w:val="lowerLetter"/>
      <w:start w:val="2"/>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2"/>
      <w:numFmt w:val="bullet"/>
      <w:start w:val="1"/>
    </w:lvl>
    <w:lvl w:ilvl="1">
      <w:lvlJc w:val="left"/>
      <w:lvlText w:val="(%2)"/>
      <w:numFmt w:val="lowerLetter"/>
      <w:start w:val="2"/>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2"/>
      <w:numFmt w:val="bullet"/>
      <w:start w:val="1"/>
    </w:lvl>
    <w:lvl w:ilvl="1">
      <w:lvlJc w:val="left"/>
      <w:lvlText w:val="(%2)"/>
      <w:numFmt w:val="lowerLetter"/>
      <w:start w:val="2"/>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7"/>
    </w:lvl>
  </w:abstractNum>
  <w:abstractNum w:abstractNumId="13">
    <w:nsid w:val="1BEFD79F"/>
    <w:multiLevelType w:val="hybridMultilevel"/>
    <w:lvl w:ilvl="0">
      <w:lvlJc w:val="left"/>
      <w:lvlText w:val="(%1)"/>
      <w:numFmt w:val="lowerLetter"/>
      <w:start w:val="3"/>
    </w:lvl>
    <w:lvl w:ilvl="1">
      <w:lvlJc w:val="left"/>
      <w:lvlText w:val="(%2)"/>
      <w:numFmt w:val="lowerLetter"/>
      <w:start w:val="9"/>
    </w:lvl>
  </w:abstractNum>
  <w:abstractNum w:abstractNumId="14">
    <w:nsid w:val="41A7C4C9"/>
    <w:multiLevelType w:val="hybridMultilevel"/>
    <w:lvl w:ilvl="0">
      <w:lvlJc w:val="left"/>
      <w:lvlText w:val="(%1)"/>
      <w:numFmt w:val="lowerRoman"/>
      <w:start w:val="2"/>
    </w:lvl>
    <w:lvl w:ilvl="1">
      <w:lvlJc w:val="left"/>
      <w:lvlText w:val="(%2)"/>
      <w:numFmt w:val="lowerRoman"/>
      <w:start w:val="3"/>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2021-09-28T16:06:45Z</dcterms:created>
  <dcterms:modified xsi:type="dcterms:W3CDTF">2021-09-28T16:06:45Z</dcterms:modified>
</cp:coreProperties>
</file>